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36" w:rsidRPr="002B2199" w:rsidRDefault="00775A36" w:rsidP="00775A36">
      <w:pPr>
        <w:pStyle w:val="ac"/>
        <w:spacing w:before="0" w:after="0" w:line="240" w:lineRule="auto"/>
        <w:ind w:left="0" w:firstLine="0"/>
        <w:rPr>
          <w:lang w:val="ru-RU"/>
        </w:rPr>
      </w:pPr>
      <w:r>
        <w:rPr>
          <w:lang w:val="ru-RU"/>
        </w:rPr>
        <w:t>УДК 622.232</w:t>
      </w:r>
    </w:p>
    <w:p w:rsidR="00775A36" w:rsidRPr="002B2199" w:rsidRDefault="00775A36" w:rsidP="00775A36">
      <w:pPr>
        <w:pStyle w:val="aa"/>
        <w:spacing w:line="240" w:lineRule="auto"/>
        <w:rPr>
          <w:lang w:val="ru-RU"/>
        </w:rPr>
      </w:pPr>
    </w:p>
    <w:p w:rsidR="00775A36" w:rsidRPr="002B2199" w:rsidRDefault="00775A36" w:rsidP="00775A36">
      <w:pPr>
        <w:pStyle w:val="ac"/>
        <w:spacing w:before="0" w:after="0" w:line="240" w:lineRule="auto"/>
        <w:ind w:left="0" w:firstLine="0"/>
        <w:jc w:val="left"/>
        <w:rPr>
          <w:b/>
          <w:caps/>
          <w:szCs w:val="28"/>
          <w:lang w:val="ru-RU"/>
        </w:rPr>
      </w:pPr>
      <w:r w:rsidRPr="00C47F95">
        <w:rPr>
          <w:b/>
          <w:caps/>
          <w:szCs w:val="28"/>
          <w:lang w:val="ru-RU"/>
        </w:rPr>
        <w:t>Основные отличительные особенности проходческих комбайнов нового пок</w:t>
      </w:r>
      <w:r w:rsidRPr="00C47F95">
        <w:rPr>
          <w:b/>
          <w:caps/>
          <w:szCs w:val="28"/>
          <w:lang w:val="ru-RU"/>
        </w:rPr>
        <w:t>о</w:t>
      </w:r>
      <w:r w:rsidRPr="00C47F95">
        <w:rPr>
          <w:b/>
          <w:caps/>
          <w:szCs w:val="28"/>
          <w:lang w:val="ru-RU"/>
        </w:rPr>
        <w:t>ления</w:t>
      </w:r>
    </w:p>
    <w:p w:rsidR="00775A36" w:rsidRPr="002B2199" w:rsidRDefault="00775A36" w:rsidP="00775A36">
      <w:pPr>
        <w:pStyle w:val="aa"/>
        <w:spacing w:line="240" w:lineRule="auto"/>
        <w:rPr>
          <w:lang w:val="ru-RU"/>
        </w:rPr>
      </w:pPr>
    </w:p>
    <w:p w:rsidR="00775A36" w:rsidRDefault="00775A36" w:rsidP="00775A36">
      <w:pPr>
        <w:pStyle w:val="aa"/>
        <w:spacing w:line="240" w:lineRule="auto"/>
        <w:ind w:firstLine="0"/>
        <w:rPr>
          <w:b/>
          <w:lang w:val="ru-RU"/>
        </w:rPr>
      </w:pPr>
      <w:r w:rsidRPr="007A3F19">
        <w:rPr>
          <w:b/>
          <w:lang w:val="ru-RU"/>
        </w:rPr>
        <w:t xml:space="preserve">Горбатов П.А., </w:t>
      </w:r>
      <w:r>
        <w:rPr>
          <w:b/>
          <w:lang w:val="ru-RU"/>
        </w:rPr>
        <w:t>д.т.н., профессор</w:t>
      </w:r>
      <w:r w:rsidRPr="007A3F19">
        <w:rPr>
          <w:b/>
          <w:lang w:val="ru-RU"/>
        </w:rPr>
        <w:t xml:space="preserve">; Лысенко Н. М., </w:t>
      </w:r>
      <w:r>
        <w:rPr>
          <w:b/>
          <w:lang w:val="ru-RU"/>
        </w:rPr>
        <w:t>к.т.н., доцент</w:t>
      </w:r>
      <w:r w:rsidRPr="007A3F19">
        <w:rPr>
          <w:b/>
          <w:lang w:val="ru-RU"/>
        </w:rPr>
        <w:t xml:space="preserve">; </w:t>
      </w:r>
    </w:p>
    <w:p w:rsidR="00775A36" w:rsidRPr="007A3F19" w:rsidRDefault="00775A36" w:rsidP="00775A36">
      <w:pPr>
        <w:pStyle w:val="aa"/>
        <w:spacing w:line="240" w:lineRule="auto"/>
        <w:ind w:firstLine="0"/>
        <w:rPr>
          <w:b/>
          <w:lang w:val="ru-RU"/>
        </w:rPr>
      </w:pPr>
      <w:r w:rsidRPr="007A3F19">
        <w:rPr>
          <w:b/>
          <w:lang w:val="ru-RU"/>
        </w:rPr>
        <w:t>Лысенко М.Н., магистрант</w:t>
      </w:r>
    </w:p>
    <w:p w:rsidR="00775A36" w:rsidRDefault="00775A36" w:rsidP="00775A36">
      <w:pPr>
        <w:pStyle w:val="aa"/>
        <w:spacing w:line="240" w:lineRule="auto"/>
        <w:ind w:firstLine="0"/>
        <w:rPr>
          <w:i/>
          <w:lang w:val="ru-RU"/>
        </w:rPr>
      </w:pPr>
      <w:r w:rsidRPr="00ED2F8C">
        <w:rPr>
          <w:i/>
          <w:lang w:val="ru-RU"/>
        </w:rPr>
        <w:t>(Дон</w:t>
      </w:r>
      <w:r>
        <w:rPr>
          <w:i/>
          <w:lang w:val="ru-RU"/>
        </w:rPr>
        <w:t>ецкий национальный технический университет</w:t>
      </w:r>
      <w:r w:rsidRPr="00ED2F8C">
        <w:rPr>
          <w:i/>
          <w:lang w:val="ru-RU"/>
        </w:rPr>
        <w:t>, г. Донецк, Украина)</w:t>
      </w:r>
    </w:p>
    <w:p w:rsidR="00775A36" w:rsidRDefault="00775A36" w:rsidP="00775A36">
      <w:pPr>
        <w:pStyle w:val="aa"/>
        <w:spacing w:line="240" w:lineRule="auto"/>
        <w:rPr>
          <w:lang w:val="ru-RU"/>
        </w:rPr>
      </w:pPr>
    </w:p>
    <w:p w:rsidR="00775A36" w:rsidRPr="000229C8" w:rsidRDefault="00775A36" w:rsidP="00775A36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С позиции оригинальности структурно-компоновочных решений и конс</w:t>
      </w:r>
      <w:r w:rsidRPr="000229C8">
        <w:rPr>
          <w:lang w:val="ru-RU"/>
        </w:rPr>
        <w:t>т</w:t>
      </w:r>
      <w:r w:rsidRPr="000229C8">
        <w:rPr>
          <w:lang w:val="ru-RU"/>
        </w:rPr>
        <w:t>руктивного построения основных силовых подсистем проходческих комбайнов нового поколения (КПЛ, КПД, КПУ, КПА, КСП22, КСП32, КСП42) следует отметить следующие о</w:t>
      </w:r>
      <w:r w:rsidRPr="000229C8">
        <w:rPr>
          <w:lang w:val="ru-RU"/>
        </w:rPr>
        <w:t>т</w:t>
      </w:r>
      <w:r w:rsidRPr="000229C8">
        <w:rPr>
          <w:lang w:val="ru-RU"/>
        </w:rPr>
        <w:t>личительные особенности</w:t>
      </w:r>
      <w:r w:rsidRPr="00727C4A">
        <w:rPr>
          <w:lang w:val="ru-RU"/>
        </w:rPr>
        <w:t xml:space="preserve"> [1-4]</w:t>
      </w:r>
      <w:r w:rsidRPr="000229C8">
        <w:rPr>
          <w:lang w:val="ru-RU"/>
        </w:rPr>
        <w:t>.</w:t>
      </w:r>
    </w:p>
    <w:p w:rsidR="00775A36" w:rsidRPr="000229C8" w:rsidRDefault="00775A36" w:rsidP="00775A36">
      <w:pPr>
        <w:pStyle w:val="aa"/>
        <w:spacing w:line="240" w:lineRule="auto"/>
        <w:rPr>
          <w:lang w:val="ru-RU"/>
        </w:rPr>
      </w:pPr>
      <w:r w:rsidRPr="00DC2762">
        <w:rPr>
          <w:lang w:val="ru-RU"/>
        </w:rPr>
        <w:t>1. В качестве исполнительных органов (ИО), наряду с известными продольно-осевыми фрезерными органами, более широко испол</w:t>
      </w:r>
      <w:r w:rsidRPr="00DC2762">
        <w:rPr>
          <w:lang w:val="ru-RU"/>
        </w:rPr>
        <w:t>ь</w:t>
      </w:r>
      <w:r w:rsidRPr="00DC2762">
        <w:rPr>
          <w:lang w:val="ru-RU"/>
        </w:rPr>
        <w:t>зуются поперечно-осевые фрезерные органы, выполненные на о</w:t>
      </w:r>
      <w:r w:rsidRPr="00DC2762">
        <w:rPr>
          <w:lang w:val="ru-RU"/>
        </w:rPr>
        <w:t>с</w:t>
      </w:r>
      <w:r w:rsidRPr="00DC2762">
        <w:rPr>
          <w:lang w:val="ru-RU"/>
        </w:rPr>
        <w:t>нове двух корпусов в виде коронок, симметрично расположенных на выходном валу редуктора</w:t>
      </w:r>
      <w:r w:rsidRPr="00727C4A">
        <w:rPr>
          <w:lang w:val="ru-RU"/>
        </w:rPr>
        <w:t xml:space="preserve">. </w:t>
      </w:r>
      <w:r w:rsidRPr="000229C8">
        <w:rPr>
          <w:lang w:val="ru-RU"/>
        </w:rPr>
        <w:t>Основные преимущества поперечно-осевых фрезерных ИО состоят в сл</w:t>
      </w:r>
      <w:r w:rsidRPr="000229C8">
        <w:rPr>
          <w:lang w:val="ru-RU"/>
        </w:rPr>
        <w:t>е</w:t>
      </w:r>
      <w:r w:rsidRPr="000229C8">
        <w:rPr>
          <w:lang w:val="ru-RU"/>
        </w:rPr>
        <w:t>дующем:</w:t>
      </w:r>
    </w:p>
    <w:p w:rsidR="00775A36" w:rsidRPr="000229C8" w:rsidRDefault="00775A36" w:rsidP="00775A36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− при доминировании горизонтальных перемещений (боковых резов) в процессе разрушения забоя данные ИО обеспечивают формирование более равномерных усилий на резцах, что обусловливает снижение динамической нагруженности элементов силовых подсистем и повышение устойчивости всей м</w:t>
      </w:r>
      <w:r w:rsidRPr="000229C8">
        <w:rPr>
          <w:lang w:val="ru-RU"/>
        </w:rPr>
        <w:t>а</w:t>
      </w:r>
      <w:r w:rsidRPr="000229C8">
        <w:rPr>
          <w:lang w:val="ru-RU"/>
        </w:rPr>
        <w:t>шины</w:t>
      </w:r>
      <w:r w:rsidRPr="00C47F95">
        <w:rPr>
          <w:lang w:val="ru-RU"/>
        </w:rPr>
        <w:t xml:space="preserve"> [2]</w:t>
      </w:r>
      <w:r w:rsidRPr="000229C8">
        <w:rPr>
          <w:lang w:val="ru-RU"/>
        </w:rPr>
        <w:t>. Это обстоятельство позволяет более интенсивно расширять область применения комбайнов (прежде всего</w:t>
      </w:r>
      <w:r w:rsidRPr="00C47F95">
        <w:rPr>
          <w:lang w:val="ru-RU"/>
        </w:rPr>
        <w:t>,</w:t>
      </w:r>
      <w:r w:rsidRPr="000229C8">
        <w:rPr>
          <w:lang w:val="ru-RU"/>
        </w:rPr>
        <w:t xml:space="preserve"> с позиции увел</w:t>
      </w:r>
      <w:r w:rsidRPr="000229C8">
        <w:rPr>
          <w:lang w:val="ru-RU"/>
        </w:rPr>
        <w:t>и</w:t>
      </w:r>
      <w:r w:rsidRPr="000229C8">
        <w:rPr>
          <w:lang w:val="ru-RU"/>
        </w:rPr>
        <w:t xml:space="preserve">чения верхнего предела </w:t>
      </w:r>
      <w:r>
        <w:rPr>
          <w:lang w:val="ru-RU"/>
        </w:rPr>
        <w:t>прочности</w:t>
      </w:r>
      <w:r w:rsidRPr="000229C8">
        <w:rPr>
          <w:lang w:val="ru-RU"/>
        </w:rPr>
        <w:t xml:space="preserve"> разрушаемой горной породы) при повышении уро</w:t>
      </w:r>
      <w:r w:rsidRPr="000229C8">
        <w:rPr>
          <w:lang w:val="ru-RU"/>
        </w:rPr>
        <w:t>в</w:t>
      </w:r>
      <w:r w:rsidRPr="000229C8">
        <w:rPr>
          <w:lang w:val="ru-RU"/>
        </w:rPr>
        <w:t>ня их энерговооруженности;</w:t>
      </w:r>
    </w:p>
    <w:p w:rsidR="00775A36" w:rsidRPr="000229C8" w:rsidRDefault="00775A36" w:rsidP="00775A36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 xml:space="preserve">− </w:t>
      </w:r>
      <w:r>
        <w:rPr>
          <w:lang w:val="ru-RU"/>
        </w:rPr>
        <w:t>эти</w:t>
      </w:r>
      <w:r w:rsidRPr="000229C8">
        <w:rPr>
          <w:lang w:val="ru-RU"/>
        </w:rPr>
        <w:t xml:space="preserve"> ИО обеспечивают более эффективную выгрузку разрушенной горной массы на питатель.</w:t>
      </w:r>
    </w:p>
    <w:p w:rsidR="00775A36" w:rsidRPr="000229C8" w:rsidRDefault="00775A36" w:rsidP="00775A36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 xml:space="preserve">Вместе с тем, применение поперечно-осевых фрезерных ИО несколько усложняет </w:t>
      </w:r>
      <w:r>
        <w:rPr>
          <w:lang w:val="ru-RU"/>
        </w:rPr>
        <w:t>распространенную</w:t>
      </w:r>
      <w:r w:rsidRPr="00C47F95">
        <w:rPr>
          <w:lang w:val="ru-RU"/>
        </w:rPr>
        <w:t xml:space="preserve"> </w:t>
      </w:r>
      <w:r w:rsidRPr="000229C8">
        <w:rPr>
          <w:lang w:val="ru-RU"/>
        </w:rPr>
        <w:t>кинематическую схему редуктора (на выходном валу появляется коническая зубчатая пер</w:t>
      </w:r>
      <w:r w:rsidRPr="000229C8">
        <w:rPr>
          <w:lang w:val="ru-RU"/>
        </w:rPr>
        <w:t>е</w:t>
      </w:r>
      <w:r w:rsidRPr="000229C8">
        <w:rPr>
          <w:lang w:val="ru-RU"/>
        </w:rPr>
        <w:t>дача) и поэтому, по желанию заказчика, в силу тех или иных причин, проходческие комбайны нового поколения (НП) могут оснащат</w:t>
      </w:r>
      <w:r w:rsidRPr="000229C8">
        <w:rPr>
          <w:lang w:val="ru-RU"/>
        </w:rPr>
        <w:t>ь</w:t>
      </w:r>
      <w:r w:rsidRPr="000229C8">
        <w:rPr>
          <w:lang w:val="ru-RU"/>
        </w:rPr>
        <w:t>ся также и продольно-осевыми фрезерными ИО.</w:t>
      </w:r>
    </w:p>
    <w:p w:rsidR="00775A36" w:rsidRPr="00137ABB" w:rsidRDefault="00775A36" w:rsidP="00775A36">
      <w:pPr>
        <w:pStyle w:val="aa"/>
        <w:spacing w:line="240" w:lineRule="auto"/>
        <w:rPr>
          <w:lang w:val="ru-RU"/>
        </w:rPr>
      </w:pPr>
      <w:r w:rsidRPr="00137ABB">
        <w:rPr>
          <w:lang w:val="ru-RU"/>
        </w:rPr>
        <w:t>2. В ряде комбайнов НП серии КП (КПЛ, КПД, КПУ)</w:t>
      </w:r>
      <w:r>
        <w:rPr>
          <w:lang w:val="ru-RU"/>
        </w:rPr>
        <w:t>, разработанных ГП «Донгипроуглемаш»,</w:t>
      </w:r>
      <w:r w:rsidRPr="00137ABB">
        <w:rPr>
          <w:lang w:val="ru-RU"/>
        </w:rPr>
        <w:t xml:space="preserve"> залож</w:t>
      </w:r>
      <w:r w:rsidRPr="00137ABB">
        <w:rPr>
          <w:lang w:val="ru-RU"/>
        </w:rPr>
        <w:t>е</w:t>
      </w:r>
      <w:r w:rsidRPr="00137ABB">
        <w:rPr>
          <w:lang w:val="ru-RU"/>
        </w:rPr>
        <w:t>на возможность использования в подсистеме привода ИО нескольк</w:t>
      </w:r>
      <w:r>
        <w:rPr>
          <w:lang w:val="ru-RU"/>
        </w:rPr>
        <w:t>их</w:t>
      </w:r>
      <w:r w:rsidRPr="00137ABB">
        <w:rPr>
          <w:lang w:val="ru-RU"/>
        </w:rPr>
        <w:t xml:space="preserve"> типов пр</w:t>
      </w:r>
      <w:r w:rsidRPr="00137ABB">
        <w:rPr>
          <w:lang w:val="ru-RU"/>
        </w:rPr>
        <w:t>и</w:t>
      </w:r>
      <w:r>
        <w:rPr>
          <w:lang w:val="ru-RU"/>
        </w:rPr>
        <w:t xml:space="preserve">водных двигателей </w:t>
      </w:r>
      <w:r w:rsidRPr="00137ABB">
        <w:rPr>
          <w:lang w:val="ru-RU"/>
        </w:rPr>
        <w:t>с различной номинальной мощностью и разными синхро</w:t>
      </w:r>
      <w:r w:rsidRPr="00137ABB">
        <w:rPr>
          <w:lang w:val="ru-RU"/>
        </w:rPr>
        <w:t>н</w:t>
      </w:r>
      <w:r w:rsidRPr="00137ABB">
        <w:rPr>
          <w:lang w:val="ru-RU"/>
        </w:rPr>
        <w:t>ными частотами вращения.</w:t>
      </w:r>
    </w:p>
    <w:p w:rsidR="00775A36" w:rsidRDefault="00775A36" w:rsidP="00775A36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Это позволяет осуществлять разрушение горного массива с рациональными режимн</w:t>
      </w:r>
      <w:r w:rsidRPr="000229C8">
        <w:rPr>
          <w:lang w:val="ru-RU"/>
        </w:rPr>
        <w:t>ы</w:t>
      </w:r>
      <w:r w:rsidRPr="000229C8">
        <w:rPr>
          <w:lang w:val="ru-RU"/>
        </w:rPr>
        <w:t>ми параметрами при широком спектре физико-механических свойств вмещающих пород, и за счет этого в конечном итоге реализовать более высокие те</w:t>
      </w:r>
      <w:r w:rsidRPr="000229C8">
        <w:rPr>
          <w:lang w:val="ru-RU"/>
        </w:rPr>
        <w:t>м</w:t>
      </w:r>
      <w:r w:rsidRPr="000229C8">
        <w:rPr>
          <w:lang w:val="ru-RU"/>
        </w:rPr>
        <w:t xml:space="preserve">пы проведения выработок. </w:t>
      </w:r>
      <w:r w:rsidRPr="00137ABB">
        <w:rPr>
          <w:lang w:val="ru-RU"/>
        </w:rPr>
        <w:t>Такой подход позволяет отказаться от использования двухскоростных редукторов с возможн</w:t>
      </w:r>
      <w:r w:rsidRPr="00137ABB">
        <w:rPr>
          <w:lang w:val="ru-RU"/>
        </w:rPr>
        <w:t>о</w:t>
      </w:r>
      <w:r w:rsidRPr="00137ABB">
        <w:rPr>
          <w:lang w:val="ru-RU"/>
        </w:rPr>
        <w:t xml:space="preserve">стью оперативного переключения скоростей резания, </w:t>
      </w:r>
      <w:r w:rsidRPr="00137ABB">
        <w:rPr>
          <w:lang w:val="ru-RU"/>
        </w:rPr>
        <w:lastRenderedPageBreak/>
        <w:t>характеризующихся более низкой надежностью и более в</w:t>
      </w:r>
      <w:r w:rsidRPr="00137ABB">
        <w:rPr>
          <w:lang w:val="ru-RU"/>
        </w:rPr>
        <w:t>ы</w:t>
      </w:r>
      <w:r w:rsidRPr="00137ABB">
        <w:rPr>
          <w:lang w:val="ru-RU"/>
        </w:rPr>
        <w:t>сокой трудоемкостью изготовления по сравнению с широко применяемыми односкоростными редукт</w:t>
      </w:r>
      <w:r w:rsidRPr="00137ABB">
        <w:rPr>
          <w:lang w:val="ru-RU"/>
        </w:rPr>
        <w:t>о</w:t>
      </w:r>
      <w:r w:rsidRPr="00137ABB">
        <w:rPr>
          <w:lang w:val="ru-RU"/>
        </w:rPr>
        <w:t>рами</w:t>
      </w:r>
      <w:r>
        <w:rPr>
          <w:lang w:val="ru-RU"/>
        </w:rPr>
        <w:t>.</w:t>
      </w:r>
    </w:p>
    <w:p w:rsidR="00775A36" w:rsidRDefault="00775A36" w:rsidP="00775A36">
      <w:pPr>
        <w:pStyle w:val="aa"/>
        <w:spacing w:line="240" w:lineRule="auto"/>
        <w:rPr>
          <w:lang w:val="ru-RU"/>
        </w:rPr>
      </w:pPr>
      <w:r w:rsidRPr="00137ABB">
        <w:rPr>
          <w:lang w:val="ru-RU"/>
        </w:rPr>
        <w:t xml:space="preserve">3. Практически во всех комбайнах НП структурно-компоновочное построение подсистем перемещения выполнено на основе гидромеханических кинематических цепей. </w:t>
      </w:r>
      <w:r w:rsidRPr="000229C8">
        <w:rPr>
          <w:lang w:val="ru-RU"/>
        </w:rPr>
        <w:t>В данном случае при использов</w:t>
      </w:r>
      <w:r w:rsidRPr="000229C8">
        <w:rPr>
          <w:lang w:val="ru-RU"/>
        </w:rPr>
        <w:t>а</w:t>
      </w:r>
      <w:r w:rsidRPr="000229C8">
        <w:rPr>
          <w:lang w:val="ru-RU"/>
        </w:rPr>
        <w:t>нии объемных гидропередач «насос-гидромоторы» с достаточно высокими знач</w:t>
      </w:r>
      <w:r w:rsidRPr="000229C8">
        <w:rPr>
          <w:lang w:val="ru-RU"/>
        </w:rPr>
        <w:t>е</w:t>
      </w:r>
      <w:r w:rsidRPr="000229C8">
        <w:rPr>
          <w:lang w:val="ru-RU"/>
        </w:rPr>
        <w:t>ниями гидравлических передаточных чисел в сочетании с цилиндрическими и планетарными зубчатыми передачами обеспечивается высокая надежность, ко</w:t>
      </w:r>
      <w:r w:rsidRPr="000229C8">
        <w:rPr>
          <w:lang w:val="ru-RU"/>
        </w:rPr>
        <w:t>м</w:t>
      </w:r>
      <w:r w:rsidRPr="000229C8">
        <w:rPr>
          <w:lang w:val="ru-RU"/>
        </w:rPr>
        <w:t>пактность и удобство эксплуа</w:t>
      </w:r>
      <w:r>
        <w:rPr>
          <w:lang w:val="ru-RU"/>
        </w:rPr>
        <w:t>тации рассматриваемых подсистем.</w:t>
      </w:r>
    </w:p>
    <w:p w:rsidR="00775A36" w:rsidRPr="000229C8" w:rsidRDefault="00775A36" w:rsidP="00775A36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Для указанных решений подсистем перемещения характерны следующие до</w:t>
      </w:r>
      <w:r w:rsidRPr="000229C8">
        <w:rPr>
          <w:lang w:val="ru-RU"/>
        </w:rPr>
        <w:t>с</w:t>
      </w:r>
      <w:r w:rsidRPr="000229C8">
        <w:rPr>
          <w:lang w:val="ru-RU"/>
        </w:rPr>
        <w:t>тоинства:</w:t>
      </w:r>
      <w:r>
        <w:rPr>
          <w:lang w:val="ru-RU"/>
        </w:rPr>
        <w:t xml:space="preserve"> </w:t>
      </w:r>
      <w:r w:rsidRPr="00F72FD6">
        <w:rPr>
          <w:lang w:val="ru-RU"/>
        </w:rPr>
        <w:t xml:space="preserve">электродвигатели выносятся в безопасную </w:t>
      </w:r>
      <w:r>
        <w:rPr>
          <w:lang w:val="ru-RU"/>
        </w:rPr>
        <w:t>(</w:t>
      </w:r>
      <w:r w:rsidRPr="00F72FD6">
        <w:rPr>
          <w:lang w:val="ru-RU"/>
        </w:rPr>
        <w:t>с позици</w:t>
      </w:r>
      <w:r>
        <w:rPr>
          <w:lang w:val="ru-RU"/>
        </w:rPr>
        <w:t>и</w:t>
      </w:r>
      <w:r w:rsidRPr="00F72FD6">
        <w:rPr>
          <w:lang w:val="ru-RU"/>
        </w:rPr>
        <w:t xml:space="preserve"> попадания влаги</w:t>
      </w:r>
      <w:r>
        <w:rPr>
          <w:lang w:val="ru-RU"/>
        </w:rPr>
        <w:t>)</w:t>
      </w:r>
      <w:r w:rsidRPr="00F72FD6">
        <w:rPr>
          <w:lang w:val="ru-RU"/>
        </w:rPr>
        <w:t xml:space="preserve"> зону;</w:t>
      </w:r>
      <w:r>
        <w:rPr>
          <w:lang w:val="ru-RU"/>
        </w:rPr>
        <w:t xml:space="preserve"> </w:t>
      </w:r>
      <w:r w:rsidRPr="00477310">
        <w:rPr>
          <w:lang w:val="ru-RU"/>
        </w:rPr>
        <w:t xml:space="preserve">современные гидромоторы при </w:t>
      </w:r>
      <w:r>
        <w:rPr>
          <w:lang w:val="ru-RU"/>
        </w:rPr>
        <w:t>эксплуатации</w:t>
      </w:r>
      <w:r w:rsidRPr="00477310">
        <w:rPr>
          <w:lang w:val="ru-RU"/>
        </w:rPr>
        <w:t xml:space="preserve"> в обводненных выработках работают достаточно надежно;</w:t>
      </w:r>
      <w:r>
        <w:rPr>
          <w:lang w:val="ru-RU"/>
        </w:rPr>
        <w:t xml:space="preserve"> </w:t>
      </w:r>
      <w:r w:rsidRPr="00137ABB">
        <w:rPr>
          <w:lang w:val="ru-RU"/>
        </w:rPr>
        <w:t>упрощается конструкция и повышается компактность реду</w:t>
      </w:r>
      <w:r w:rsidRPr="00137ABB">
        <w:rPr>
          <w:lang w:val="ru-RU"/>
        </w:rPr>
        <w:t>к</w:t>
      </w:r>
      <w:r w:rsidRPr="00137ABB">
        <w:rPr>
          <w:lang w:val="ru-RU"/>
        </w:rPr>
        <w:t>торов;</w:t>
      </w:r>
      <w:r>
        <w:rPr>
          <w:lang w:val="ru-RU"/>
        </w:rPr>
        <w:t xml:space="preserve"> </w:t>
      </w:r>
      <w:r w:rsidRPr="00137ABB">
        <w:rPr>
          <w:lang w:val="ru-RU"/>
        </w:rPr>
        <w:t>реализация необходимых значений рабочей и маневровой скоростей перемещения обеспечивается путем изменения подачи насосной установки ко</w:t>
      </w:r>
      <w:r w:rsidRPr="00137ABB">
        <w:rPr>
          <w:lang w:val="ru-RU"/>
        </w:rPr>
        <w:t>м</w:t>
      </w:r>
      <w:r>
        <w:rPr>
          <w:lang w:val="ru-RU"/>
        </w:rPr>
        <w:t>байна</w:t>
      </w:r>
      <w:r w:rsidRPr="00137ABB">
        <w:rPr>
          <w:lang w:val="ru-RU"/>
        </w:rPr>
        <w:t>;</w:t>
      </w:r>
      <w:r>
        <w:rPr>
          <w:lang w:val="ru-RU"/>
        </w:rPr>
        <w:t xml:space="preserve"> </w:t>
      </w:r>
      <w:r w:rsidRPr="000229C8">
        <w:rPr>
          <w:lang w:val="ru-RU"/>
        </w:rPr>
        <w:t>с помощью предохранительных клапанов достаточно просто решается задача защиты подсистем от перегрузок;</w:t>
      </w:r>
      <w:r>
        <w:rPr>
          <w:lang w:val="ru-RU"/>
        </w:rPr>
        <w:t xml:space="preserve"> </w:t>
      </w:r>
      <w:r w:rsidRPr="000229C8">
        <w:rPr>
          <w:lang w:val="ru-RU"/>
        </w:rPr>
        <w:t>гидросхема комбайна позволяет достаточно просто обеспечить индив</w:t>
      </w:r>
      <w:r w:rsidRPr="000229C8">
        <w:rPr>
          <w:lang w:val="ru-RU"/>
        </w:rPr>
        <w:t>и</w:t>
      </w:r>
      <w:r w:rsidRPr="000229C8">
        <w:rPr>
          <w:lang w:val="ru-RU"/>
        </w:rPr>
        <w:t>дуальное управление подсистемами перемещения, что дает возможность опер</w:t>
      </w:r>
      <w:r w:rsidRPr="000229C8">
        <w:rPr>
          <w:lang w:val="ru-RU"/>
        </w:rPr>
        <w:t>а</w:t>
      </w:r>
      <w:r w:rsidRPr="000229C8">
        <w:rPr>
          <w:lang w:val="ru-RU"/>
        </w:rPr>
        <w:t>тивно осуществлять растормаживание, перемещени</w:t>
      </w:r>
      <w:r>
        <w:rPr>
          <w:lang w:val="ru-RU"/>
        </w:rPr>
        <w:t>я</w:t>
      </w:r>
      <w:r w:rsidRPr="000229C8">
        <w:rPr>
          <w:lang w:val="ru-RU"/>
        </w:rPr>
        <w:t xml:space="preserve"> вперед-назад и вправо-влево</w:t>
      </w:r>
      <w:r w:rsidRPr="000229C8">
        <w:rPr>
          <w:rFonts w:ascii="Arial" w:hAnsi="Arial" w:cs="Arial"/>
          <w:sz w:val="32"/>
          <w:szCs w:val="32"/>
          <w:lang w:val="ru-RU"/>
        </w:rPr>
        <w:t>.</w:t>
      </w:r>
    </w:p>
    <w:p w:rsidR="00775A36" w:rsidRPr="00DC2762" w:rsidRDefault="00775A36" w:rsidP="00775A36">
      <w:pPr>
        <w:pStyle w:val="aa"/>
        <w:spacing w:line="240" w:lineRule="auto"/>
        <w:rPr>
          <w:lang w:val="ru-RU"/>
        </w:rPr>
      </w:pPr>
      <w:r w:rsidRPr="00DC2762">
        <w:rPr>
          <w:lang w:val="ru-RU"/>
        </w:rPr>
        <w:t>4. В комбайнах НП для повышения жесткости по</w:t>
      </w:r>
      <w:r w:rsidRPr="00DC2762">
        <w:rPr>
          <w:lang w:val="ru-RU"/>
        </w:rPr>
        <w:t>д</w:t>
      </w:r>
      <w:r w:rsidRPr="00DC2762">
        <w:rPr>
          <w:lang w:val="ru-RU"/>
        </w:rPr>
        <w:t>систем подвески и перемещения ИО, позволяющей уменьшить динамические отклон</w:t>
      </w:r>
      <w:r w:rsidRPr="00DC2762">
        <w:rPr>
          <w:lang w:val="ru-RU"/>
        </w:rPr>
        <w:t>е</w:t>
      </w:r>
      <w:r w:rsidRPr="00DC2762">
        <w:rPr>
          <w:lang w:val="ru-RU"/>
        </w:rPr>
        <w:t>ния рабочих инструментов относительно их номинальных траекторий</w:t>
      </w:r>
      <w:r>
        <w:rPr>
          <w:lang w:val="ru-RU"/>
        </w:rPr>
        <w:t>,</w:t>
      </w:r>
      <w:r w:rsidRPr="00DC2762">
        <w:rPr>
          <w:lang w:val="ru-RU"/>
        </w:rPr>
        <w:t xml:space="preserve"> раму стрелы выполняют не в виде вилки (типа каме</w:t>
      </w:r>
      <w:r w:rsidRPr="00DC2762">
        <w:rPr>
          <w:lang w:val="ru-RU"/>
        </w:rPr>
        <w:t>р</w:t>
      </w:r>
      <w:r w:rsidRPr="00DC2762">
        <w:rPr>
          <w:lang w:val="ru-RU"/>
        </w:rPr>
        <w:t>тон), а в виде замкнутого жесткого четырехугольника.</w:t>
      </w:r>
    </w:p>
    <w:p w:rsidR="00775A36" w:rsidRPr="00DC2762" w:rsidRDefault="00775A36" w:rsidP="00775A36">
      <w:pPr>
        <w:pStyle w:val="aa"/>
        <w:spacing w:line="240" w:lineRule="auto"/>
        <w:rPr>
          <w:lang w:val="ru-RU"/>
        </w:rPr>
      </w:pPr>
      <w:r w:rsidRPr="00DC2762">
        <w:rPr>
          <w:lang w:val="ru-RU"/>
        </w:rPr>
        <w:t>Для уменьшения указанных отклонений в рассматриваемой силовой подсистеме некоторых комбайнов НП (</w:t>
      </w:r>
      <w:r>
        <w:rPr>
          <w:lang w:val="ru-RU"/>
        </w:rPr>
        <w:t xml:space="preserve">КПЛ, </w:t>
      </w:r>
      <w:r w:rsidRPr="00DC2762">
        <w:rPr>
          <w:lang w:val="ru-RU"/>
        </w:rPr>
        <w:t>КПД</w:t>
      </w:r>
      <w:r>
        <w:rPr>
          <w:lang w:val="ru-RU"/>
        </w:rPr>
        <w:t>, КПУ</w:t>
      </w:r>
      <w:r w:rsidRPr="00DC2762">
        <w:rPr>
          <w:lang w:val="ru-RU"/>
        </w:rPr>
        <w:t>) имее</w:t>
      </w:r>
      <w:r w:rsidRPr="00DC2762">
        <w:rPr>
          <w:lang w:val="ru-RU"/>
        </w:rPr>
        <w:t>т</w:t>
      </w:r>
      <w:r w:rsidRPr="00DC2762">
        <w:rPr>
          <w:lang w:val="ru-RU"/>
        </w:rPr>
        <w:t>ся также два пояса гидрозажимов, выполненных на основе гидропатронов. Ук</w:t>
      </w:r>
      <w:r w:rsidRPr="00DC2762">
        <w:rPr>
          <w:lang w:val="ru-RU"/>
        </w:rPr>
        <w:t>а</w:t>
      </w:r>
      <w:r w:rsidRPr="00DC2762">
        <w:rPr>
          <w:lang w:val="ru-RU"/>
        </w:rPr>
        <w:t>занные пояса обеспечивают выборку увеличивающихся в результате износа з</w:t>
      </w:r>
      <w:r w:rsidRPr="00DC2762">
        <w:rPr>
          <w:lang w:val="ru-RU"/>
        </w:rPr>
        <w:t>а</w:t>
      </w:r>
      <w:r w:rsidRPr="00DC2762">
        <w:rPr>
          <w:lang w:val="ru-RU"/>
        </w:rPr>
        <w:t>зоров в подвижном сопряжении между корпусными узлами подсистемы прив</w:t>
      </w:r>
      <w:r w:rsidRPr="00DC2762">
        <w:rPr>
          <w:lang w:val="ru-RU"/>
        </w:rPr>
        <w:t>о</w:t>
      </w:r>
      <w:r w:rsidRPr="00DC2762">
        <w:rPr>
          <w:lang w:val="ru-RU"/>
        </w:rPr>
        <w:t>да ИО и рамой стрелы и фиксацию взаимного расположения указанных узлов при ра</w:t>
      </w:r>
      <w:r w:rsidRPr="00DC2762">
        <w:rPr>
          <w:lang w:val="ru-RU"/>
        </w:rPr>
        <w:t>з</w:t>
      </w:r>
      <w:r w:rsidRPr="00DC2762">
        <w:rPr>
          <w:lang w:val="ru-RU"/>
        </w:rPr>
        <w:t xml:space="preserve">рушении горных пород. </w:t>
      </w:r>
    </w:p>
    <w:p w:rsidR="00775A36" w:rsidRPr="000229C8" w:rsidRDefault="00775A36" w:rsidP="00775A36">
      <w:pPr>
        <w:pStyle w:val="aa"/>
        <w:spacing w:line="240" w:lineRule="auto"/>
        <w:rPr>
          <w:lang w:val="ru-RU"/>
        </w:rPr>
      </w:pPr>
      <w:r w:rsidRPr="00137ABB">
        <w:rPr>
          <w:lang w:val="ru-RU"/>
        </w:rPr>
        <w:t>5. Подшипниковые опоры поворотной турели в ряде проходческих комба</w:t>
      </w:r>
      <w:r w:rsidRPr="00137ABB">
        <w:rPr>
          <w:lang w:val="ru-RU"/>
        </w:rPr>
        <w:t>й</w:t>
      </w:r>
      <w:r w:rsidRPr="00137ABB">
        <w:rPr>
          <w:lang w:val="ru-RU"/>
        </w:rPr>
        <w:t>нов НП разнесены и соответственно располагаются над (верхняя опора) и под (нижняя опора) конвейером.</w:t>
      </w:r>
      <w:r>
        <w:rPr>
          <w:lang w:val="ru-RU"/>
        </w:rPr>
        <w:t xml:space="preserve"> </w:t>
      </w:r>
      <w:r w:rsidRPr="000229C8">
        <w:rPr>
          <w:lang w:val="ru-RU"/>
        </w:rPr>
        <w:t>Такое конструктивное исполнение является перспективным, поскольку характеризуется по сравнению с традиционными компоновочными решениями данного узла (сближенные опоры, располагающиеся либо над, либо под конве</w:t>
      </w:r>
      <w:r w:rsidRPr="000229C8">
        <w:rPr>
          <w:lang w:val="ru-RU"/>
        </w:rPr>
        <w:t>й</w:t>
      </w:r>
      <w:r w:rsidRPr="000229C8">
        <w:rPr>
          <w:lang w:val="ru-RU"/>
        </w:rPr>
        <w:t>ером) существенно большей опорной базой, что обеспечивает повышение жес</w:t>
      </w:r>
      <w:r w:rsidRPr="000229C8">
        <w:rPr>
          <w:lang w:val="ru-RU"/>
        </w:rPr>
        <w:t>т</w:t>
      </w:r>
      <w:r w:rsidRPr="000229C8">
        <w:rPr>
          <w:lang w:val="ru-RU"/>
        </w:rPr>
        <w:t>кости и прочности элементов подвижного соединения «поворотная турель – основная рама корпусной подси</w:t>
      </w:r>
      <w:r w:rsidRPr="000229C8">
        <w:rPr>
          <w:lang w:val="ru-RU"/>
        </w:rPr>
        <w:t>с</w:t>
      </w:r>
      <w:r w:rsidRPr="000229C8">
        <w:rPr>
          <w:lang w:val="ru-RU"/>
        </w:rPr>
        <w:t xml:space="preserve">темы» </w:t>
      </w:r>
    </w:p>
    <w:p w:rsidR="00775A36" w:rsidRPr="000229C8" w:rsidRDefault="00775A36" w:rsidP="00775A36">
      <w:pPr>
        <w:pStyle w:val="aa"/>
        <w:spacing w:line="240" w:lineRule="auto"/>
        <w:rPr>
          <w:lang w:val="ru-RU"/>
        </w:rPr>
      </w:pPr>
      <w:r w:rsidRPr="00137ABB">
        <w:rPr>
          <w:lang w:val="ru-RU"/>
        </w:rPr>
        <w:t>6. В комбайнах НП стреловидного типа в качестве рабочего погрузочного органа получили распространение погрузочные звезды, кот</w:t>
      </w:r>
      <w:r w:rsidRPr="00137ABB">
        <w:rPr>
          <w:lang w:val="ru-RU"/>
        </w:rPr>
        <w:t>о</w:t>
      </w:r>
      <w:r w:rsidRPr="00137ABB">
        <w:rPr>
          <w:lang w:val="ru-RU"/>
        </w:rPr>
        <w:t xml:space="preserve">рые по сравнению с </w:t>
      </w:r>
      <w:r>
        <w:rPr>
          <w:lang w:val="ru-RU"/>
        </w:rPr>
        <w:t xml:space="preserve">традиционными </w:t>
      </w:r>
      <w:r w:rsidRPr="00137ABB">
        <w:rPr>
          <w:lang w:val="ru-RU"/>
        </w:rPr>
        <w:t>нагребающими лапами характеризуются более простым конструктивным исполнением и обладают большей производительность</w:t>
      </w:r>
      <w:r w:rsidRPr="000229C8">
        <w:rPr>
          <w:lang w:val="ru-RU"/>
        </w:rPr>
        <w:t>ю</w:t>
      </w:r>
      <w:r w:rsidRPr="00137ABB">
        <w:rPr>
          <w:lang w:val="ru-RU"/>
        </w:rPr>
        <w:t xml:space="preserve"> </w:t>
      </w:r>
      <w:r w:rsidRPr="000229C8">
        <w:rPr>
          <w:lang w:val="ru-RU"/>
        </w:rPr>
        <w:t>(особенно при погрузке о</w:t>
      </w:r>
      <w:r w:rsidRPr="000229C8">
        <w:rPr>
          <w:lang w:val="ru-RU"/>
        </w:rPr>
        <w:t>б</w:t>
      </w:r>
      <w:r w:rsidRPr="000229C8">
        <w:rPr>
          <w:lang w:val="ru-RU"/>
        </w:rPr>
        <w:t>водненной горной массы).</w:t>
      </w:r>
    </w:p>
    <w:p w:rsidR="00775A36" w:rsidRPr="00137ABB" w:rsidRDefault="00775A36" w:rsidP="00775A36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Каждая погрузочная звезда имеет, как правило, индивидуальный гидромехан</w:t>
      </w:r>
      <w:r w:rsidRPr="000229C8">
        <w:rPr>
          <w:lang w:val="ru-RU"/>
        </w:rPr>
        <w:t>и</w:t>
      </w:r>
      <w:r w:rsidRPr="000229C8">
        <w:rPr>
          <w:lang w:val="ru-RU"/>
        </w:rPr>
        <w:t xml:space="preserve">ческий привод от гидромотора. </w:t>
      </w:r>
      <w:r w:rsidRPr="00137ABB">
        <w:rPr>
          <w:lang w:val="ru-RU"/>
        </w:rPr>
        <w:t>Применение гидромеханического привода в составе подсистем погрузки по сравнению с электромеханическим приводом обосновано в основном такими же преимуществами, как и использование его в подсистемах перемещ</w:t>
      </w:r>
      <w:r w:rsidRPr="00137ABB">
        <w:rPr>
          <w:lang w:val="ru-RU"/>
        </w:rPr>
        <w:t>е</w:t>
      </w:r>
      <w:r w:rsidRPr="00137ABB">
        <w:rPr>
          <w:lang w:val="ru-RU"/>
        </w:rPr>
        <w:t>ния (см. пункт 3).</w:t>
      </w:r>
    </w:p>
    <w:p w:rsidR="00775A36" w:rsidRPr="000229C8" w:rsidRDefault="00775A36" w:rsidP="00775A36">
      <w:pPr>
        <w:pStyle w:val="aa"/>
        <w:spacing w:line="240" w:lineRule="auto"/>
        <w:rPr>
          <w:lang w:val="ru-RU"/>
        </w:rPr>
      </w:pPr>
      <w:r>
        <w:rPr>
          <w:lang w:val="ru-RU"/>
        </w:rPr>
        <w:t xml:space="preserve">В некоторых конструкциях </w:t>
      </w:r>
      <w:r w:rsidRPr="000229C8">
        <w:rPr>
          <w:lang w:val="ru-RU"/>
        </w:rPr>
        <w:t>комбайнов НП функции погру</w:t>
      </w:r>
      <w:r w:rsidRPr="000229C8">
        <w:rPr>
          <w:lang w:val="ru-RU"/>
        </w:rPr>
        <w:t>з</w:t>
      </w:r>
      <w:r w:rsidRPr="000229C8">
        <w:rPr>
          <w:lang w:val="ru-RU"/>
        </w:rPr>
        <w:t>ки и транспортирования отделенной горной массы совмещены в кольцевом скребковом конвейере с замкнутыми в одной плоскости цепями, о</w:t>
      </w:r>
      <w:r w:rsidRPr="000229C8">
        <w:rPr>
          <w:lang w:val="ru-RU"/>
        </w:rPr>
        <w:t>с</w:t>
      </w:r>
      <w:r w:rsidRPr="000229C8">
        <w:rPr>
          <w:lang w:val="ru-RU"/>
        </w:rPr>
        <w:t>нащенными консольно расположенными скребками. Достоинством таких решений является уменьшение габ</w:t>
      </w:r>
      <w:r w:rsidRPr="000229C8">
        <w:rPr>
          <w:lang w:val="ru-RU"/>
        </w:rPr>
        <w:t>а</w:t>
      </w:r>
      <w:r w:rsidRPr="000229C8">
        <w:rPr>
          <w:lang w:val="ru-RU"/>
        </w:rPr>
        <w:t>ритных размеров погрузочного устройства и комбайна в целом, а также упрощение его конструкции и, как следствие, во</w:t>
      </w:r>
      <w:r w:rsidRPr="000229C8">
        <w:rPr>
          <w:lang w:val="ru-RU"/>
        </w:rPr>
        <w:t>з</w:t>
      </w:r>
      <w:r w:rsidRPr="000229C8">
        <w:rPr>
          <w:lang w:val="ru-RU"/>
        </w:rPr>
        <w:t xml:space="preserve">можность проведения выработок высотой менее </w:t>
      </w:r>
      <w:smartTag w:uri="urn:schemas-microsoft-com:office:smarttags" w:element="metricconverter">
        <w:smartTagPr>
          <w:attr w:name="ProductID" w:val="2 м"/>
        </w:smartTagPr>
        <w:r w:rsidRPr="000229C8">
          <w:rPr>
            <w:lang w:val="ru-RU"/>
          </w:rPr>
          <w:t>2</w:t>
        </w:r>
        <w:r>
          <w:rPr>
            <w:lang w:val="ru-RU"/>
          </w:rPr>
          <w:t xml:space="preserve"> </w:t>
        </w:r>
        <w:r w:rsidRPr="000229C8">
          <w:rPr>
            <w:lang w:val="ru-RU"/>
          </w:rPr>
          <w:t>м</w:t>
        </w:r>
      </w:smartTag>
      <w:r>
        <w:rPr>
          <w:lang w:val="ru-RU"/>
        </w:rPr>
        <w:t xml:space="preserve"> </w:t>
      </w:r>
      <w:r w:rsidRPr="000229C8">
        <w:rPr>
          <w:lang w:val="ru-RU"/>
        </w:rPr>
        <w:t>.</w:t>
      </w:r>
    </w:p>
    <w:p w:rsidR="00775A36" w:rsidRPr="00137ABB" w:rsidRDefault="00775A36" w:rsidP="00775A36">
      <w:pPr>
        <w:pStyle w:val="aa"/>
        <w:spacing w:line="240" w:lineRule="auto"/>
        <w:rPr>
          <w:lang w:val="ru-RU"/>
        </w:rPr>
      </w:pPr>
      <w:r w:rsidRPr="00137ABB">
        <w:rPr>
          <w:lang w:val="ru-RU"/>
        </w:rPr>
        <w:t>7</w:t>
      </w:r>
      <w:r>
        <w:rPr>
          <w:lang w:val="ru-RU"/>
        </w:rPr>
        <w:t xml:space="preserve">. </w:t>
      </w:r>
      <w:r w:rsidRPr="00137ABB">
        <w:rPr>
          <w:lang w:val="ru-RU"/>
        </w:rPr>
        <w:t xml:space="preserve">Разработанный </w:t>
      </w:r>
      <w:r>
        <w:rPr>
          <w:lang w:val="ru-RU"/>
        </w:rPr>
        <w:t>ГП</w:t>
      </w:r>
      <w:r w:rsidRPr="00137ABB">
        <w:rPr>
          <w:lang w:val="ru-RU"/>
        </w:rPr>
        <w:t xml:space="preserve"> «Донгипроуглемаш» проходческо-анкеровальный комплекс КПА представляет собой совершенно новую маш</w:t>
      </w:r>
      <w:r w:rsidRPr="00137ABB">
        <w:rPr>
          <w:lang w:val="ru-RU"/>
        </w:rPr>
        <w:t>и</w:t>
      </w:r>
      <w:r w:rsidRPr="00137ABB">
        <w:rPr>
          <w:lang w:val="ru-RU"/>
        </w:rPr>
        <w:t>ну, подобных которой не создавалось ранее в странах СНГ. Отличительными ос</w:t>
      </w:r>
      <w:r w:rsidRPr="00137ABB">
        <w:rPr>
          <w:lang w:val="ru-RU"/>
        </w:rPr>
        <w:t>о</w:t>
      </w:r>
      <w:r w:rsidRPr="00137ABB">
        <w:rPr>
          <w:lang w:val="ru-RU"/>
        </w:rPr>
        <w:t>бенностями базовой машины комплекса проходческого комбайна КПА являются:</w:t>
      </w:r>
      <w:r>
        <w:rPr>
          <w:lang w:val="ru-RU"/>
        </w:rPr>
        <w:t xml:space="preserve"> </w:t>
      </w:r>
      <w:r w:rsidRPr="000229C8">
        <w:rPr>
          <w:lang w:val="ru-RU"/>
        </w:rPr>
        <w:t>наличие двух спаренных оригинальных шнековых исполнительных о</w:t>
      </w:r>
      <w:r w:rsidRPr="000229C8">
        <w:rPr>
          <w:lang w:val="ru-RU"/>
        </w:rPr>
        <w:t>р</w:t>
      </w:r>
      <w:r w:rsidRPr="000229C8">
        <w:rPr>
          <w:lang w:val="ru-RU"/>
        </w:rPr>
        <w:t>ганов, обеспечивающих разрушение горного массива по всей ширине выраб</w:t>
      </w:r>
      <w:r>
        <w:rPr>
          <w:lang w:val="ru-RU"/>
        </w:rPr>
        <w:t>отки</w:t>
      </w:r>
      <w:r w:rsidRPr="000229C8">
        <w:rPr>
          <w:lang w:val="ru-RU"/>
        </w:rPr>
        <w:t xml:space="preserve"> за два прохода;</w:t>
      </w:r>
      <w:r>
        <w:rPr>
          <w:lang w:val="ru-RU"/>
        </w:rPr>
        <w:t xml:space="preserve"> </w:t>
      </w:r>
      <w:r w:rsidRPr="00137ABB">
        <w:rPr>
          <w:lang w:val="ru-RU"/>
        </w:rPr>
        <w:t xml:space="preserve">высокая энерговооруженность </w:t>
      </w:r>
      <w:r>
        <w:rPr>
          <w:lang w:val="ru-RU"/>
        </w:rPr>
        <w:t>привода</w:t>
      </w:r>
      <w:r w:rsidRPr="00137ABB">
        <w:rPr>
          <w:lang w:val="ru-RU"/>
        </w:rPr>
        <w:t xml:space="preserve"> исполнительных органов;</w:t>
      </w:r>
      <w:r>
        <w:rPr>
          <w:lang w:val="ru-RU"/>
        </w:rPr>
        <w:t xml:space="preserve"> </w:t>
      </w:r>
      <w:r w:rsidRPr="00137ABB">
        <w:rPr>
          <w:lang w:val="ru-RU"/>
        </w:rPr>
        <w:t>совмещение операций по разрушению забоя и возведению анкерной крепи;</w:t>
      </w:r>
      <w:r>
        <w:rPr>
          <w:lang w:val="ru-RU"/>
        </w:rPr>
        <w:t xml:space="preserve"> </w:t>
      </w:r>
      <w:r w:rsidRPr="00137ABB">
        <w:rPr>
          <w:lang w:val="ru-RU"/>
        </w:rPr>
        <w:t>возможность одновременной установки четырех анкеров в кровлю и двух – в бока выработки;</w:t>
      </w:r>
      <w:r>
        <w:rPr>
          <w:lang w:val="ru-RU"/>
        </w:rPr>
        <w:t xml:space="preserve"> </w:t>
      </w:r>
      <w:r w:rsidRPr="00137ABB">
        <w:rPr>
          <w:lang w:val="ru-RU"/>
        </w:rPr>
        <w:t>наличие предохранительного подхвата для поддержания кровли в зоне работы исполнительного органа;</w:t>
      </w:r>
      <w:r>
        <w:rPr>
          <w:lang w:val="ru-RU"/>
        </w:rPr>
        <w:t xml:space="preserve"> </w:t>
      </w:r>
      <w:r w:rsidRPr="00137ABB">
        <w:rPr>
          <w:lang w:val="ru-RU"/>
        </w:rPr>
        <w:t>наличие распорного устройства в кровлю выработки, обеспечивающего п</w:t>
      </w:r>
      <w:r w:rsidRPr="00137ABB">
        <w:rPr>
          <w:lang w:val="ru-RU"/>
        </w:rPr>
        <w:t>о</w:t>
      </w:r>
      <w:r w:rsidRPr="00137ABB">
        <w:rPr>
          <w:lang w:val="ru-RU"/>
        </w:rPr>
        <w:t>вышение устойчивости и снижение вибрации комбайна.</w:t>
      </w:r>
    </w:p>
    <w:p w:rsidR="00775A36" w:rsidRPr="00137ABB" w:rsidRDefault="00775A36" w:rsidP="00775A36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 xml:space="preserve">Следует отметить, что для ряда </w:t>
      </w:r>
      <w:r>
        <w:rPr>
          <w:lang w:val="ru-RU"/>
        </w:rPr>
        <w:t>комбайнов НП</w:t>
      </w:r>
      <w:r w:rsidRPr="000229C8">
        <w:rPr>
          <w:lang w:val="ru-RU"/>
        </w:rPr>
        <w:t xml:space="preserve"> </w:t>
      </w:r>
      <w:r>
        <w:rPr>
          <w:lang w:val="ru-RU"/>
        </w:rPr>
        <w:t>(КПД, КПУ)</w:t>
      </w:r>
      <w:r w:rsidRPr="000229C8">
        <w:rPr>
          <w:lang w:val="ru-RU"/>
        </w:rPr>
        <w:t xml:space="preserve"> также предусмо</w:t>
      </w:r>
      <w:r w:rsidRPr="000229C8">
        <w:rPr>
          <w:lang w:val="ru-RU"/>
        </w:rPr>
        <w:t>т</w:t>
      </w:r>
      <w:r>
        <w:rPr>
          <w:lang w:val="ru-RU"/>
        </w:rPr>
        <w:t xml:space="preserve">рена возможность </w:t>
      </w:r>
      <w:r w:rsidRPr="000229C8">
        <w:rPr>
          <w:lang w:val="ru-RU"/>
        </w:rPr>
        <w:t xml:space="preserve">оснащения бурильными установками и крепемонтажным устройством для возведения анкерной крепи. </w:t>
      </w:r>
      <w:r w:rsidRPr="00137ABB">
        <w:rPr>
          <w:lang w:val="ru-RU"/>
        </w:rPr>
        <w:t>Такая технология крепления, р</w:t>
      </w:r>
      <w:r w:rsidRPr="00137ABB">
        <w:rPr>
          <w:lang w:val="ru-RU"/>
        </w:rPr>
        <w:t>е</w:t>
      </w:r>
      <w:r w:rsidRPr="00137ABB">
        <w:rPr>
          <w:lang w:val="ru-RU"/>
        </w:rPr>
        <w:t>шающая задачу совмещения операций по разрушению забоя и возведению кр</w:t>
      </w:r>
      <w:r w:rsidRPr="00137ABB">
        <w:rPr>
          <w:lang w:val="ru-RU"/>
        </w:rPr>
        <w:t>е</w:t>
      </w:r>
      <w:r w:rsidRPr="00137ABB">
        <w:rPr>
          <w:lang w:val="ru-RU"/>
        </w:rPr>
        <w:t>пи, как показывает опыт работы ведущих угледобывающих стран мира</w:t>
      </w:r>
      <w:r>
        <w:rPr>
          <w:lang w:val="ru-RU"/>
        </w:rPr>
        <w:t>,</w:t>
      </w:r>
      <w:r w:rsidRPr="00137ABB">
        <w:rPr>
          <w:lang w:val="ru-RU"/>
        </w:rPr>
        <w:t xml:space="preserve"> способна обеспечить темпы проходки до 600-800 м/мес.</w:t>
      </w:r>
    </w:p>
    <w:p w:rsidR="00775A36" w:rsidRPr="00137ABB" w:rsidRDefault="00775A36" w:rsidP="00775A36">
      <w:pPr>
        <w:pStyle w:val="aa"/>
        <w:widowControl w:val="0"/>
        <w:spacing w:line="240" w:lineRule="auto"/>
        <w:rPr>
          <w:lang w:val="ru-RU"/>
        </w:rPr>
      </w:pPr>
      <w:r w:rsidRPr="00137ABB">
        <w:rPr>
          <w:lang w:val="ru-RU"/>
        </w:rPr>
        <w:t>8. Практически все комбайны НП имеют систему высоконапо</w:t>
      </w:r>
      <w:r w:rsidRPr="00137ABB">
        <w:rPr>
          <w:lang w:val="ru-RU"/>
        </w:rPr>
        <w:t>р</w:t>
      </w:r>
      <w:r w:rsidRPr="00137ABB">
        <w:rPr>
          <w:lang w:val="ru-RU"/>
        </w:rPr>
        <w:t>ного внешнего орошения, которая по экспериментальным данным обесп</w:t>
      </w:r>
      <w:r w:rsidRPr="00137ABB">
        <w:rPr>
          <w:lang w:val="ru-RU"/>
        </w:rPr>
        <w:t>е</w:t>
      </w:r>
      <w:r w:rsidRPr="00137ABB">
        <w:rPr>
          <w:lang w:val="ru-RU"/>
        </w:rPr>
        <w:t>чивает в 12-15 раз снижение концентрации пыли в проходческом забое за счет обволакивания водо-воздушной смесью зоны работы исполнительного о</w:t>
      </w:r>
      <w:r w:rsidRPr="00137ABB">
        <w:rPr>
          <w:lang w:val="ru-RU"/>
        </w:rPr>
        <w:t>р</w:t>
      </w:r>
      <w:r w:rsidRPr="00137ABB">
        <w:rPr>
          <w:lang w:val="ru-RU"/>
        </w:rPr>
        <w:t>гана.</w:t>
      </w:r>
    </w:p>
    <w:p w:rsidR="00775A36" w:rsidRPr="00137ABB" w:rsidRDefault="00775A36" w:rsidP="00775A36">
      <w:pPr>
        <w:pStyle w:val="aa"/>
        <w:spacing w:line="240" w:lineRule="auto"/>
        <w:rPr>
          <w:lang w:val="ru-RU"/>
        </w:rPr>
      </w:pPr>
      <w:r w:rsidRPr="00137ABB">
        <w:rPr>
          <w:lang w:val="ru-RU"/>
        </w:rPr>
        <w:t>9. Базовые исполнения комбайнов НП предусматривают возмо</w:t>
      </w:r>
      <w:r w:rsidRPr="00137ABB">
        <w:rPr>
          <w:lang w:val="ru-RU"/>
        </w:rPr>
        <w:t>ж</w:t>
      </w:r>
      <w:r w:rsidRPr="00137ABB">
        <w:rPr>
          <w:lang w:val="ru-RU"/>
        </w:rPr>
        <w:t>ность оперативного оснащения комбайнов навесным и прицепным оборудов</w:t>
      </w:r>
      <w:r w:rsidRPr="00137ABB">
        <w:rPr>
          <w:lang w:val="ru-RU"/>
        </w:rPr>
        <w:t>а</w:t>
      </w:r>
      <w:r w:rsidRPr="00137ABB">
        <w:rPr>
          <w:lang w:val="ru-RU"/>
        </w:rPr>
        <w:t>нием в различной комплектации, обеспечивающим комплексное решение всех операций проходческого цикла.</w:t>
      </w:r>
    </w:p>
    <w:p w:rsidR="00775A36" w:rsidRPr="00F165CF" w:rsidRDefault="00775A36" w:rsidP="00775A36">
      <w:pPr>
        <w:pStyle w:val="aa"/>
        <w:spacing w:line="240" w:lineRule="auto"/>
        <w:rPr>
          <w:lang w:val="ru-RU"/>
        </w:rPr>
      </w:pPr>
      <w:r w:rsidRPr="00F165CF">
        <w:rPr>
          <w:lang w:val="ru-RU"/>
        </w:rPr>
        <w:t>10. Аппаратура управления характеризуется значительно более расширенными функциями с возможностью их монит</w:t>
      </w:r>
      <w:r w:rsidRPr="00F165CF">
        <w:rPr>
          <w:lang w:val="ru-RU"/>
        </w:rPr>
        <w:t>о</w:t>
      </w:r>
      <w:r w:rsidRPr="00F165CF">
        <w:rPr>
          <w:lang w:val="ru-RU"/>
        </w:rPr>
        <w:t>ринга, обеспечивает дистанционное управление комбайнами, в т.ч. беспрово</w:t>
      </w:r>
      <w:r w:rsidRPr="00F165CF">
        <w:rPr>
          <w:lang w:val="ru-RU"/>
        </w:rPr>
        <w:t>д</w:t>
      </w:r>
      <w:r w:rsidRPr="00F165CF">
        <w:rPr>
          <w:lang w:val="ru-RU"/>
        </w:rPr>
        <w:t>ное по радиоканалу, и включает в себя средства контроля технического состо</w:t>
      </w:r>
      <w:r w:rsidRPr="00F165CF">
        <w:rPr>
          <w:lang w:val="ru-RU"/>
        </w:rPr>
        <w:t>я</w:t>
      </w:r>
      <w:r w:rsidRPr="00F165CF">
        <w:rPr>
          <w:lang w:val="ru-RU"/>
        </w:rPr>
        <w:t xml:space="preserve">ния и диагностики ответственных узлов. </w:t>
      </w:r>
    </w:p>
    <w:p w:rsidR="00775A36" w:rsidRDefault="00775A36" w:rsidP="00775A36">
      <w:pPr>
        <w:pStyle w:val="aa"/>
        <w:spacing w:line="240" w:lineRule="auto"/>
        <w:rPr>
          <w:lang w:val="ru-RU"/>
        </w:rPr>
      </w:pPr>
      <w:r w:rsidRPr="00F165CF">
        <w:rPr>
          <w:lang w:val="ru-RU"/>
        </w:rPr>
        <w:t>Наряду с вышеуказанными отличительными особенностями структурно-компоновочных решений основных силовых подсистем</w:t>
      </w:r>
      <w:r>
        <w:rPr>
          <w:lang w:val="ru-RU"/>
        </w:rPr>
        <w:t xml:space="preserve"> проходческих</w:t>
      </w:r>
      <w:r w:rsidRPr="00F165CF">
        <w:rPr>
          <w:lang w:val="ru-RU"/>
        </w:rPr>
        <w:t xml:space="preserve"> комбайнов </w:t>
      </w:r>
      <w:r>
        <w:rPr>
          <w:lang w:val="ru-RU"/>
        </w:rPr>
        <w:t>НП</w:t>
      </w:r>
      <w:r w:rsidRPr="00F165CF">
        <w:rPr>
          <w:lang w:val="ru-RU"/>
        </w:rPr>
        <w:t xml:space="preserve"> следует отметить повышение конкурентоспособности их о</w:t>
      </w:r>
      <w:r w:rsidRPr="00F165CF">
        <w:rPr>
          <w:lang w:val="ru-RU"/>
        </w:rPr>
        <w:t>с</w:t>
      </w:r>
      <w:r w:rsidRPr="00F165CF">
        <w:rPr>
          <w:lang w:val="ru-RU"/>
        </w:rPr>
        <w:t>новных характеристик</w:t>
      </w:r>
      <w:r>
        <w:rPr>
          <w:lang w:val="ru-RU"/>
        </w:rPr>
        <w:t>.</w:t>
      </w:r>
    </w:p>
    <w:p w:rsidR="00775A36" w:rsidRDefault="00775A36" w:rsidP="00775A36">
      <w:pPr>
        <w:pStyle w:val="aa"/>
        <w:spacing w:line="240" w:lineRule="auto"/>
        <w:rPr>
          <w:lang w:val="ru-RU"/>
        </w:rPr>
      </w:pPr>
    </w:p>
    <w:p w:rsidR="00775A36" w:rsidRDefault="00775A36" w:rsidP="00775A36">
      <w:pPr>
        <w:pStyle w:val="aa"/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>Перечень ссылок</w:t>
      </w:r>
    </w:p>
    <w:p w:rsidR="00775A36" w:rsidRDefault="00775A36" w:rsidP="00775A36">
      <w:pPr>
        <w:pStyle w:val="aa"/>
        <w:spacing w:line="240" w:lineRule="auto"/>
        <w:ind w:firstLine="357"/>
        <w:rPr>
          <w:lang w:val="ru-RU"/>
        </w:rPr>
      </w:pPr>
      <w:r w:rsidRPr="00593C5F">
        <w:rPr>
          <w:lang w:val="ru-RU"/>
        </w:rPr>
        <w:t>1.</w:t>
      </w:r>
      <w:r>
        <w:rPr>
          <w:lang w:val="ru-RU"/>
        </w:rPr>
        <w:t xml:space="preserve"> Косарев В.В., Мизин В.А. Новая проходческая техника Донгипроуглемаша для решения задач своевременной и качественной подготовки фронта горных работ // Сб. научных трудов ГП «Донгипроуглемаш». –Донецк: Астро, 2008. –с. 405-418.</w:t>
      </w:r>
    </w:p>
    <w:p w:rsidR="00775A36" w:rsidRDefault="00775A36" w:rsidP="00775A36">
      <w:pPr>
        <w:pStyle w:val="aa"/>
        <w:spacing w:line="240" w:lineRule="auto"/>
        <w:ind w:firstLine="357"/>
        <w:rPr>
          <w:lang w:val="ru-RU"/>
        </w:rPr>
      </w:pPr>
      <w:r>
        <w:rPr>
          <w:lang w:val="ru-RU"/>
        </w:rPr>
        <w:t>2. Горные машины для  подземной добычи угля / П.А. Горбатов, Г.В. Петрушкин, Н.М. Лысенко, С.В. Павленко, В.В. Косарев. –Донецк: ДонНТУ, 2006. -669с.</w:t>
      </w:r>
    </w:p>
    <w:p w:rsidR="00775A36" w:rsidRDefault="00775A36" w:rsidP="00775A36">
      <w:pPr>
        <w:pStyle w:val="aa"/>
        <w:spacing w:line="240" w:lineRule="auto"/>
        <w:ind w:firstLine="357"/>
        <w:rPr>
          <w:lang w:val="ru-RU"/>
        </w:rPr>
      </w:pPr>
      <w:r>
        <w:rPr>
          <w:lang w:val="ru-RU"/>
        </w:rPr>
        <w:t>3. Украинская техника для угольных шахт: Каталог / В.В. Косарев, Н.И. Стадник и др.; Под общ. ред. В.В. Косарева. –Донецк: Астро, 2008. -321с.</w:t>
      </w:r>
    </w:p>
    <w:p w:rsidR="00775A36" w:rsidRDefault="00775A36" w:rsidP="00775A36">
      <w:pPr>
        <w:pStyle w:val="aa"/>
        <w:spacing w:line="240" w:lineRule="auto"/>
        <w:ind w:firstLine="357"/>
        <w:rPr>
          <w:lang w:val="ru-RU"/>
        </w:rPr>
      </w:pPr>
      <w:r>
        <w:rPr>
          <w:lang w:val="ru-RU"/>
        </w:rPr>
        <w:t>4. Анализ и классификация существующих конструкций систем подвески и перемещения стреловидных исполнительных органов проходческих комбайнов / В.А. Мизин, В.С. Пальчик, С.В. Филипенко, В.И. Косарева // Сб. научных трудов ГП «Донгипроуглемаш». –Донецк: Астро, 2008. –с. 419-430.</w:t>
      </w:r>
    </w:p>
    <w:p w:rsidR="006B24A4" w:rsidRPr="00775A36" w:rsidRDefault="006B24A4" w:rsidP="00775A36">
      <w:bookmarkStart w:id="0" w:name="_GoBack"/>
      <w:bookmarkEnd w:id="0"/>
    </w:p>
    <w:sectPr w:rsidR="006B24A4" w:rsidRPr="0077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81219"/>
    <w:rsid w:val="006B24A4"/>
    <w:rsid w:val="00775A36"/>
    <w:rsid w:val="00C71F21"/>
    <w:rsid w:val="00CE0789"/>
    <w:rsid w:val="00CE1B07"/>
    <w:rsid w:val="00D665BA"/>
    <w:rsid w:val="00E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2012-05-31T18:01:00Z</dcterms:created>
  <dcterms:modified xsi:type="dcterms:W3CDTF">2012-05-31T18:01:00Z</dcterms:modified>
</cp:coreProperties>
</file>