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2D" w:rsidRPr="009E7D51" w:rsidRDefault="0034182D" w:rsidP="0034182D">
      <w:pPr>
        <w:pStyle w:val="a3"/>
        <w:spacing w:before="0" w:beforeAutospacing="0" w:after="0"/>
        <w:ind w:left="0"/>
        <w:rPr>
          <w:rFonts w:ascii="Times New Roman" w:hAnsi="Times New Roman"/>
          <w:sz w:val="28"/>
          <w:szCs w:val="28"/>
        </w:rPr>
      </w:pPr>
      <w:r w:rsidRPr="009E7D51">
        <w:rPr>
          <w:rFonts w:ascii="Times New Roman" w:hAnsi="Times New Roman"/>
          <w:sz w:val="28"/>
          <w:szCs w:val="28"/>
        </w:rPr>
        <w:t>УДК 621.311.22</w:t>
      </w:r>
    </w:p>
    <w:p w:rsidR="0034182D" w:rsidRDefault="0034182D" w:rsidP="0034182D">
      <w:pPr>
        <w:pStyle w:val="a3"/>
        <w:spacing w:before="0" w:beforeAutospacing="0" w:after="0"/>
        <w:rPr>
          <w:sz w:val="28"/>
          <w:szCs w:val="28"/>
        </w:rPr>
      </w:pPr>
    </w:p>
    <w:p w:rsidR="0034182D" w:rsidRDefault="0034182D" w:rsidP="0034182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ВНЕДРЕНИЯ ПЕРЕДОВОЙ  ТЕХНОЛОГИИ НА СТАРОБЕШЕВСКОЙ ТЭС</w:t>
      </w:r>
    </w:p>
    <w:p w:rsidR="0034182D" w:rsidRDefault="0034182D" w:rsidP="0034182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34182D" w:rsidRPr="003743B4" w:rsidRDefault="0034182D" w:rsidP="0034182D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3743B4">
        <w:rPr>
          <w:b/>
          <w:sz w:val="28"/>
          <w:szCs w:val="28"/>
        </w:rPr>
        <w:t>Калинец А.П., студент;</w:t>
      </w:r>
      <w:r>
        <w:rPr>
          <w:b/>
          <w:sz w:val="28"/>
          <w:szCs w:val="28"/>
        </w:rPr>
        <w:t xml:space="preserve"> Силаев В.И., д.т.н., профессор</w:t>
      </w:r>
    </w:p>
    <w:p w:rsidR="0034182D" w:rsidRPr="003743B4" w:rsidRDefault="0034182D" w:rsidP="0034182D">
      <w:pPr>
        <w:shd w:val="clear" w:color="auto" w:fill="FFFFFF"/>
        <w:autoSpaceDE w:val="0"/>
        <w:autoSpaceDN w:val="0"/>
        <w:adjustRightInd w:val="0"/>
        <w:spacing w:line="480" w:lineRule="auto"/>
        <w:rPr>
          <w:i/>
          <w:sz w:val="28"/>
          <w:szCs w:val="28"/>
        </w:rPr>
      </w:pPr>
      <w:r w:rsidRPr="003743B4">
        <w:rPr>
          <w:i/>
          <w:sz w:val="28"/>
          <w:szCs w:val="28"/>
        </w:rPr>
        <w:t>(Донецкий государственный университет управления, г.Донецк, Украина)</w:t>
      </w:r>
    </w:p>
    <w:p w:rsidR="0034182D" w:rsidRPr="009E7D51" w:rsidRDefault="0034182D" w:rsidP="0034182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Главным направлением развития тепловых электростанций в Украине является их реконструкция (техническое переоснащение) с внедрением новых технологий и заменой основного и вспомогательного оборудования на современные конструкции, выведение генерирующих мощностей из эксплуатации, строительство новых и замещающих мощностей.</w:t>
      </w:r>
    </w:p>
    <w:p w:rsidR="0034182D" w:rsidRPr="009E7D51" w:rsidRDefault="0034182D" w:rsidP="0034182D">
      <w:pPr>
        <w:pStyle w:val="a3"/>
        <w:spacing w:before="0" w:beforeAutospacing="0" w:after="0"/>
        <w:ind w:left="0" w:right="-34" w:firstLine="702"/>
        <w:rPr>
          <w:rFonts w:ascii="Times New Roman" w:hAnsi="Times New Roman"/>
          <w:sz w:val="28"/>
          <w:szCs w:val="28"/>
        </w:rPr>
      </w:pPr>
      <w:r w:rsidRPr="009E7D51">
        <w:rPr>
          <w:rFonts w:ascii="Times New Roman" w:hAnsi="Times New Roman"/>
          <w:sz w:val="28"/>
          <w:szCs w:val="28"/>
        </w:rPr>
        <w:t>Стратегия развития тепловой генерации в Украине предусматривает 3 этапа [1].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На первом этапе (2007-2010 годы) предусматривается поддержание в рабочем состоянии оборудования ТЭС, проведение качественных планово-предупредительных и восстановительных капремонтов.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На втором этапе (2011-2016 годы) - поузловая реконструкция блоков ТЭС для продления их эксплуатации на 10-15 лет, повышение мощности на 10-15 МВт, расширение диапазона маневренности, снижение издержек топлива (на 20-30 г/кВт-час), повышение экономической эффективности работы станций в условиях оптового рынка электроэнергетики.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На третьем этапе (2017 -2030 годы) - строительство на промплощадках ТЭС новых блоков с применением современных экологически чистых технологий сжигания топлива и систем очистки дымовых газов.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Планируется также вывести из эксплуатации энергоблоки, исчерпавшие свой ресурс. Это, в первую очередь, блоки мощностью 200 МВт Бурштынской, Змиевской и Старобешевской ТЭС, 150 и 300 МВТ Приднепровской ТЭС, 300 МВт Криворожской и Трипольской ТЭС [1].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На реализацию стратегии потребуется более 100 млрд. гривен капитальных инвестиций.</w:t>
      </w:r>
    </w:p>
    <w:p w:rsidR="0034182D" w:rsidRPr="00B96B40" w:rsidRDefault="0034182D" w:rsidP="0034182D">
      <w:pPr>
        <w:pStyle w:val="a3"/>
        <w:spacing w:before="0" w:beforeAutospacing="0" w:after="0"/>
        <w:ind w:left="0" w:right="-34" w:firstLine="702"/>
        <w:rPr>
          <w:rFonts w:ascii="Times New Roman" w:hAnsi="Times New Roman"/>
          <w:sz w:val="28"/>
          <w:szCs w:val="28"/>
        </w:rPr>
      </w:pPr>
      <w:r w:rsidRPr="009E7D51">
        <w:rPr>
          <w:rFonts w:ascii="Times New Roman" w:hAnsi="Times New Roman"/>
          <w:sz w:val="28"/>
          <w:szCs w:val="28"/>
        </w:rPr>
        <w:t>Цель стратегии - обеспечение энергетической безопасности страны, постепенное снижение потребления импортного топлива - газа и мазута, эффективное использование отечественных ресурсов, решение экологических проблем.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 xml:space="preserve">С этой целью планируется введение в эксплуатацию котлоагрегатов работающих по методу сжигания топлива (низкосортного, высокозольного угля) в </w:t>
      </w:r>
      <w:r w:rsidRPr="00B96B40">
        <w:rPr>
          <w:rFonts w:ascii="Times New Roman" w:hAnsi="Times New Roman"/>
          <w:sz w:val="28"/>
          <w:szCs w:val="28"/>
        </w:rPr>
        <w:t>циркулирующем кипящем слое.</w:t>
      </w:r>
    </w:p>
    <w:p w:rsidR="0034182D" w:rsidRDefault="0034182D" w:rsidP="0034182D">
      <w:pPr>
        <w:pStyle w:val="a3"/>
        <w:spacing w:before="0" w:beforeAutospacing="0" w:after="0"/>
        <w:ind w:left="0" w:right="-34" w:firstLine="702"/>
        <w:rPr>
          <w:rFonts w:ascii="Times New Roman" w:hAnsi="Times New Roman"/>
          <w:sz w:val="28"/>
          <w:szCs w:val="28"/>
          <w:lang w:val="ru-RU"/>
        </w:rPr>
      </w:pPr>
      <w:r w:rsidRPr="00B96B40">
        <w:rPr>
          <w:rFonts w:ascii="Times New Roman" w:hAnsi="Times New Roman"/>
          <w:sz w:val="28"/>
          <w:szCs w:val="28"/>
        </w:rPr>
        <w:t xml:space="preserve">Рассмотрим экономические и экологические выгоды от внедрения передовой технологии на 4 энергоблоке Старобешевской ТЭС. Это позволит повысить КПД энергоблока до 90,5% (по сравнению с другими действующими, где КПД  -89,5%), и снизить экологическую загрязненность прилегающих населенных пунктов [2]. 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B40">
        <w:rPr>
          <w:rFonts w:ascii="Times New Roman" w:hAnsi="Times New Roman"/>
          <w:sz w:val="28"/>
          <w:szCs w:val="28"/>
        </w:rPr>
        <w:t>Концентрация вредных веществ в дымовых газах от работы существующих блоков соста</w:t>
      </w:r>
      <w:r w:rsidRPr="00B96B40">
        <w:rPr>
          <w:rFonts w:ascii="Times New Roman" w:hAnsi="Times New Roman"/>
          <w:sz w:val="28"/>
          <w:szCs w:val="28"/>
        </w:rPr>
        <w:t>в</w:t>
      </w:r>
      <w:r w:rsidRPr="00B96B40">
        <w:rPr>
          <w:rFonts w:ascii="Times New Roman" w:hAnsi="Times New Roman"/>
          <w:sz w:val="28"/>
          <w:szCs w:val="28"/>
        </w:rPr>
        <w:t>ляет (котлоагрегаты марки ТП-100):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4182D" w:rsidRPr="00B96B40" w:rsidRDefault="0034182D" w:rsidP="0034182D">
      <w:pPr>
        <w:pStyle w:val="a3"/>
        <w:spacing w:before="0" w:beforeAutospacing="0" w:after="0"/>
        <w:ind w:left="0" w:right="-34"/>
        <w:rPr>
          <w:rFonts w:ascii="Times New Roman" w:hAnsi="Times New Roman"/>
          <w:sz w:val="28"/>
          <w:szCs w:val="28"/>
        </w:rPr>
      </w:pPr>
      <w:r w:rsidRPr="00B96B40">
        <w:rPr>
          <w:rFonts w:ascii="Times New Roman" w:hAnsi="Times New Roman"/>
          <w:sz w:val="28"/>
          <w:szCs w:val="28"/>
          <w:lang w:val="en-US"/>
        </w:rPr>
        <w:t>NO</w:t>
      </w:r>
      <w:r w:rsidRPr="00B96B40">
        <w:rPr>
          <w:rFonts w:ascii="Times New Roman" w:hAnsi="Times New Roman"/>
          <w:sz w:val="28"/>
          <w:szCs w:val="28"/>
          <w:vertAlign w:val="subscript"/>
          <w:lang w:val="en-US"/>
        </w:rPr>
        <w:t>X</w:t>
      </w:r>
      <w:r w:rsidRPr="00B96B40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 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– 600-800 </w:t>
      </w:r>
      <w:r w:rsidRPr="00B96B40">
        <w:rPr>
          <w:rFonts w:ascii="Times New Roman" w:hAnsi="Times New Roman"/>
          <w:sz w:val="28"/>
          <w:szCs w:val="28"/>
        </w:rPr>
        <w:t>мг</w:t>
      </w:r>
      <w:r w:rsidRPr="00B96B40">
        <w:rPr>
          <w:rFonts w:ascii="Times New Roman" w:hAnsi="Times New Roman"/>
          <w:sz w:val="28"/>
          <w:szCs w:val="28"/>
          <w:lang w:val="ru-RU"/>
        </w:rPr>
        <w:t>/</w:t>
      </w:r>
      <w:r w:rsidRPr="00B96B40">
        <w:rPr>
          <w:rFonts w:ascii="Times New Roman" w:hAnsi="Times New Roman"/>
          <w:sz w:val="28"/>
          <w:szCs w:val="28"/>
        </w:rPr>
        <w:t>нм</w:t>
      </w:r>
      <w:r w:rsidRPr="00B96B4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B96B40"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 – 3000-3500 </w:t>
      </w:r>
      <w:r w:rsidRPr="00B96B40">
        <w:rPr>
          <w:rFonts w:ascii="Times New Roman" w:hAnsi="Times New Roman"/>
          <w:sz w:val="28"/>
          <w:szCs w:val="28"/>
        </w:rPr>
        <w:t>мг</w:t>
      </w:r>
      <w:r w:rsidRPr="00B96B40">
        <w:rPr>
          <w:rFonts w:ascii="Times New Roman" w:hAnsi="Times New Roman"/>
          <w:sz w:val="28"/>
          <w:szCs w:val="28"/>
          <w:lang w:val="ru-RU"/>
        </w:rPr>
        <w:t>/</w:t>
      </w:r>
      <w:r w:rsidRPr="00B96B40">
        <w:rPr>
          <w:rFonts w:ascii="Times New Roman" w:hAnsi="Times New Roman"/>
          <w:sz w:val="28"/>
          <w:szCs w:val="28"/>
        </w:rPr>
        <w:t>нм</w:t>
      </w:r>
      <w:r w:rsidRPr="00B96B4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B96B40">
        <w:rPr>
          <w:rFonts w:ascii="Times New Roman" w:hAnsi="Times New Roman"/>
          <w:sz w:val="28"/>
          <w:szCs w:val="28"/>
          <w:lang w:val="en-US"/>
        </w:rPr>
        <w:t>CO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 – 25-30 </w:t>
      </w:r>
      <w:r w:rsidRPr="00B96B40">
        <w:rPr>
          <w:rFonts w:ascii="Times New Roman" w:hAnsi="Times New Roman"/>
          <w:sz w:val="28"/>
          <w:szCs w:val="28"/>
        </w:rPr>
        <w:t>мг</w:t>
      </w:r>
      <w:r w:rsidRPr="00B96B40">
        <w:rPr>
          <w:rFonts w:ascii="Times New Roman" w:hAnsi="Times New Roman"/>
          <w:sz w:val="28"/>
          <w:szCs w:val="28"/>
          <w:lang w:val="ru-RU"/>
        </w:rPr>
        <w:t>/</w:t>
      </w:r>
      <w:r w:rsidRPr="00B96B40">
        <w:rPr>
          <w:rFonts w:ascii="Times New Roman" w:hAnsi="Times New Roman"/>
          <w:sz w:val="28"/>
          <w:szCs w:val="28"/>
        </w:rPr>
        <w:t>нм</w:t>
      </w:r>
      <w:r w:rsidRPr="00B96B4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; </w:t>
      </w:r>
      <w:r w:rsidRPr="00B96B40">
        <w:rPr>
          <w:rFonts w:ascii="Times New Roman" w:hAnsi="Times New Roman"/>
          <w:sz w:val="28"/>
          <w:szCs w:val="28"/>
        </w:rPr>
        <w:t>пыль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– 2000-3000 </w:t>
      </w:r>
      <w:r w:rsidRPr="00B96B40">
        <w:rPr>
          <w:rFonts w:ascii="Times New Roman" w:hAnsi="Times New Roman"/>
          <w:sz w:val="28"/>
          <w:szCs w:val="28"/>
        </w:rPr>
        <w:t>мг</w:t>
      </w:r>
      <w:r w:rsidRPr="00B96B40">
        <w:rPr>
          <w:rFonts w:ascii="Times New Roman" w:hAnsi="Times New Roman"/>
          <w:sz w:val="28"/>
          <w:szCs w:val="28"/>
          <w:lang w:val="ru-RU"/>
        </w:rPr>
        <w:t>/</w:t>
      </w:r>
      <w:r w:rsidRPr="00B96B40">
        <w:rPr>
          <w:rFonts w:ascii="Times New Roman" w:hAnsi="Times New Roman"/>
          <w:sz w:val="28"/>
          <w:szCs w:val="28"/>
        </w:rPr>
        <w:t>нм</w:t>
      </w:r>
      <w:r w:rsidRPr="00B96B40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B96B40">
        <w:rPr>
          <w:rFonts w:ascii="Times New Roman" w:hAnsi="Times New Roman"/>
          <w:sz w:val="28"/>
          <w:szCs w:val="28"/>
          <w:lang w:val="ru-RU"/>
        </w:rPr>
        <w:t>.</w:t>
      </w:r>
    </w:p>
    <w:p w:rsidR="0034182D" w:rsidRPr="00B96B40" w:rsidRDefault="0034182D" w:rsidP="0034182D">
      <w:pPr>
        <w:pStyle w:val="a3"/>
        <w:spacing w:before="0" w:beforeAutospacing="0" w:after="0"/>
        <w:ind w:left="0" w:right="-34" w:firstLine="702"/>
        <w:rPr>
          <w:rFonts w:ascii="Times New Roman" w:hAnsi="Times New Roman"/>
          <w:sz w:val="28"/>
          <w:szCs w:val="28"/>
        </w:rPr>
      </w:pPr>
      <w:r w:rsidRPr="00B96B40">
        <w:rPr>
          <w:rFonts w:ascii="Times New Roman" w:hAnsi="Times New Roman"/>
          <w:sz w:val="28"/>
          <w:szCs w:val="28"/>
        </w:rPr>
        <w:lastRenderedPageBreak/>
        <w:t>Технология сжигания твердого топлива в циркулирующем кипящем слое является экологически чистой технологией сжигания углей с внутритопочным комплексом мер</w:t>
      </w:r>
      <w:r w:rsidRPr="00B96B40">
        <w:rPr>
          <w:rFonts w:ascii="Times New Roman" w:hAnsi="Times New Roman"/>
          <w:sz w:val="28"/>
          <w:szCs w:val="28"/>
        </w:rPr>
        <w:t>о</w:t>
      </w:r>
      <w:r w:rsidRPr="00B96B40">
        <w:rPr>
          <w:rFonts w:ascii="Times New Roman" w:hAnsi="Times New Roman"/>
          <w:sz w:val="28"/>
          <w:szCs w:val="28"/>
        </w:rPr>
        <w:t>приятий, обеспечивающих снижение выбросов вредных веществ в атмосферу до самых жестких европейских нормативов без применения специальных систем очистки: NO</w:t>
      </w:r>
      <w:r w:rsidRPr="00B96B40">
        <w:rPr>
          <w:rFonts w:ascii="Times New Roman" w:hAnsi="Times New Roman"/>
          <w:sz w:val="28"/>
          <w:szCs w:val="28"/>
          <w:vertAlign w:val="subscript"/>
        </w:rPr>
        <w:t>x</w:t>
      </w:r>
      <w:r w:rsidRPr="00B96B40">
        <w:rPr>
          <w:rFonts w:ascii="Times New Roman" w:hAnsi="Times New Roman"/>
          <w:sz w:val="28"/>
          <w:szCs w:val="28"/>
        </w:rPr>
        <w:t xml:space="preserve"> за счет среднетопочной температуры 850-900</w:t>
      </w:r>
      <w:r w:rsidRPr="00B96B40">
        <w:rPr>
          <w:rFonts w:ascii="Times New Roman" w:hAnsi="Times New Roman"/>
          <w:sz w:val="28"/>
          <w:szCs w:val="28"/>
          <w:vertAlign w:val="superscript"/>
        </w:rPr>
        <w:t>о</w:t>
      </w:r>
      <w:r w:rsidRPr="00B96B40">
        <w:rPr>
          <w:rFonts w:ascii="Times New Roman" w:hAnsi="Times New Roman"/>
          <w:sz w:val="28"/>
          <w:szCs w:val="28"/>
        </w:rPr>
        <w:t>С и ступенчатого сжигания топлива, SO</w:t>
      </w:r>
      <w:r w:rsidRPr="00B96B40">
        <w:rPr>
          <w:rFonts w:ascii="Times New Roman" w:hAnsi="Times New Roman"/>
          <w:sz w:val="28"/>
          <w:szCs w:val="28"/>
          <w:vertAlign w:val="subscript"/>
        </w:rPr>
        <w:t>2</w:t>
      </w:r>
      <w:r w:rsidRPr="00B96B40">
        <w:rPr>
          <w:rFonts w:ascii="Times New Roman" w:hAnsi="Times New Roman"/>
          <w:sz w:val="28"/>
          <w:szCs w:val="28"/>
        </w:rPr>
        <w:t xml:space="preserve"> – св</w:t>
      </w:r>
      <w:r w:rsidRPr="00B96B40">
        <w:rPr>
          <w:rFonts w:ascii="Times New Roman" w:hAnsi="Times New Roman"/>
          <w:sz w:val="28"/>
          <w:szCs w:val="28"/>
        </w:rPr>
        <w:t>я</w:t>
      </w:r>
      <w:r w:rsidRPr="00B96B40">
        <w:rPr>
          <w:rFonts w:ascii="Times New Roman" w:hAnsi="Times New Roman"/>
          <w:sz w:val="28"/>
          <w:szCs w:val="28"/>
        </w:rPr>
        <w:t>зыванием серы известняком.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B40">
        <w:rPr>
          <w:rFonts w:ascii="Times New Roman" w:hAnsi="Times New Roman"/>
          <w:sz w:val="28"/>
          <w:szCs w:val="28"/>
        </w:rPr>
        <w:t>Концентрация выбросов вредных веществ в атмосферу после котлов ЦКС соста</w:t>
      </w:r>
      <w:r w:rsidRPr="00B96B40">
        <w:rPr>
          <w:rFonts w:ascii="Times New Roman" w:hAnsi="Times New Roman"/>
          <w:sz w:val="28"/>
          <w:szCs w:val="28"/>
        </w:rPr>
        <w:t>в</w:t>
      </w:r>
      <w:r w:rsidRPr="00B96B40">
        <w:rPr>
          <w:rFonts w:ascii="Times New Roman" w:hAnsi="Times New Roman"/>
          <w:sz w:val="28"/>
          <w:szCs w:val="28"/>
        </w:rPr>
        <w:t>ляет: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B40">
        <w:rPr>
          <w:rFonts w:ascii="Times New Roman" w:hAnsi="Times New Roman"/>
          <w:sz w:val="28"/>
          <w:szCs w:val="28"/>
        </w:rPr>
        <w:t>NO</w:t>
      </w:r>
      <w:r w:rsidRPr="00B96B40">
        <w:rPr>
          <w:rFonts w:ascii="Times New Roman" w:hAnsi="Times New Roman"/>
          <w:sz w:val="28"/>
          <w:szCs w:val="28"/>
          <w:vertAlign w:val="subscript"/>
        </w:rPr>
        <w:t>х</w:t>
      </w:r>
      <w:r w:rsidRPr="00B96B40">
        <w:rPr>
          <w:rFonts w:ascii="Times New Roman" w:hAnsi="Times New Roman"/>
          <w:sz w:val="28"/>
          <w:szCs w:val="28"/>
        </w:rPr>
        <w:t xml:space="preserve">  – 200 мг/нм</w:t>
      </w:r>
      <w:r w:rsidRPr="00B96B40">
        <w:rPr>
          <w:rFonts w:ascii="Times New Roman" w:hAnsi="Times New Roman"/>
          <w:sz w:val="28"/>
          <w:szCs w:val="28"/>
          <w:vertAlign w:val="superscript"/>
        </w:rPr>
        <w:t>3</w:t>
      </w:r>
      <w:r w:rsidRPr="00B96B40">
        <w:rPr>
          <w:rFonts w:ascii="Times New Roman" w:hAnsi="Times New Roman"/>
          <w:sz w:val="28"/>
          <w:szCs w:val="28"/>
        </w:rPr>
        <w:t>;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6B40">
        <w:rPr>
          <w:rFonts w:ascii="Times New Roman" w:hAnsi="Times New Roman"/>
          <w:sz w:val="28"/>
          <w:szCs w:val="28"/>
        </w:rPr>
        <w:t>SO</w:t>
      </w:r>
      <w:r w:rsidRPr="00B96B4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6B40">
        <w:rPr>
          <w:rFonts w:ascii="Times New Roman" w:hAnsi="Times New Roman"/>
          <w:sz w:val="28"/>
          <w:szCs w:val="28"/>
        </w:rPr>
        <w:t xml:space="preserve"> – 200 мг/нм</w:t>
      </w:r>
      <w:r w:rsidRPr="00B96B40">
        <w:rPr>
          <w:rFonts w:ascii="Times New Roman" w:hAnsi="Times New Roman"/>
          <w:sz w:val="28"/>
          <w:szCs w:val="28"/>
          <w:vertAlign w:val="superscript"/>
        </w:rPr>
        <w:t>3</w:t>
      </w:r>
      <w:r w:rsidRPr="00B96B40">
        <w:rPr>
          <w:rFonts w:ascii="Times New Roman" w:hAnsi="Times New Roman"/>
          <w:sz w:val="28"/>
          <w:szCs w:val="28"/>
        </w:rPr>
        <w:t>;</w:t>
      </w:r>
      <w:r w:rsidRPr="00B96B4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B96B40">
        <w:rPr>
          <w:rFonts w:ascii="Times New Roman" w:hAnsi="Times New Roman"/>
          <w:sz w:val="28"/>
          <w:szCs w:val="28"/>
        </w:rPr>
        <w:t xml:space="preserve"> – 25,0 мг/нм</w:t>
      </w:r>
      <w:r w:rsidRPr="00B96B40">
        <w:rPr>
          <w:rFonts w:ascii="Times New Roman" w:hAnsi="Times New Roman"/>
          <w:sz w:val="28"/>
          <w:szCs w:val="28"/>
          <w:vertAlign w:val="superscript"/>
        </w:rPr>
        <w:t>3</w:t>
      </w:r>
      <w:r w:rsidRPr="00B96B40">
        <w:rPr>
          <w:rFonts w:ascii="Times New Roman" w:hAnsi="Times New Roman"/>
          <w:sz w:val="28"/>
          <w:szCs w:val="28"/>
        </w:rPr>
        <w:t>;</w:t>
      </w:r>
    </w:p>
    <w:p w:rsidR="0034182D" w:rsidRPr="00B96B40" w:rsidRDefault="0034182D" w:rsidP="0034182D">
      <w:pPr>
        <w:ind w:right="-34"/>
        <w:jc w:val="both"/>
        <w:rPr>
          <w:sz w:val="28"/>
          <w:szCs w:val="28"/>
        </w:rPr>
      </w:pPr>
      <w:r w:rsidRPr="00B96B40">
        <w:rPr>
          <w:sz w:val="28"/>
          <w:szCs w:val="28"/>
        </w:rPr>
        <w:t>пыли – 50 мг/нм</w:t>
      </w:r>
      <w:r w:rsidRPr="00B96B40">
        <w:rPr>
          <w:sz w:val="28"/>
          <w:szCs w:val="28"/>
          <w:vertAlign w:val="superscript"/>
        </w:rPr>
        <w:t>3</w:t>
      </w:r>
      <w:r w:rsidRPr="00B96B40">
        <w:rPr>
          <w:sz w:val="28"/>
          <w:szCs w:val="28"/>
        </w:rPr>
        <w:t>;</w:t>
      </w:r>
    </w:p>
    <w:p w:rsidR="0034182D" w:rsidRPr="009E7D51" w:rsidRDefault="0034182D" w:rsidP="0034182D">
      <w:pPr>
        <w:ind w:right="-34" w:firstLine="702"/>
        <w:jc w:val="both"/>
        <w:rPr>
          <w:sz w:val="28"/>
          <w:szCs w:val="28"/>
          <w:lang w:val="uk-UA"/>
        </w:rPr>
      </w:pPr>
      <w:r w:rsidRPr="009E7D51">
        <w:rPr>
          <w:sz w:val="28"/>
          <w:szCs w:val="28"/>
        </w:rPr>
        <w:t>Проведенные расчеты (оценка воздействия на окружающую среду) показали, что замена одного существующего котла ТП-100 на котел АЦКС в общем объеме выбросов от ТЭС дает снижение выделения загрязняющих веществ в атмосферу в размере 8% от безразмерной суммарной концентрации (NO</w:t>
      </w:r>
      <w:r w:rsidRPr="009E7D51">
        <w:rPr>
          <w:sz w:val="28"/>
          <w:szCs w:val="28"/>
          <w:vertAlign w:val="subscript"/>
        </w:rPr>
        <w:t>х</w:t>
      </w:r>
      <w:r w:rsidRPr="009E7D51">
        <w:rPr>
          <w:sz w:val="28"/>
          <w:szCs w:val="28"/>
        </w:rPr>
        <w:t xml:space="preserve"> и SO</w:t>
      </w:r>
      <w:r w:rsidRPr="009E7D51">
        <w:rPr>
          <w:sz w:val="28"/>
          <w:szCs w:val="28"/>
          <w:vertAlign w:val="subscript"/>
        </w:rPr>
        <w:t>2</w:t>
      </w:r>
      <w:r w:rsidRPr="009E7D51">
        <w:rPr>
          <w:sz w:val="28"/>
          <w:szCs w:val="28"/>
        </w:rPr>
        <w:t>) [3,4].</w:t>
      </w:r>
    </w:p>
    <w:p w:rsidR="0034182D" w:rsidRPr="009E7D51" w:rsidRDefault="0034182D" w:rsidP="0034182D">
      <w:pPr>
        <w:ind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Таким образом особенностью котлоагрегатов, работающих по технологии АЦКС, является:</w:t>
      </w:r>
    </w:p>
    <w:p w:rsidR="0034182D" w:rsidRPr="009E7D51" w:rsidRDefault="0034182D" w:rsidP="0034182D">
      <w:pPr>
        <w:numPr>
          <w:ilvl w:val="0"/>
          <w:numId w:val="2"/>
        </w:numPr>
        <w:tabs>
          <w:tab w:val="clear" w:pos="360"/>
          <w:tab w:val="num" w:pos="1129"/>
        </w:tabs>
        <w:ind w:left="0"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возможность обеспечить эффективный выжиг топлива без испо</w:t>
      </w:r>
      <w:r>
        <w:rPr>
          <w:sz w:val="28"/>
          <w:szCs w:val="28"/>
        </w:rPr>
        <w:t>льзования газа или мазута за счё</w:t>
      </w:r>
      <w:r w:rsidRPr="009E7D51">
        <w:rPr>
          <w:sz w:val="28"/>
          <w:szCs w:val="28"/>
        </w:rPr>
        <w:t xml:space="preserve">т многократной циркуляции частиц топлива. </w:t>
      </w:r>
    </w:p>
    <w:p w:rsidR="0034182D" w:rsidRPr="009E7D51" w:rsidRDefault="0034182D" w:rsidP="0034182D">
      <w:pPr>
        <w:numPr>
          <w:ilvl w:val="0"/>
          <w:numId w:val="2"/>
        </w:numPr>
        <w:tabs>
          <w:tab w:val="clear" w:pos="360"/>
          <w:tab w:val="num" w:pos="1129"/>
        </w:tabs>
        <w:ind w:left="0"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экологическая чистота.</w:t>
      </w:r>
    </w:p>
    <w:p w:rsidR="0034182D" w:rsidRPr="009E7D51" w:rsidRDefault="0034182D" w:rsidP="0034182D">
      <w:pPr>
        <w:ind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Внедрение котлоагрегатов использующих систему сжигания угля в ЦКС позволит отечественным ТЭС:</w:t>
      </w:r>
    </w:p>
    <w:p w:rsidR="0034182D" w:rsidRPr="009E7D51" w:rsidRDefault="0034182D" w:rsidP="0034182D">
      <w:pPr>
        <w:numPr>
          <w:ilvl w:val="0"/>
          <w:numId w:val="1"/>
        </w:numPr>
        <w:ind w:left="0"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приобрести западноевропейский опыт по строительству мощного котлоагрегат</w:t>
      </w:r>
      <w:r w:rsidRPr="009E7D51">
        <w:rPr>
          <w:sz w:val="28"/>
          <w:szCs w:val="28"/>
          <w:lang w:val="uk-UA"/>
        </w:rPr>
        <w:t>а</w:t>
      </w:r>
      <w:r w:rsidRPr="009E7D51">
        <w:rPr>
          <w:sz w:val="28"/>
          <w:szCs w:val="28"/>
        </w:rPr>
        <w:t xml:space="preserve"> АЦКС, что явится базой для накопления производс</w:t>
      </w:r>
      <w:r w:rsidRPr="009E7D51">
        <w:rPr>
          <w:sz w:val="28"/>
          <w:szCs w:val="28"/>
        </w:rPr>
        <w:t>т</w:t>
      </w:r>
      <w:r w:rsidRPr="009E7D51">
        <w:rPr>
          <w:sz w:val="28"/>
          <w:szCs w:val="28"/>
        </w:rPr>
        <w:t>венного опыта, научных и проектно-конструкторских работ для внедр</w:t>
      </w:r>
      <w:r w:rsidRPr="009E7D51">
        <w:rPr>
          <w:sz w:val="28"/>
          <w:szCs w:val="28"/>
        </w:rPr>
        <w:t>е</w:t>
      </w:r>
      <w:r w:rsidRPr="009E7D51">
        <w:rPr>
          <w:sz w:val="28"/>
          <w:szCs w:val="28"/>
        </w:rPr>
        <w:t>ния данной технологии при замещении котлоагрегатов на энергоблоках 200 и 300 МВт, составляющих основу электроэнергетики Украины, в том числе и Донбасса;</w:t>
      </w:r>
    </w:p>
    <w:p w:rsidR="0034182D" w:rsidRPr="009E7D51" w:rsidRDefault="0034182D" w:rsidP="0034182D">
      <w:pPr>
        <w:numPr>
          <w:ilvl w:val="0"/>
          <w:numId w:val="1"/>
        </w:numPr>
        <w:ind w:left="0"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получить ноу-хау по конструированию, проектированию, изготовлению оборудования, строительства.</w:t>
      </w:r>
    </w:p>
    <w:p w:rsidR="0034182D" w:rsidRPr="009E7D51" w:rsidRDefault="0034182D" w:rsidP="0034182D">
      <w:pPr>
        <w:ind w:right="-34" w:firstLine="702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Внедрение котлоагрегата АЦКС на ТЭС позволит использовать в топливно-энергетическом балансе Украины шламы из шламоотстойников и илонакопит</w:t>
      </w:r>
      <w:r w:rsidRPr="009E7D51">
        <w:rPr>
          <w:sz w:val="28"/>
          <w:szCs w:val="28"/>
        </w:rPr>
        <w:t>е</w:t>
      </w:r>
      <w:r w:rsidRPr="009E7D51">
        <w:rPr>
          <w:sz w:val="28"/>
          <w:szCs w:val="28"/>
        </w:rPr>
        <w:t>лей обогатительных фабрик и тем самым значительно снизить загрязнения окружающей среды Донбасса [5].</w:t>
      </w:r>
    </w:p>
    <w:p w:rsidR="0034182D" w:rsidRPr="009E7D51" w:rsidRDefault="0034182D" w:rsidP="0034182D">
      <w:pPr>
        <w:widowControl w:val="0"/>
        <w:ind w:right="-34" w:firstLine="702"/>
        <w:jc w:val="both"/>
        <w:rPr>
          <w:snapToGrid w:val="0"/>
          <w:sz w:val="28"/>
          <w:szCs w:val="28"/>
        </w:rPr>
      </w:pPr>
      <w:r w:rsidRPr="009E7D51">
        <w:rPr>
          <w:snapToGrid w:val="0"/>
          <w:sz w:val="28"/>
          <w:szCs w:val="28"/>
        </w:rPr>
        <w:t xml:space="preserve">Химический состав золы (донной и летучей), образующейся в результате сжигания топлив в котлах с топкой АЦКС, значительно отличается от химического состава </w:t>
      </w:r>
      <w:bookmarkStart w:id="0" w:name="OCRUncertain002"/>
      <w:r w:rsidRPr="009E7D51">
        <w:rPr>
          <w:snapToGrid w:val="0"/>
          <w:sz w:val="28"/>
          <w:szCs w:val="28"/>
        </w:rPr>
        <w:t>золо</w:t>
      </w:r>
      <w:r w:rsidRPr="009E7D51">
        <w:rPr>
          <w:snapToGrid w:val="0"/>
          <w:sz w:val="28"/>
          <w:szCs w:val="28"/>
        </w:rPr>
        <w:t>ш</w:t>
      </w:r>
      <w:r w:rsidRPr="009E7D51">
        <w:rPr>
          <w:snapToGrid w:val="0"/>
          <w:sz w:val="28"/>
          <w:szCs w:val="28"/>
        </w:rPr>
        <w:t>лаков,</w:t>
      </w:r>
      <w:bookmarkEnd w:id="0"/>
      <w:r w:rsidRPr="009E7D51">
        <w:rPr>
          <w:snapToGrid w:val="0"/>
          <w:sz w:val="28"/>
          <w:szCs w:val="28"/>
        </w:rPr>
        <w:t xml:space="preserve"> образующихся после традиционного сжигания пылеугольного топлива. </w:t>
      </w:r>
      <w:r w:rsidRPr="009E7D51">
        <w:rPr>
          <w:sz w:val="28"/>
          <w:szCs w:val="28"/>
        </w:rPr>
        <w:t>Использование донной и летучей золы котлов АЦКС в качестве сырья для прои</w:t>
      </w:r>
      <w:r w:rsidRPr="009E7D51">
        <w:rPr>
          <w:sz w:val="28"/>
          <w:szCs w:val="28"/>
        </w:rPr>
        <w:t>з</w:t>
      </w:r>
      <w:r w:rsidRPr="009E7D51">
        <w:rPr>
          <w:sz w:val="28"/>
          <w:szCs w:val="28"/>
        </w:rPr>
        <w:t>водства строительных материалов также способствует улучшению экологической обстановки До</w:t>
      </w:r>
      <w:r w:rsidRPr="009E7D51">
        <w:rPr>
          <w:sz w:val="28"/>
          <w:szCs w:val="28"/>
        </w:rPr>
        <w:t>н</w:t>
      </w:r>
      <w:r w:rsidRPr="009E7D51">
        <w:rPr>
          <w:sz w:val="28"/>
          <w:szCs w:val="28"/>
        </w:rPr>
        <w:t>басса.</w:t>
      </w:r>
    </w:p>
    <w:p w:rsidR="0034182D" w:rsidRPr="009E7D51" w:rsidRDefault="0034182D" w:rsidP="0034182D">
      <w:pPr>
        <w:pStyle w:val="a3"/>
        <w:spacing w:before="0" w:beforeAutospacing="0" w:after="0"/>
        <w:ind w:left="0" w:right="-34" w:firstLine="702"/>
        <w:rPr>
          <w:rFonts w:ascii="Times New Roman" w:hAnsi="Times New Roman"/>
          <w:sz w:val="28"/>
          <w:szCs w:val="28"/>
        </w:rPr>
      </w:pPr>
      <w:r w:rsidRPr="009E7D51">
        <w:rPr>
          <w:rFonts w:ascii="Times New Roman" w:hAnsi="Times New Roman"/>
          <w:sz w:val="28"/>
          <w:szCs w:val="28"/>
        </w:rPr>
        <w:t xml:space="preserve">При этом себестоимость выработанной электроэнергии составит 5,2 копейки, вместо 8,5-13 копеек, получаемых при сжигании газовых углей. Ежегодная прибыль блока составит 90-95 млн. гривен. И это притом, что вкладывается только 27 млн. гривен: тонна шлама, отгруженного фабрикой, </w:t>
      </w:r>
      <w:r w:rsidRPr="009E7D51">
        <w:rPr>
          <w:rFonts w:ascii="Times New Roman" w:hAnsi="Times New Roman"/>
          <w:sz w:val="28"/>
          <w:szCs w:val="28"/>
        </w:rPr>
        <w:lastRenderedPageBreak/>
        <w:t xml:space="preserve">стоит 27 гривен за тонну, потребление котла – 1 млн. тонн в год. При таком положении дел затраты на капстроительство покроются уже через 4 с </w:t>
      </w:r>
      <w:r w:rsidRPr="009E7D51">
        <w:rPr>
          <w:rStyle w:val="grame"/>
          <w:rFonts w:ascii="Times New Roman" w:hAnsi="Times New Roman"/>
          <w:sz w:val="28"/>
          <w:szCs w:val="28"/>
        </w:rPr>
        <w:t>небольшим</w:t>
      </w:r>
      <w:r w:rsidRPr="009E7D51">
        <w:rPr>
          <w:rFonts w:ascii="Times New Roman" w:hAnsi="Times New Roman"/>
          <w:sz w:val="28"/>
          <w:szCs w:val="28"/>
        </w:rPr>
        <w:t xml:space="preserve"> года. </w:t>
      </w:r>
      <w:r w:rsidRPr="009E7D51">
        <w:rPr>
          <w:rStyle w:val="spelle"/>
          <w:rFonts w:ascii="Times New Roman" w:hAnsi="Times New Roman"/>
          <w:sz w:val="28"/>
          <w:szCs w:val="28"/>
        </w:rPr>
        <w:t>Энергорынок</w:t>
      </w:r>
      <w:r w:rsidRPr="009E7D51">
        <w:rPr>
          <w:rFonts w:ascii="Times New Roman" w:hAnsi="Times New Roman"/>
          <w:sz w:val="28"/>
          <w:szCs w:val="28"/>
        </w:rPr>
        <w:t xml:space="preserve"> получит дополнительно 1,5 млрд. киловатт-часов в год [7].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7D51">
        <w:rPr>
          <w:rFonts w:ascii="Times New Roman" w:hAnsi="Times New Roman"/>
          <w:sz w:val="28"/>
          <w:szCs w:val="28"/>
        </w:rPr>
        <w:t>Реконструкция блоков по новой технологии сжигания низкокачественных углей или шлама в котлах АЦКС позволяет существенно повысить технико-экономические показатели работы ТЭС, приведет к уменьшению социальной напряженности в регионе Донбасса за счет предоставления насел</w:t>
      </w:r>
      <w:r w:rsidRPr="009E7D51">
        <w:rPr>
          <w:rFonts w:ascii="Times New Roman" w:hAnsi="Times New Roman"/>
          <w:sz w:val="28"/>
          <w:szCs w:val="28"/>
        </w:rPr>
        <w:t>е</w:t>
      </w:r>
      <w:r w:rsidRPr="009E7D51">
        <w:rPr>
          <w:rFonts w:ascii="Times New Roman" w:hAnsi="Times New Roman"/>
          <w:sz w:val="28"/>
          <w:szCs w:val="28"/>
        </w:rPr>
        <w:t>нию области дополнительных рабочих мест, улучшению экологической обстановки ра</w:t>
      </w:r>
      <w:r w:rsidRPr="009E7D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она.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9E7D51">
        <w:rPr>
          <w:rFonts w:ascii="Times New Roman" w:hAnsi="Times New Roman"/>
          <w:sz w:val="28"/>
          <w:szCs w:val="28"/>
        </w:rPr>
        <w:t>троительство котлоагрегата позволит украинским специалистам повысить свой профессионал</w:t>
      </w:r>
      <w:r w:rsidRPr="009E7D51">
        <w:rPr>
          <w:rFonts w:ascii="Times New Roman" w:hAnsi="Times New Roman"/>
          <w:sz w:val="28"/>
          <w:szCs w:val="28"/>
        </w:rPr>
        <w:t>ь</w:t>
      </w:r>
      <w:r w:rsidRPr="009E7D51">
        <w:rPr>
          <w:rFonts w:ascii="Times New Roman" w:hAnsi="Times New Roman"/>
          <w:sz w:val="28"/>
          <w:szCs w:val="28"/>
        </w:rPr>
        <w:t>но-технический уровень и приобрести западноевропейский опыт в части конструиров</w:t>
      </w:r>
      <w:r w:rsidRPr="009E7D51">
        <w:rPr>
          <w:rFonts w:ascii="Times New Roman" w:hAnsi="Times New Roman"/>
          <w:sz w:val="28"/>
          <w:szCs w:val="28"/>
        </w:rPr>
        <w:t>а</w:t>
      </w:r>
      <w:r w:rsidRPr="009E7D51">
        <w:rPr>
          <w:rFonts w:ascii="Times New Roman" w:hAnsi="Times New Roman"/>
          <w:sz w:val="28"/>
          <w:szCs w:val="28"/>
        </w:rPr>
        <w:t>ния, проектирования, изготовления оборудования, монтажа и строительства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34182D" w:rsidRPr="009E7D51" w:rsidRDefault="0034182D" w:rsidP="0034182D">
      <w:pPr>
        <w:ind w:right="-34" w:firstLine="702"/>
        <w:jc w:val="both"/>
        <w:rPr>
          <w:sz w:val="28"/>
          <w:szCs w:val="28"/>
        </w:rPr>
      </w:pPr>
    </w:p>
    <w:p w:rsidR="0034182D" w:rsidRPr="009E7D51" w:rsidRDefault="0034182D" w:rsidP="0034182D">
      <w:pPr>
        <w:ind w:right="-34"/>
        <w:jc w:val="center"/>
        <w:rPr>
          <w:sz w:val="28"/>
          <w:szCs w:val="28"/>
        </w:rPr>
      </w:pPr>
      <w:r w:rsidRPr="009E7D51">
        <w:rPr>
          <w:sz w:val="28"/>
          <w:szCs w:val="28"/>
        </w:rPr>
        <w:t>Перечень источников</w:t>
      </w:r>
    </w:p>
    <w:p w:rsidR="0034182D" w:rsidRPr="009E7D51" w:rsidRDefault="0034182D" w:rsidP="0034182D">
      <w:pPr>
        <w:numPr>
          <w:ilvl w:val="0"/>
          <w:numId w:val="3"/>
        </w:numPr>
        <w:tabs>
          <w:tab w:val="num" w:pos="546"/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  <w:lang w:val="uk-UA"/>
        </w:rPr>
        <w:t>Енергетична стратегія України на період до 2030-року. // Інформаційно-аналітичний бюлетень "Відомості Міністерства палива та енергетики України". Спеціальний випуск. – Київ: 2006. – 122с.</w:t>
      </w:r>
    </w:p>
    <w:p w:rsidR="0034182D" w:rsidRPr="009E7D51" w:rsidRDefault="0034182D" w:rsidP="0034182D">
      <w:pPr>
        <w:numPr>
          <w:ilvl w:val="0"/>
          <w:numId w:val="3"/>
        </w:numPr>
        <w:tabs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Технология сжигания угля в циркулирующем кип</w:t>
      </w:r>
      <w:r>
        <w:rPr>
          <w:sz w:val="28"/>
          <w:szCs w:val="28"/>
        </w:rPr>
        <w:t>ящем слое / Ю. П. Корчевой,</w:t>
      </w:r>
      <w:r w:rsidRPr="009E7D51">
        <w:rPr>
          <w:sz w:val="28"/>
          <w:szCs w:val="28"/>
        </w:rPr>
        <w:t xml:space="preserve">  А. Ю. Майстренко,  С. В. Яцкевич // -К.: 1994. –64 с. (Минэнерго - НАН Украины. ОВПЭ ИПЭ)</w:t>
      </w:r>
    </w:p>
    <w:p w:rsidR="0034182D" w:rsidRPr="009E7D51" w:rsidRDefault="0034182D" w:rsidP="0034182D">
      <w:pPr>
        <w:numPr>
          <w:ilvl w:val="0"/>
          <w:numId w:val="3"/>
        </w:numPr>
        <w:tabs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Использование технологий циркулирующего кипящего слоя для сжигания отходов углеобогащения / Ю. П. Корчевой, Н. А. Борисов, А. Ю. Майстренко, Н. В. Чернявский,  А. Эспэль, Ж. Накэ // Энергетика и электрификация. –2002. -№ 1. –С</w:t>
      </w:r>
      <w:r>
        <w:rPr>
          <w:sz w:val="28"/>
          <w:szCs w:val="28"/>
        </w:rPr>
        <w:t>.</w:t>
      </w:r>
      <w:r w:rsidRPr="009E7D51">
        <w:rPr>
          <w:sz w:val="28"/>
          <w:szCs w:val="28"/>
        </w:rPr>
        <w:t xml:space="preserve"> 8-11.</w:t>
      </w:r>
    </w:p>
    <w:p w:rsidR="0034182D" w:rsidRPr="009E7D51" w:rsidRDefault="0034182D" w:rsidP="0034182D">
      <w:pPr>
        <w:numPr>
          <w:ilvl w:val="0"/>
          <w:numId w:val="3"/>
        </w:numPr>
        <w:tabs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</w:rPr>
        <w:t xml:space="preserve">Опытное сжигание смеси антрацитовых шлама и штыба в ЦКС на лабораторных установках НТЦУЭ / А. Ю. Майстренко, Н. В. Чернявский, С. В. Яцкевич, П. Гуммель // Энергетика и электрификация. –1996. -№ 6. –С 28-34. </w:t>
      </w:r>
    </w:p>
    <w:p w:rsidR="0034182D" w:rsidRPr="009E7D51" w:rsidRDefault="0034182D" w:rsidP="0034182D">
      <w:pPr>
        <w:numPr>
          <w:ilvl w:val="0"/>
          <w:numId w:val="3"/>
        </w:numPr>
        <w:tabs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Инякин</w:t>
      </w:r>
      <w:r w:rsidRPr="009E7D51">
        <w:rPr>
          <w:sz w:val="28"/>
          <w:szCs w:val="28"/>
          <w:lang w:val="uk-UA"/>
        </w:rPr>
        <w:t xml:space="preserve"> </w:t>
      </w:r>
      <w:r w:rsidRPr="009E7D51">
        <w:rPr>
          <w:sz w:val="28"/>
          <w:szCs w:val="28"/>
        </w:rPr>
        <w:t>В. Н</w:t>
      </w:r>
      <w:r w:rsidRPr="009E7D51">
        <w:rPr>
          <w:sz w:val="28"/>
          <w:szCs w:val="28"/>
          <w:lang w:val="uk-UA"/>
        </w:rPr>
        <w:t xml:space="preserve">. </w:t>
      </w:r>
      <w:r w:rsidRPr="009E7D51">
        <w:rPr>
          <w:sz w:val="28"/>
          <w:szCs w:val="28"/>
        </w:rPr>
        <w:t>Будущее</w:t>
      </w:r>
      <w:r w:rsidRPr="009E7D51">
        <w:rPr>
          <w:sz w:val="28"/>
          <w:szCs w:val="28"/>
          <w:lang w:val="uk-UA"/>
        </w:rPr>
        <w:t xml:space="preserve"> </w:t>
      </w:r>
      <w:r w:rsidRPr="009E7D51">
        <w:rPr>
          <w:sz w:val="28"/>
          <w:szCs w:val="28"/>
        </w:rPr>
        <w:t>Донбасса</w:t>
      </w:r>
      <w:r w:rsidRPr="009E7D51">
        <w:rPr>
          <w:sz w:val="28"/>
          <w:szCs w:val="28"/>
          <w:lang w:val="uk-UA"/>
        </w:rPr>
        <w:t xml:space="preserve"> – в </w:t>
      </w:r>
      <w:r w:rsidRPr="009E7D51">
        <w:rPr>
          <w:sz w:val="28"/>
          <w:szCs w:val="28"/>
        </w:rPr>
        <w:t xml:space="preserve">сверхновых энергетических технологиях. // Энергосбережение. – 2001. – №10. – </w:t>
      </w:r>
      <w:r>
        <w:rPr>
          <w:sz w:val="28"/>
          <w:szCs w:val="28"/>
        </w:rPr>
        <w:t>С</w:t>
      </w:r>
      <w:r w:rsidRPr="009E7D51">
        <w:rPr>
          <w:sz w:val="28"/>
          <w:szCs w:val="28"/>
        </w:rPr>
        <w:t>.15-16.</w:t>
      </w:r>
      <w:r w:rsidRPr="009E7D51">
        <w:rPr>
          <w:sz w:val="28"/>
          <w:szCs w:val="28"/>
          <w:lang w:val="uk-UA"/>
        </w:rPr>
        <w:t xml:space="preserve"> </w:t>
      </w:r>
    </w:p>
    <w:p w:rsidR="0034182D" w:rsidRPr="009E7D51" w:rsidRDefault="0034182D" w:rsidP="0034182D">
      <w:pPr>
        <w:numPr>
          <w:ilvl w:val="0"/>
          <w:numId w:val="3"/>
        </w:numPr>
        <w:tabs>
          <w:tab w:val="left" w:pos="858"/>
        </w:tabs>
        <w:ind w:left="0" w:right="-34" w:firstLine="546"/>
        <w:jc w:val="both"/>
        <w:rPr>
          <w:sz w:val="28"/>
          <w:szCs w:val="28"/>
        </w:rPr>
      </w:pPr>
      <w:r w:rsidRPr="009E7D51">
        <w:rPr>
          <w:sz w:val="28"/>
          <w:szCs w:val="28"/>
        </w:rPr>
        <w:t>С. Ефремов. Формирование конкурентных энергорынков в Украине. // Экономика Украины. 2007 №10, с.15-28.</w:t>
      </w:r>
    </w:p>
    <w:p w:rsidR="007E3268" w:rsidRDefault="0034182D" w:rsidP="0034182D">
      <w:r w:rsidRPr="009E7D51">
        <w:rPr>
          <w:sz w:val="28"/>
          <w:szCs w:val="28"/>
        </w:rPr>
        <w:t>Елена Сухорукова</w:t>
      </w:r>
      <w:r w:rsidRPr="009E7D51">
        <w:rPr>
          <w:i/>
          <w:sz w:val="28"/>
          <w:szCs w:val="28"/>
        </w:rPr>
        <w:t xml:space="preserve"> /</w:t>
      </w:r>
      <w:r w:rsidRPr="009E7D51">
        <w:rPr>
          <w:sz w:val="28"/>
          <w:szCs w:val="28"/>
        </w:rPr>
        <w:t>Теперь шламы – не отходы, а сырье</w:t>
      </w:r>
      <w:r w:rsidRPr="009E7D51">
        <w:rPr>
          <w:b/>
          <w:sz w:val="28"/>
          <w:szCs w:val="28"/>
        </w:rPr>
        <w:t xml:space="preserve"> //</w:t>
      </w:r>
      <w:r w:rsidRPr="009E7D51">
        <w:rPr>
          <w:sz w:val="28"/>
          <w:szCs w:val="28"/>
          <w:lang w:val="uk-UA"/>
        </w:rPr>
        <w:t>„Голос Донбасса”</w:t>
      </w:r>
      <w:r>
        <w:rPr>
          <w:sz w:val="28"/>
          <w:szCs w:val="28"/>
          <w:lang w:val="uk-UA"/>
        </w:rPr>
        <w:t xml:space="preserve"> </w:t>
      </w:r>
      <w:r w:rsidRPr="009E7D51">
        <w:rPr>
          <w:sz w:val="28"/>
          <w:szCs w:val="28"/>
          <w:lang w:val="uk-UA"/>
        </w:rPr>
        <w:t>№17 (577) 29.04.04</w:t>
      </w:r>
      <w:bookmarkStart w:id="1" w:name="_GoBack"/>
      <w:bookmarkEnd w:id="1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82886"/>
    <w:multiLevelType w:val="singleLevel"/>
    <w:tmpl w:val="C77A0D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532A29BC"/>
    <w:multiLevelType w:val="singleLevel"/>
    <w:tmpl w:val="A560C7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826702"/>
    <w:multiLevelType w:val="hybridMultilevel"/>
    <w:tmpl w:val="FD484054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A3"/>
    <w:rsid w:val="0034182D"/>
    <w:rsid w:val="007E3268"/>
    <w:rsid w:val="0081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4182D"/>
    <w:pPr>
      <w:spacing w:before="100" w:beforeAutospacing="1" w:after="40"/>
      <w:ind w:left="567" w:right="567"/>
      <w:jc w:val="both"/>
    </w:pPr>
    <w:rPr>
      <w:rFonts w:ascii="Verdana" w:hAnsi="Verdana"/>
      <w:lang w:val="uk-UA" w:eastAsia="ru-RU"/>
    </w:rPr>
  </w:style>
  <w:style w:type="character" w:customStyle="1" w:styleId="spelle">
    <w:name w:val="spelle"/>
    <w:basedOn w:val="a0"/>
    <w:rsid w:val="0034182D"/>
  </w:style>
  <w:style w:type="character" w:customStyle="1" w:styleId="grame">
    <w:name w:val="grame"/>
    <w:basedOn w:val="a0"/>
    <w:rsid w:val="00341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4182D"/>
    <w:pPr>
      <w:spacing w:before="100" w:beforeAutospacing="1" w:after="40"/>
      <w:ind w:left="567" w:right="567"/>
      <w:jc w:val="both"/>
    </w:pPr>
    <w:rPr>
      <w:rFonts w:ascii="Verdana" w:hAnsi="Verdana"/>
      <w:lang w:val="uk-UA" w:eastAsia="ru-RU"/>
    </w:rPr>
  </w:style>
  <w:style w:type="character" w:customStyle="1" w:styleId="spelle">
    <w:name w:val="spelle"/>
    <w:basedOn w:val="a0"/>
    <w:rsid w:val="0034182D"/>
  </w:style>
  <w:style w:type="character" w:customStyle="1" w:styleId="grame">
    <w:name w:val="grame"/>
    <w:basedOn w:val="a0"/>
    <w:rsid w:val="0034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5991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2012-06-12T10:02:00Z</dcterms:created>
  <dcterms:modified xsi:type="dcterms:W3CDTF">2012-06-12T10:03:00Z</dcterms:modified>
</cp:coreProperties>
</file>