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МИНИСТЕРСТВО ОБРАЗОВАНИЯ И НАУКИ УКРАИНЫ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МИНИСТЕРСТВО ОБРАЗОВАНИЯ И НАУКИ РОССИЙСКОЙ ФЕДЕРАЦИИ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ФЕДЕРАЛЬНАЯ СЛУЖБА ПО ЭКОЛОГИЧЕСКОМУ, ТЕХНОЛОГИЧЕСКОМУ И АТОМНОМУ НАДЗОРУ РОССИЙСКОЙ ФЕДЕРАЦИИ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МИНИСТЕРСТВО ОХРАНЫ ОКРУЖАЮЩЕЙ ПРИРОДНОЙ СРЕДЫ УКРАИНЫ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МИНИСТЕРСТВО ПРИРОДНЫХ РЕСУРСОВ РОССИЙСКОЙ ФЕДЕРАЦИИ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НАЦИОНАЛЬНАЯ АКАДЕМИЯ НАУК УКРАИНЫ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ДОНЕЦКАЯ ОБЛАСТНАЯ ГОСУДАРСТВЕННАЯ АДМИНИСТРАЦИЯ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ДОНЕЦКИЙ НАЦИОНАЛЬНЫЙ ТЕХНИЧЕСКИЙ УНИВЕРСИТЕТ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 xml:space="preserve">МОСКОВСКИЙ ГОСУДАРСТВЕННЫЙ УНИВЕРСИТЕТ ИНЖЕНЕРНОЙ ЭКОЛОГИИ 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ПАО «АВДЕЕВСКИЙ КОКСОХИМИЧЕСКИЙ ЗАВОД»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ОАО “ИНСТИТУТ ЮЖНИИГИПРОГАЗ”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>ДОНЕЦКИЙ ФИЛИАЛ  ГЭИ МИНПРИРОДЫ УКРАИНЫ</w:t>
      </w:r>
    </w:p>
    <w:p w:rsidR="005853EE" w:rsidRPr="005F70A7" w:rsidRDefault="005853EE" w:rsidP="005853EE">
      <w:pPr>
        <w:pStyle w:val="3"/>
        <w:jc w:val="center"/>
        <w:rPr>
          <w:b/>
          <w:sz w:val="24"/>
          <w:szCs w:val="24"/>
        </w:rPr>
      </w:pPr>
      <w:r w:rsidRPr="005F70A7">
        <w:rPr>
          <w:b/>
          <w:sz w:val="24"/>
          <w:szCs w:val="24"/>
        </w:rPr>
        <w:t xml:space="preserve">ГУП ЭКОТЕХПРОМ </w:t>
      </w:r>
    </w:p>
    <w:p w:rsidR="005853EE" w:rsidRPr="005F70A7" w:rsidRDefault="005853EE" w:rsidP="005853EE">
      <w:pPr>
        <w:pStyle w:val="3"/>
        <w:jc w:val="center"/>
        <w:rPr>
          <w:b/>
          <w:szCs w:val="28"/>
        </w:rPr>
      </w:pPr>
      <w:r w:rsidRPr="005F70A7">
        <w:rPr>
          <w:b/>
          <w:szCs w:val="28"/>
        </w:rPr>
        <w:tab/>
      </w:r>
    </w:p>
    <w:tbl>
      <w:tblPr>
        <w:tblW w:w="10089" w:type="dxa"/>
        <w:tblInd w:w="99" w:type="dxa"/>
        <w:tblLayout w:type="fixed"/>
        <w:tblLook w:val="0000"/>
      </w:tblPr>
      <w:tblGrid>
        <w:gridCol w:w="3553"/>
        <w:gridCol w:w="4131"/>
        <w:gridCol w:w="2405"/>
      </w:tblGrid>
      <w:tr w:rsidR="005853EE" w:rsidRPr="005F70A7" w:rsidTr="0058474D">
        <w:tblPrEx>
          <w:tblCellMar>
            <w:top w:w="0" w:type="dxa"/>
            <w:bottom w:w="0" w:type="dxa"/>
          </w:tblCellMar>
        </w:tblPrEx>
        <w:trPr>
          <w:trHeight w:val="1943"/>
        </w:trPr>
        <w:tc>
          <w:tcPr>
            <w:tcW w:w="3553" w:type="dxa"/>
            <w:vAlign w:val="center"/>
          </w:tcPr>
          <w:p w:rsidR="005853EE" w:rsidRPr="005F70A7" w:rsidRDefault="005853EE" w:rsidP="0058474D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105025" cy="981075"/>
                  <wp:effectExtent l="19050" t="0" r="28575" b="9525"/>
                  <wp:docPr id="6" name="Рисунок 1" descr="Эмблема МГУИ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МГУИ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8398" dir="1593903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vAlign w:val="center"/>
          </w:tcPr>
          <w:p w:rsidR="005853EE" w:rsidRPr="005F70A7" w:rsidRDefault="005853EE" w:rsidP="0058474D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228850" cy="1323975"/>
                  <wp:effectExtent l="19050" t="0" r="19050" b="28575"/>
                  <wp:docPr id="5" name="Рисунок 2" descr="DonNTU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nNTU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vAlign w:val="center"/>
          </w:tcPr>
          <w:p w:rsidR="005853EE" w:rsidRPr="005F70A7" w:rsidRDefault="005853EE" w:rsidP="0058474D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1162050" cy="1171575"/>
                  <wp:effectExtent l="19050" t="0" r="0" b="0"/>
                  <wp:docPr id="4" name="Рисунок 3" descr="Эмблема АКХЗ_Слой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 АКХЗ_Слой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3EE" w:rsidRPr="005F70A7" w:rsidRDefault="005853EE" w:rsidP="005853EE">
      <w:pPr>
        <w:spacing w:after="12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5F70A7">
        <w:rPr>
          <w:rFonts w:ascii="Times New Roman" w:hAnsi="Times New Roman"/>
          <w:b/>
          <w:sz w:val="28"/>
          <w:szCs w:val="28"/>
        </w:rPr>
        <w:t xml:space="preserve">Сборник трудов </w:t>
      </w:r>
      <w:r w:rsidRPr="005F70A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5F70A7">
        <w:rPr>
          <w:rFonts w:ascii="Times New Roman" w:hAnsi="Times New Roman"/>
          <w:b/>
          <w:sz w:val="28"/>
          <w:szCs w:val="28"/>
        </w:rPr>
        <w:t xml:space="preserve"> международной научно-практической конференции-выставки</w:t>
      </w:r>
    </w:p>
    <w:p w:rsidR="005853EE" w:rsidRPr="005F70A7" w:rsidRDefault="005853EE" w:rsidP="005853EE">
      <w:pPr>
        <w:spacing w:after="36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5F70A7">
        <w:rPr>
          <w:rFonts w:ascii="Times New Roman" w:hAnsi="Times New Roman"/>
          <w:b/>
          <w:bCs/>
          <w:spacing w:val="-6"/>
          <w:sz w:val="28"/>
          <w:szCs w:val="28"/>
        </w:rPr>
        <w:t>“ЭКОЛОГИЧЕСКИЕ ПРОБЛЕМЫ ИНДУСТРИАЛЬНЫХ МЕГАПОЛИСОВ”</w:t>
      </w:r>
    </w:p>
    <w:p w:rsidR="005853EE" w:rsidRDefault="005853EE" w:rsidP="005853EE">
      <w:pPr>
        <w:spacing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853EE" w:rsidRPr="006C075C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2"/>
          <w:sz w:val="32"/>
          <w:szCs w:val="32"/>
          <w:u w:val="single"/>
        </w:rPr>
      </w:pPr>
      <w:r w:rsidRPr="006C075C">
        <w:rPr>
          <w:rFonts w:ascii="Times New Roman" w:hAnsi="Times New Roman"/>
          <w:b/>
          <w:bCs/>
          <w:i/>
          <w:spacing w:val="-2"/>
          <w:sz w:val="32"/>
          <w:szCs w:val="32"/>
          <w:u w:val="single"/>
        </w:rPr>
        <w:t>Юбилейный выпуск</w:t>
      </w:r>
    </w:p>
    <w:p w:rsidR="005853EE" w:rsidRPr="006C075C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2"/>
          <w:sz w:val="24"/>
          <w:szCs w:val="24"/>
          <w:u w:val="single"/>
        </w:rPr>
      </w:pPr>
    </w:p>
    <w:p w:rsidR="005853EE" w:rsidRPr="006C075C" w:rsidRDefault="005853EE" w:rsidP="005853EE">
      <w:pPr>
        <w:spacing w:after="0" w:line="240" w:lineRule="auto"/>
        <w:ind w:hanging="291"/>
        <w:jc w:val="center"/>
        <w:rPr>
          <w:rFonts w:ascii="Times New Roman" w:hAnsi="Times New Roman"/>
          <w:b/>
          <w:bCs/>
          <w:i/>
          <w:spacing w:val="-10"/>
          <w:sz w:val="32"/>
          <w:szCs w:val="32"/>
        </w:rPr>
      </w:pPr>
      <w:r w:rsidRPr="006C075C">
        <w:rPr>
          <w:rFonts w:ascii="Times New Roman" w:hAnsi="Times New Roman"/>
          <w:b/>
          <w:bCs/>
          <w:i/>
          <w:spacing w:val="-10"/>
          <w:sz w:val="32"/>
          <w:szCs w:val="32"/>
        </w:rPr>
        <w:t>9</w:t>
      </w:r>
      <w:r>
        <w:rPr>
          <w:rFonts w:ascii="Times New Roman" w:hAnsi="Times New Roman"/>
          <w:b/>
          <w:bCs/>
          <w:i/>
          <w:spacing w:val="-10"/>
          <w:sz w:val="32"/>
          <w:szCs w:val="32"/>
        </w:rPr>
        <w:t>0</w:t>
      </w:r>
      <w:r w:rsidRPr="0081266F">
        <w:rPr>
          <w:rFonts w:ascii="Times New Roman" w:hAnsi="Times New Roman"/>
          <w:b/>
          <w:bCs/>
          <w:i/>
          <w:spacing w:val="-10"/>
          <w:sz w:val="32"/>
          <w:szCs w:val="32"/>
        </w:rPr>
        <w:t xml:space="preserve"> </w:t>
      </w:r>
      <w:r w:rsidRPr="006C075C">
        <w:rPr>
          <w:rFonts w:ascii="Times New Roman" w:hAnsi="Times New Roman"/>
          <w:b/>
          <w:bCs/>
          <w:i/>
          <w:spacing w:val="-10"/>
          <w:sz w:val="32"/>
          <w:szCs w:val="32"/>
        </w:rPr>
        <w:t>лет Донецкому национальному техническому университету</w:t>
      </w:r>
    </w:p>
    <w:p w:rsidR="005853EE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853EE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853EE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853EE" w:rsidRPr="005F70A7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30-31 мая 2011</w:t>
      </w:r>
      <w:r w:rsidRPr="005F70A7">
        <w:rPr>
          <w:rFonts w:ascii="Times New Roman" w:hAnsi="Times New Roman"/>
          <w:b/>
          <w:bCs/>
          <w:spacing w:val="-2"/>
          <w:sz w:val="28"/>
          <w:szCs w:val="28"/>
        </w:rPr>
        <w:t xml:space="preserve"> года</w:t>
      </w:r>
    </w:p>
    <w:p w:rsidR="005853EE" w:rsidRPr="005F70A7" w:rsidRDefault="005853EE" w:rsidP="005853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0A7">
        <w:rPr>
          <w:rFonts w:ascii="Times New Roman" w:hAnsi="Times New Roman"/>
          <w:b/>
          <w:bCs/>
          <w:sz w:val="28"/>
          <w:szCs w:val="28"/>
        </w:rPr>
        <w:t>Донецк</w:t>
      </w:r>
    </w:p>
    <w:p w:rsidR="005853EE" w:rsidRPr="00150ED0" w:rsidRDefault="005853EE" w:rsidP="005853EE">
      <w:r w:rsidRPr="0011390A">
        <w:rPr>
          <w:sz w:val="28"/>
          <w:szCs w:val="28"/>
        </w:rPr>
        <w:br w:type="page"/>
      </w:r>
      <w:r w:rsidRPr="00150ED0">
        <w:lastRenderedPageBreak/>
        <w:t>УДК 330.15</w:t>
      </w:r>
    </w:p>
    <w:p w:rsidR="005853EE" w:rsidRPr="00150ED0" w:rsidRDefault="005853EE" w:rsidP="005853EE">
      <w:pPr>
        <w:tabs>
          <w:tab w:val="left" w:pos="1134"/>
        </w:tabs>
        <w:spacing w:before="240"/>
        <w:ind w:left="1134" w:hanging="1134"/>
        <w:jc w:val="both"/>
      </w:pPr>
      <w:r w:rsidRPr="00197853">
        <w:t>Э-40</w:t>
      </w:r>
      <w:r w:rsidRPr="00197853">
        <w:tab/>
        <w:t xml:space="preserve">Экологические проблемы индустриальных мегаполисов: </w:t>
      </w:r>
      <w:r>
        <w:t xml:space="preserve">Сборник трудов </w:t>
      </w:r>
      <w:r w:rsidRPr="00197853">
        <w:t>международной научно-практической конференции. Донецк</w:t>
      </w:r>
      <w:r>
        <w:t xml:space="preserve"> 30 – 31 мая 2011</w:t>
      </w:r>
      <w:r w:rsidRPr="00197853">
        <w:t xml:space="preserve">., – Донецк, ДонНТУ Министерства образования и науки Украины, </w:t>
      </w:r>
      <w:r>
        <w:t>2011</w:t>
      </w:r>
      <w:r w:rsidRPr="006F6EA6">
        <w:t xml:space="preserve">- </w:t>
      </w:r>
      <w:r>
        <w:rPr>
          <w:lang w:val="uk-UA"/>
        </w:rPr>
        <w:t>259</w:t>
      </w:r>
      <w:r w:rsidRPr="006F6EA6">
        <w:t> с.</w:t>
      </w:r>
    </w:p>
    <w:p w:rsidR="005853EE" w:rsidRDefault="005853EE" w:rsidP="005853EE">
      <w:pPr>
        <w:tabs>
          <w:tab w:val="left" w:pos="1134"/>
        </w:tabs>
        <w:spacing w:before="120" w:after="240"/>
        <w:ind w:left="1134" w:hanging="1134"/>
        <w:jc w:val="both"/>
      </w:pPr>
      <w:r w:rsidRPr="00741E84">
        <w:rPr>
          <w:lang w:val="en-US"/>
        </w:rPr>
        <w:t>ISBN</w:t>
      </w:r>
      <w:r w:rsidRPr="00150ED0">
        <w:t xml:space="preserve"> 966-508-311-2</w:t>
      </w:r>
    </w:p>
    <w:p w:rsidR="005853EE" w:rsidRPr="00150ED0" w:rsidRDefault="005853EE" w:rsidP="005853EE">
      <w:pPr>
        <w:tabs>
          <w:tab w:val="left" w:pos="1134"/>
        </w:tabs>
        <w:spacing w:before="120" w:after="240"/>
        <w:ind w:left="1134" w:hanging="1134"/>
        <w:jc w:val="both"/>
      </w:pPr>
    </w:p>
    <w:p w:rsidR="005853EE" w:rsidRPr="00197853" w:rsidRDefault="005853EE" w:rsidP="005853EE">
      <w:pPr>
        <w:spacing w:before="480"/>
        <w:ind w:firstLine="709"/>
        <w:jc w:val="both"/>
      </w:pPr>
      <w:r w:rsidRPr="00197853">
        <w:t>Доклады ученых и специалистов по проблемам экологической политики в индустриальных мегаполисах, экологической безопасности в базовых отраслях промышленности, создания оборудования экологически чистых технологий, оценки техногенного риска, экологического аудита и экологического менеджмента, охраны воздушного и водного бассейнов, управления твердыми промышленными и бытовыми отходами, экологического мониторинга и высш</w:t>
      </w:r>
      <w:r>
        <w:t>его экологического образования.</w:t>
      </w:r>
    </w:p>
    <w:p w:rsidR="005853EE" w:rsidRPr="00C17E61" w:rsidRDefault="005853EE" w:rsidP="005853EE">
      <w:pPr>
        <w:ind w:firstLine="709"/>
        <w:jc w:val="both"/>
      </w:pPr>
      <w:r w:rsidRPr="00197853">
        <w:t>Для специалистов народного хозяйства, ученых, преподавателей, аспирантов и студентов высших учебных заведений</w:t>
      </w:r>
      <w:r>
        <w:t>.</w:t>
      </w:r>
    </w:p>
    <w:p w:rsidR="005853EE" w:rsidRPr="00C17E61" w:rsidRDefault="005853EE" w:rsidP="005853EE">
      <w:pPr>
        <w:ind w:firstLine="709"/>
        <w:jc w:val="both"/>
      </w:pPr>
    </w:p>
    <w:p w:rsidR="005853EE" w:rsidRPr="00197853" w:rsidRDefault="005853EE" w:rsidP="005853EE">
      <w:pPr>
        <w:spacing w:before="240"/>
        <w:ind w:firstLine="709"/>
        <w:jc w:val="both"/>
        <w:rPr>
          <w:lang w:val="uk-UA"/>
        </w:rPr>
      </w:pPr>
      <w:r w:rsidRPr="00197853">
        <w:rPr>
          <w:lang w:val="uk-UA"/>
        </w:rPr>
        <w:t>Доповіді вчених і фахівців із проблем екологічної політики в індустріальних мегаполісах, екологічної безпеки в базових галузях промисловості, побудови обладнання екологічно чистих технологій, оцінки техногенного ризику, екологічного аудиту і екологічного менеджменту, охорони водного та повітряного басейнів, управління твердими промисловими і побутовими відходами, екологічного моніторингу та вищої екологічної освіти.</w:t>
      </w:r>
    </w:p>
    <w:p w:rsidR="005853EE" w:rsidRPr="00C17E61" w:rsidRDefault="005853EE" w:rsidP="005853EE">
      <w:pPr>
        <w:ind w:firstLine="709"/>
        <w:jc w:val="both"/>
      </w:pPr>
      <w:r w:rsidRPr="00197853">
        <w:rPr>
          <w:lang w:val="uk-UA"/>
        </w:rPr>
        <w:t>Для фа</w:t>
      </w:r>
      <w:r>
        <w:rPr>
          <w:lang w:val="uk-UA"/>
        </w:rPr>
        <w:t>хівців народного господарства, в</w:t>
      </w:r>
      <w:r w:rsidRPr="00197853">
        <w:rPr>
          <w:lang w:val="uk-UA"/>
        </w:rPr>
        <w:t>чених, викладачів, аспірантів і студентів вищих навчальних закладів</w:t>
      </w:r>
      <w:r>
        <w:rPr>
          <w:lang w:val="uk-UA"/>
        </w:rPr>
        <w:t>.</w:t>
      </w:r>
    </w:p>
    <w:p w:rsidR="005853EE" w:rsidRPr="00C17E61" w:rsidRDefault="005853EE" w:rsidP="005853EE">
      <w:pPr>
        <w:ind w:firstLine="709"/>
        <w:jc w:val="both"/>
      </w:pPr>
    </w:p>
    <w:p w:rsidR="005853EE" w:rsidRPr="00150ED0" w:rsidRDefault="005853EE" w:rsidP="005853EE">
      <w:pPr>
        <w:spacing w:after="0"/>
        <w:rPr>
          <w:lang w:val="uk-UA"/>
        </w:rPr>
      </w:pPr>
      <w:r w:rsidRPr="00150ED0">
        <w:rPr>
          <w:lang w:val="uk-UA"/>
        </w:rPr>
        <w:t>Редакционная коллегия:</w:t>
      </w:r>
    </w:p>
    <w:p w:rsidR="005853EE" w:rsidRPr="0019797F" w:rsidRDefault="005853EE" w:rsidP="005853EE">
      <w:pPr>
        <w:spacing w:after="0"/>
        <w:ind w:left="709"/>
        <w:jc w:val="both"/>
        <w:rPr>
          <w:lang w:val="uk-UA"/>
        </w:rPr>
      </w:pPr>
      <w:r w:rsidRPr="0019797F">
        <w:rPr>
          <w:lang w:val="uk-UA"/>
        </w:rPr>
        <w:t>д.т.н.</w:t>
      </w:r>
      <w:r>
        <w:rPr>
          <w:lang w:val="uk-UA"/>
        </w:rPr>
        <w:t> </w:t>
      </w:r>
      <w:r w:rsidRPr="0019797F">
        <w:rPr>
          <w:lang w:val="uk-UA"/>
        </w:rPr>
        <w:t>Минаев А.А., д.т.н.</w:t>
      </w:r>
      <w:r>
        <w:rPr>
          <w:lang w:val="uk-UA"/>
        </w:rPr>
        <w:t> </w:t>
      </w:r>
      <w:r w:rsidRPr="0019797F">
        <w:rPr>
          <w:lang w:val="uk-UA"/>
        </w:rPr>
        <w:t>Баранов Д.А., д.т.н.</w:t>
      </w:r>
      <w:r>
        <w:rPr>
          <w:lang w:val="uk-UA"/>
        </w:rPr>
        <w:t> </w:t>
      </w:r>
      <w:r w:rsidRPr="0019797F">
        <w:rPr>
          <w:lang w:val="uk-UA"/>
        </w:rPr>
        <w:t>Власов Г.А., д.т.н.</w:t>
      </w:r>
      <w:r>
        <w:rPr>
          <w:lang w:val="uk-UA"/>
        </w:rPr>
        <w:t> </w:t>
      </w:r>
      <w:r w:rsidRPr="0019797F">
        <w:rPr>
          <w:lang w:val="uk-UA"/>
        </w:rPr>
        <w:t>Башков Е.А., к.т.н.</w:t>
      </w:r>
      <w:r>
        <w:rPr>
          <w:lang w:val="uk-UA"/>
        </w:rPr>
        <w:t> </w:t>
      </w:r>
      <w:r w:rsidRPr="0019797F">
        <w:rPr>
          <w:lang w:val="uk-UA"/>
        </w:rPr>
        <w:t>Веретельник С.П., д.х.н.</w:t>
      </w:r>
      <w:r>
        <w:rPr>
          <w:lang w:val="uk-UA"/>
        </w:rPr>
        <w:t> </w:t>
      </w:r>
      <w:r w:rsidRPr="0019797F">
        <w:rPr>
          <w:lang w:val="uk-UA"/>
        </w:rPr>
        <w:t>Высоцкий Ю.Б., д.т.н.</w:t>
      </w:r>
      <w:r>
        <w:rPr>
          <w:lang w:val="uk-UA"/>
        </w:rPr>
        <w:t> </w:t>
      </w:r>
      <w:r w:rsidRPr="0019797F">
        <w:rPr>
          <w:lang w:val="uk-UA"/>
        </w:rPr>
        <w:t>Генералов М.Б., д.т.н.</w:t>
      </w:r>
      <w:r>
        <w:rPr>
          <w:lang w:val="uk-UA"/>
        </w:rPr>
        <w:t> </w:t>
      </w:r>
      <w:r w:rsidRPr="0019797F">
        <w:rPr>
          <w:lang w:val="uk-UA"/>
        </w:rPr>
        <w:t>Королев В.П., д.т.н.</w:t>
      </w:r>
      <w:r>
        <w:rPr>
          <w:lang w:val="uk-UA"/>
        </w:rPr>
        <w:t> </w:t>
      </w:r>
      <w:r w:rsidRPr="0019797F">
        <w:rPr>
          <w:lang w:val="uk-UA"/>
        </w:rPr>
        <w:t>Костенко В.К., к.т.н.</w:t>
      </w:r>
      <w:r>
        <w:rPr>
          <w:lang w:val="uk-UA"/>
        </w:rPr>
        <w:t> </w:t>
      </w:r>
      <w:r w:rsidRPr="0019797F">
        <w:rPr>
          <w:lang w:val="uk-UA"/>
        </w:rPr>
        <w:t>Панасенко А.И., д.т.н.</w:t>
      </w:r>
      <w:r>
        <w:rPr>
          <w:lang w:val="uk-UA"/>
        </w:rPr>
        <w:t> </w:t>
      </w:r>
      <w:r w:rsidRPr="0019797F">
        <w:rPr>
          <w:lang w:val="uk-UA"/>
        </w:rPr>
        <w:t>Парфенюк А.С., к.т.н.</w:t>
      </w:r>
      <w:r>
        <w:rPr>
          <w:lang w:val="uk-UA"/>
        </w:rPr>
        <w:t> </w:t>
      </w:r>
      <w:r w:rsidRPr="0019797F">
        <w:rPr>
          <w:lang w:val="uk-UA"/>
        </w:rPr>
        <w:t>Топоров А.А., д.х.н.</w:t>
      </w:r>
      <w:r>
        <w:rPr>
          <w:lang w:val="uk-UA"/>
        </w:rPr>
        <w:t> </w:t>
      </w:r>
      <w:r w:rsidRPr="0019797F">
        <w:rPr>
          <w:lang w:val="uk-UA"/>
        </w:rPr>
        <w:t>Шаповалов В.В.</w:t>
      </w:r>
    </w:p>
    <w:p w:rsidR="005853EE" w:rsidRDefault="005853EE" w:rsidP="005853EE">
      <w:pPr>
        <w:ind w:left="709"/>
        <w:jc w:val="both"/>
        <w:rPr>
          <w:lang w:val="uk-UA"/>
        </w:rPr>
      </w:pPr>
    </w:p>
    <w:p w:rsidR="005853EE" w:rsidRPr="0019797F" w:rsidRDefault="005853EE" w:rsidP="005853EE">
      <w:pPr>
        <w:spacing w:after="0"/>
        <w:jc w:val="both"/>
        <w:rPr>
          <w:lang w:val="uk-UA"/>
        </w:rPr>
      </w:pPr>
      <w:r w:rsidRPr="0019797F">
        <w:rPr>
          <w:lang w:val="uk-UA"/>
        </w:rPr>
        <w:t>СЕКРЕТАРИАТ</w:t>
      </w:r>
    </w:p>
    <w:p w:rsidR="005853EE" w:rsidRPr="0019797F" w:rsidRDefault="005853EE" w:rsidP="005853EE">
      <w:pPr>
        <w:spacing w:after="0"/>
        <w:ind w:left="709"/>
        <w:jc w:val="both"/>
        <w:rPr>
          <w:lang w:val="uk-UA"/>
        </w:rPr>
      </w:pPr>
      <w:r w:rsidRPr="0019797F">
        <w:rPr>
          <w:lang w:val="uk-UA"/>
        </w:rPr>
        <w:t>Топоров А.А. – ответственный секретарь конференции,</w:t>
      </w:r>
      <w:r w:rsidRPr="00E76F2E">
        <w:t xml:space="preserve"> </w:t>
      </w:r>
      <w:r>
        <w:t>к.т.н.,</w:t>
      </w:r>
      <w:r w:rsidRPr="0019797F">
        <w:rPr>
          <w:lang w:val="uk-UA"/>
        </w:rPr>
        <w:t xml:space="preserve"> доцент;</w:t>
      </w:r>
    </w:p>
    <w:p w:rsidR="005853EE" w:rsidRPr="0019797F" w:rsidRDefault="005853EE" w:rsidP="005853EE">
      <w:pPr>
        <w:spacing w:after="0"/>
        <w:ind w:left="709"/>
        <w:jc w:val="both"/>
        <w:rPr>
          <w:lang w:val="uk-UA"/>
        </w:rPr>
      </w:pPr>
      <w:r w:rsidRPr="0019797F">
        <w:rPr>
          <w:lang w:val="uk-UA"/>
        </w:rPr>
        <w:t xml:space="preserve">Лунева О.В. – </w:t>
      </w:r>
      <w:r>
        <w:rPr>
          <w:lang w:val="uk-UA"/>
        </w:rPr>
        <w:t xml:space="preserve">к.т.н., </w:t>
      </w:r>
      <w:r w:rsidRPr="0019797F">
        <w:rPr>
          <w:lang w:val="uk-UA"/>
        </w:rPr>
        <w:t>доцент;</w:t>
      </w:r>
    </w:p>
    <w:p w:rsidR="005853EE" w:rsidRPr="0019797F" w:rsidRDefault="005853EE" w:rsidP="005853EE">
      <w:pPr>
        <w:spacing w:after="0"/>
        <w:ind w:left="709"/>
        <w:jc w:val="both"/>
        <w:rPr>
          <w:lang w:val="uk-UA"/>
        </w:rPr>
      </w:pPr>
      <w:r w:rsidRPr="0019797F">
        <w:rPr>
          <w:lang w:val="uk-UA"/>
        </w:rPr>
        <w:t>Кутняшенко А.И. – ассистент кафедры МАХП (ДонНТУ);</w:t>
      </w:r>
    </w:p>
    <w:p w:rsidR="005853EE" w:rsidRPr="0019797F" w:rsidRDefault="005853EE" w:rsidP="005853EE">
      <w:pPr>
        <w:spacing w:after="0"/>
        <w:ind w:left="709"/>
        <w:jc w:val="both"/>
        <w:rPr>
          <w:lang w:val="uk-UA"/>
        </w:rPr>
      </w:pPr>
      <w:r w:rsidRPr="0019797F">
        <w:rPr>
          <w:lang w:val="uk-UA"/>
        </w:rPr>
        <w:t>Кирбаба В.В. –</w:t>
      </w:r>
      <w:r>
        <w:rPr>
          <w:lang w:val="uk-UA"/>
        </w:rPr>
        <w:t xml:space="preserve"> нач. экологического отдела П</w:t>
      </w:r>
      <w:r w:rsidRPr="0019797F">
        <w:rPr>
          <w:lang w:val="uk-UA"/>
        </w:rPr>
        <w:t>АО АКХЗ.</w:t>
      </w:r>
    </w:p>
    <w:p w:rsidR="005853EE" w:rsidRPr="0019797F" w:rsidRDefault="005853EE" w:rsidP="005853EE">
      <w:pPr>
        <w:spacing w:before="240"/>
        <w:jc w:val="both"/>
        <w:rPr>
          <w:lang w:val="uk-UA"/>
        </w:rPr>
      </w:pPr>
      <w:r>
        <w:rPr>
          <w:lang w:val="uk-UA"/>
        </w:rPr>
        <w:br w:type="page"/>
      </w:r>
      <w:r w:rsidRPr="0019797F">
        <w:rPr>
          <w:lang w:val="uk-UA"/>
        </w:rPr>
        <w:lastRenderedPageBreak/>
        <w:t>ОРГАНИЗАЦИОННЫЙ КОМИТЕТ</w:t>
      </w:r>
    </w:p>
    <w:p w:rsidR="005853EE" w:rsidRDefault="005853EE" w:rsidP="005853EE">
      <w:pPr>
        <w:spacing w:before="240"/>
        <w:ind w:firstLine="709"/>
        <w:jc w:val="both"/>
        <w:rPr>
          <w:lang w:val="uk-UA"/>
        </w:rPr>
      </w:pPr>
      <w:r w:rsidRPr="0019797F">
        <w:rPr>
          <w:lang w:val="uk-UA"/>
        </w:rPr>
        <w:t>Аверин  Г.В., д.т.н., проф. (ДонНТУ); Башков Е.А., д.т.н., проф., проректор (ДонНТУ); Беломеря Н.И., к.т.н., проф. (ДонНТУ); Беренгартен М.Г., к.т.н., проф., проректор (МГУИЭ); Бондарцов В.Д. директор (ОАО "Инситут ЮЖНИИГИПРОГАЗ"); Булавин А.В.,к.т.н., доц. (ДонНТУ); Бутузова Л.Ф., д.х.н., проф. (ДонНТУ); Веретельник С.П., к.т.н., проф. (ДонНТУ); Волкова Т.П., д.т.н., проф. (ДонНТУ); Высоцкий С.П., д.т.н., проф. (ДонНТУ); Высоцкий Ю.Б., д.х.н., проф. (ДонНТУ); Генералов М.Б., д.т.н., проф. (МГУИЭ); Гонопольский А.М., д.т.н., проф. (ГУП «ЭКОТЕХПРОМ»); Даниленко Н.В., к.т.н., доц. (МГУИЭ), Джура С.Г., к.ф.н., доц. (ДонНТУ); Зубов Д.В., к.т.н., доц., начальник Управления по науке и инновационным технологиям (МГУИЭ); Караченцев Е.М., зам. гл. инженера (ОАО "Инситут ЮЖНИИГИПРОГАЗ"); Каталымов А.В., д.т.н., проф. (МГУИЭ); Кауфман С.И., гл. инженер (ОАО Авдеевский КХЗ); Кишкань Р.В., помощник первого заместителя Донецкого городского головы; Клевлеев В.М., д.т.н., проф., проректор (МГУИЭ); Коломийцев В.В. гл. инженер (ОАО "Институт ЮЖНИИГИПРОГАЗ"); Королёв В.П., д.т.н., проф., директор (ДЦТБ); Костенко В.К., д.т.н., проф. (ДонНТУ); Кочура В.В., к.т.н., доц. (ДонНТУ); Левшов А.В., к.т.н., проф., проректор (ДонНТУ); Навка И.П., к.ф.н., проф., проректор (ДонНТУ); Николайкина Н.Е., к.т.н., проф. (МГУИЭ); Панасенко А.И., к.т.н., проф. (ДонНТУ); Парфенюк А.С., д.т.н., проф. (ДонНТУ); Похмурский О.И., д.т.н., проф., чл. корр. (НАНУ); Романенко Е.П., зам директора (ОАО АКХЗ); Третьяков С.В., начальник государственного управления экологии и природных ресурсов в Донецкой области; Троянский А.А., д.т.н., проф., проректор (ДонНТУ); Шаповалов В.В., д.х.н., проф. (ДонНТУ); Шафоростова М.Н. к.н.д.у. (ДонНТУ).</w:t>
      </w:r>
    </w:p>
    <w:p w:rsidR="005853EE" w:rsidRDefault="005853EE" w:rsidP="005853EE">
      <w:pPr>
        <w:spacing w:before="240"/>
        <w:ind w:firstLine="709"/>
        <w:jc w:val="both"/>
        <w:rPr>
          <w:lang w:val="uk-UA"/>
        </w:rPr>
      </w:pPr>
    </w:p>
    <w:p w:rsidR="005853EE" w:rsidRDefault="005853EE" w:rsidP="005853EE">
      <w:pPr>
        <w:spacing w:before="240"/>
        <w:ind w:firstLine="709"/>
        <w:jc w:val="both"/>
        <w:rPr>
          <w:lang w:val="uk-UA"/>
        </w:rPr>
      </w:pPr>
    </w:p>
    <w:p w:rsidR="005853EE" w:rsidRDefault="005853EE" w:rsidP="005853EE">
      <w:pPr>
        <w:spacing w:before="240"/>
        <w:ind w:firstLine="709"/>
        <w:jc w:val="both"/>
      </w:pPr>
    </w:p>
    <w:p w:rsidR="005853EE" w:rsidRPr="00C8609C" w:rsidRDefault="005853EE" w:rsidP="005853EE">
      <w:pPr>
        <w:spacing w:before="240"/>
        <w:ind w:firstLine="709"/>
        <w:jc w:val="both"/>
      </w:pPr>
    </w:p>
    <w:p w:rsidR="005853EE" w:rsidRPr="00C17E61" w:rsidRDefault="005853EE" w:rsidP="005853EE">
      <w:pPr>
        <w:spacing w:before="240"/>
        <w:ind w:firstLine="709"/>
        <w:jc w:val="both"/>
      </w:pPr>
    </w:p>
    <w:p w:rsidR="005853EE" w:rsidRPr="00C17E61" w:rsidRDefault="005853EE" w:rsidP="005853EE">
      <w:pPr>
        <w:spacing w:before="240"/>
        <w:ind w:firstLine="709"/>
        <w:jc w:val="both"/>
      </w:pPr>
    </w:p>
    <w:p w:rsidR="005853EE" w:rsidRPr="00150ED0" w:rsidRDefault="005853EE" w:rsidP="005853EE">
      <w:pPr>
        <w:ind w:left="709"/>
        <w:jc w:val="both"/>
        <w:rPr>
          <w:lang w:val="uk-UA"/>
        </w:rPr>
      </w:pPr>
    </w:p>
    <w:p w:rsidR="005853EE" w:rsidRPr="00150ED0" w:rsidRDefault="005853EE" w:rsidP="005853EE">
      <w:pPr>
        <w:tabs>
          <w:tab w:val="left" w:pos="2552"/>
        </w:tabs>
        <w:spacing w:before="1320"/>
        <w:ind w:left="2552" w:hanging="2552"/>
        <w:jc w:val="both"/>
      </w:pPr>
      <w:r w:rsidRPr="00CC3264">
        <w:rPr>
          <w:lang w:val="en-US"/>
        </w:rPr>
        <w:t>ISBN</w:t>
      </w:r>
      <w:r w:rsidRPr="00CC3264">
        <w:t xml:space="preserve"> 966-508-311-2</w:t>
      </w:r>
      <w:r w:rsidRPr="00CC3264">
        <w:tab/>
        <w:t>© Донецкий национальный технический универ</w:t>
      </w:r>
      <w:r>
        <w:t xml:space="preserve">ситет Министерства образования и </w:t>
      </w:r>
      <w:r w:rsidRPr="00CC3264">
        <w:t>науки</w:t>
      </w:r>
      <w:r>
        <w:t>, молодежи и спорта Украины, 2011</w:t>
      </w:r>
    </w:p>
    <w:p w:rsidR="005853EE" w:rsidRPr="005853EE" w:rsidRDefault="005853EE" w:rsidP="005853EE">
      <w:pPr>
        <w:rPr>
          <w:szCs w:val="28"/>
        </w:rPr>
      </w:pPr>
    </w:p>
    <w:p w:rsidR="005853EE" w:rsidRPr="005853EE" w:rsidRDefault="005853EE" w:rsidP="00EB2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5BB" w:rsidRPr="005F70A7" w:rsidRDefault="00EB25BB" w:rsidP="00EB2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0A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B25BB" w:rsidRDefault="00EB25BB" w:rsidP="00EB2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6" w:type="dxa"/>
        <w:tblInd w:w="93" w:type="dxa"/>
        <w:tblLook w:val="04A0"/>
      </w:tblPr>
      <w:tblGrid>
        <w:gridCol w:w="8520"/>
        <w:gridCol w:w="576"/>
      </w:tblGrid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Минаев А.А.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Пути обеспечения экологической безопасности в предложениях ученых ДонНТУ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Бондарь В.А., Любартович В.А.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Экологическая безопасность использования газового топлива в идустриальных мегаполисах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Гладышев П.А.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 затрат мощности на освещение биомассы в полостных фотобиореакторах для искусственных экосистем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Ершов М.А., Муллакаев М.С., Баранов Д.А.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воздействия кавитации на вязкость парафинистой нефти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Неманова Е.О., Зеленская Н.В., Русинова Т.В., Горшина Е.С., Бирюков В.В.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 эффективного возобновляемого сырья для разработки технологии производства микопротеина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Бутюгин А.В., Узденников Н.Б., Гнеденко М.В., Власов Г.А., Кирбаба В.В.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Совместная утилизация пород отвалов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SergiyAntonyuk, Stefan Heinrich.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Fluidized bed dynamics during particle coating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MaksymDosta, StefanHeinrich.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Solidsim-dynamics – система моделирования технологических процессов твердофазных материалов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Клешня Г.Г., Чешко Ф.Ф.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Получение добавок к электродному пеку из вторичных продуктов коксохимических предприятий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Ярошевский С.Л., Мишин И.В.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 некоксующихся энергетических углей в доменном производстве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Матлак Е.С., Заика Т.И., Заика А.И.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Технические и экономические аспекты решения проблемы комплексной переработки шахтных вод в условиях донецкого мегаполиса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Королев В.П., Стрелкова А.Ю.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Жизненный цикл металлических конструкций и их защитных покрытий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Высоцкий Ю.Б., Королев В.П., Кущенко И.В.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Коррозия конструкций зданий и сооружений -угрозы и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Терешкина О.С., Малова К.А.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комплексной программы модернизации нефтеперерабатывающих заводов (на примере оао «снпз»)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Королев В.П.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Экономические аспекты мониторинга коррозионного состояния строительных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Малеев В.Б., Скорынин Н.И., Кудрявцев А.А.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Обеспыливание шахтного воздуха в подземных условиях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Малеев В.Б., Скорынин Н.И., Кудрявцев А.А.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Эколого-энергетическое развитие донецкого региона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Терешкина О.С., Бобкова Н.И., Малова К.А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. Проблемы экологизации российской нефтепереработки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Збыковский Е. И., Голубев А. В., Топоров А. А., Дюбанов А. 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Компьютерное моделирование движения охлаждающего газа в камерах сухого тушения кокса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Голубев А. В., Збыковский Е. И., Голуб О. Ю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. Исследование структуры потока охлаждающего газа для камеры сухого тушения кокса с новым газораспределительным устройством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Клевлеев В.М., Минаев Д.С.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максимального давления и скорости нарастания давления взрыва нанодисперсных порошков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Орлова Е.В., Купрюхина А.В.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Алканокисляющая активность микроорганизмов, выделенных из активного ила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Парамонов Е.А., Зубов Д.В.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систем вентиляции и кондиционирования для медицинских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Власов Г.А., Кауфман С.И.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Метинвестхолдинг. Экологическая ретроспектива Авдеевского коксохимзавода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Кирбаба В.В., Кауфман С.И., Малыш А.С., Борисенко А.Л., Герман К.Е.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Наилучшие доступные технологии (BAT – bestavailabletechnology) и возможности их внедрения на ПАО «Авдеевский коксохимический завод»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Скрипченко Н.П., Чешко Ф.Ф., Банников Л.П.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целесообразности применения стадии очистки смолы от нерастворимых в хинолине веществ при производстве пропиточного пека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Вознюк В.Т., Мікульнок І.О.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Раціоналізаціяпроцесуохолодженняекструдованихполімерних труб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Караченцев А.Е., Караченцев Е.И.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Экологические проблемы, связанные с выделениями шахтного метана и пути их решения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Бутузова Л.Ф., Маковский Р.В., Бондалетова В.А., Ветров И.В., Бутузов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Г.Н.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перспективы коксования химически модифицированных шихт на основе сернистых углей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Бутузова Л.Ф., Маковский Р.В., Кулакова В.О., БутузовГ.Н.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продуктов полукоксования угольных шихт с повышенным содержанием серы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  <w:bookmarkStart w:id="0" w:name="_GoBack"/>
            <w:bookmarkEnd w:id="0"/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Бондаренко И.В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. Новое предложение в системе транспортировки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Топоров А.А., Акусова А.А., Тихоненко Е.П., Ангельев Ф.А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. К расчету теплового режима трубчатой печи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Топоров А.А., Боровлев В.Н., Холодов В.Е., Котляров И.А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. Анализ условий работы оборудования пекококсового блока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Парфенюк А.С., Кутняшенко А.И., Тасиц Д.И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.,Веретельник С.П., Костина Е.Д.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Возможность эффективной переработки ПБО на коксохимических заводах Украины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Парфенюк А.С., Сокур А.А., Antonyuk S., Heinrich S., Salikov V.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аппаратуры для гранулирования мелкодисперсных материалов от вредного влияния угольной пыли и вязких связующих на стадии проектирования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Крутько И.Г., Комаров А.С., Кипря А.В., Семченко С.А.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О возможности переработки  головной фракции сырого бензола реагентним методом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Парфенюк А.С., Карпенко Е.И., Антонюк С.И., Саликов В., Хайнрих Ш.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факторов, оказывающих влияние на агломерирование частиц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Топоров А.А., Алексеенко Е.А., Костерова В.Ю.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Анализ условий работы первичного газового холодильника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Веретельник С.П., Коробко Ю.В.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воздушного бассейна на предприятиях силикатной промышленности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Полянский Д.В.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,Парфенюк А.С.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Эффективное использование шлаковых отходов производств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AlekseevaO</w:t>
            </w:r>
            <w:r w:rsidRPr="00EB2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EB2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., </w:t>
            </w: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GrezhdierD</w:t>
            </w:r>
            <w:r w:rsidRPr="00EB2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EB2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Featuresofsecurityequipmentmaintenanceman</w:t>
            </w:r>
            <w:r w:rsidRPr="00EB25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causedbyrecyclingenergymaterials.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Кутняшенко Ю.И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.,Парфенюк А.С.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возможностей эффективного использования и очистки воды в условиях экодома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Минакова А.А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.,Парфенюк А.С.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эффективного энергообеспечения экодома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Павленко В.С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.,</w:t>
            </w: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Парфенюк А.С.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Аанализ возможностей эффективного обеспечения вентиляции и теплоизоляция, снижения теплопотерь экодома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Топоров А.А., Выпирайко Д.В.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Комплексная подготовка природного газа к транспортировке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5B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Третьяков П.В., Воропаева Н.И.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Влияние технического состояния огнеупорной кладки коксовых печей на экологическую обстановку в коксовом цехе и в целом на производстве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Топоров А.А., Воропаева А.И.,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направления совершенствования конструкций оборудования для сушки дискретных материалов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Топоров А.А., Андреева Д.Ю.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направления совершенствования оборудования для разделения и обезвоживания дискретных материалов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Топоров А.А., Харченко М.А.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полезных веществ из природного газа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Alekseeva O.E., Andreeva D.J., Parfenyuk A.S.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Рrobabilistic approach to coke-oven large-block concrete brickwork strength calculation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Alekseeva O.E., Tretijakov P.V., Minakova А.А.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Аbout change of tightness emission-hazardous assemblies of thermal units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Парфенюк А.С., Кутняшенко Ю.И., Андреева Д.Ю.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 воспитание – всеобщая проблема Украины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</w:tr>
      <w:tr w:rsidR="00EB25BB" w:rsidRPr="00870E1B" w:rsidTr="009D0D49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Тараман А.Д. </w:t>
            </w: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Запрошуємомешканцівіндустріальнихмегаполісів до мальовничогокуточку Донбассу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5BB" w:rsidRPr="00870E1B" w:rsidRDefault="00EB25BB" w:rsidP="009D0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E1B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</w:tr>
    </w:tbl>
    <w:p w:rsidR="00EB25BB" w:rsidRPr="005F70A7" w:rsidRDefault="00EB25BB" w:rsidP="00EB2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25BB" w:rsidRDefault="00EB25BB">
      <w:r>
        <w:br w:type="page"/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73">
        <w:rPr>
          <w:rFonts w:ascii="Times New Roman" w:hAnsi="Times New Roman"/>
          <w:sz w:val="24"/>
          <w:szCs w:val="24"/>
        </w:rPr>
        <w:lastRenderedPageBreak/>
        <w:t>УДК 552.574+535-15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  <w:tab w:val="left" w:pos="9356"/>
        </w:tabs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551E73">
        <w:rPr>
          <w:rFonts w:ascii="Times New Roman" w:hAnsi="Times New Roman"/>
          <w:b/>
          <w:caps/>
          <w:sz w:val="28"/>
          <w:szCs w:val="28"/>
        </w:rPr>
        <w:t>перспективы коксования химически модифицированных шихт на основе сернистых углей</w:t>
      </w:r>
    </w:p>
    <w:p w:rsidR="00EB25BB" w:rsidRPr="00551E73" w:rsidRDefault="00EB25BB" w:rsidP="00EB25BB">
      <w:pPr>
        <w:tabs>
          <w:tab w:val="left" w:pos="567"/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1E73">
        <w:rPr>
          <w:rFonts w:ascii="Times New Roman" w:hAnsi="Times New Roman"/>
          <w:b/>
          <w:sz w:val="28"/>
          <w:szCs w:val="28"/>
        </w:rPr>
        <w:t>БутузоваЛ.Ф., МаковскийР.В., БондалетоваВ.А., ВетровИ.В.,БутузовГ.Н.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Донецкий национальный технический университет </w:t>
      </w: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551E73">
        <w:rPr>
          <w:rFonts w:ascii="Times New Roman" w:eastAsia="Calibri" w:hAnsi="Times New Roman"/>
          <w:i/>
          <w:sz w:val="28"/>
          <w:szCs w:val="28"/>
          <w:lang w:eastAsia="en-US"/>
        </w:rPr>
        <w:t>Показано, что использование восстановленных жирных углей в коксовой шихте приводит к увеличению толщины пластического слоя и прочности кокса.</w:t>
      </w:r>
    </w:p>
    <w:p w:rsidR="00EB25BB" w:rsidRPr="00551E73" w:rsidRDefault="00EB25BB" w:rsidP="00EB25BB">
      <w:pPr>
        <w:tabs>
          <w:tab w:val="left" w:pos="567"/>
          <w:tab w:val="left" w:pos="2505"/>
        </w:tabs>
        <w:spacing w:after="0" w:line="240" w:lineRule="auto"/>
        <w:ind w:firstLine="567"/>
        <w:jc w:val="both"/>
        <w:rPr>
          <w:rStyle w:val="FontStyle40"/>
          <w:rFonts w:ascii="Times New Roman" w:hAnsi="Times New Roman"/>
          <w:sz w:val="28"/>
          <w:szCs w:val="28"/>
        </w:rPr>
      </w:pPr>
      <w:r w:rsidRPr="00551E73">
        <w:rPr>
          <w:rStyle w:val="FontStyle40"/>
          <w:rFonts w:ascii="Times New Roman" w:hAnsi="Times New Roman"/>
          <w:sz w:val="28"/>
          <w:szCs w:val="28"/>
        </w:rPr>
        <w:t>Современные условия углеснабжения коксохимических предприятий Украины, да и других стран СНГ, характеризуются некомплектностью поставок и наличием дефицита качественных хорошо спекающихся ком</w:t>
      </w:r>
      <w:r w:rsidRPr="00551E73">
        <w:rPr>
          <w:rStyle w:val="FontStyle40"/>
          <w:rFonts w:ascii="Times New Roman" w:hAnsi="Times New Roman"/>
          <w:sz w:val="28"/>
          <w:szCs w:val="28"/>
        </w:rPr>
        <w:softHyphen/>
        <w:t>понентов шихт. Такая ситуация приводит к самым негативным последствиям в практике работы коксохимичес</w:t>
      </w:r>
      <w:r w:rsidRPr="00551E73">
        <w:rPr>
          <w:rStyle w:val="FontStyle40"/>
          <w:rFonts w:ascii="Times New Roman" w:hAnsi="Times New Roman"/>
          <w:sz w:val="28"/>
          <w:szCs w:val="28"/>
        </w:rPr>
        <w:softHyphen/>
        <w:t>ких производств, прежде всего, к частым перешихтовкам, а также резким колебаниям периода коксования.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Style w:val="FontStyle40"/>
          <w:rFonts w:ascii="Times New Roman" w:hAnsi="Times New Roman"/>
          <w:sz w:val="28"/>
          <w:szCs w:val="28"/>
        </w:rPr>
        <w:t>В этих условиях сложилась острая необходимость изыскивать пути предотв</w:t>
      </w:r>
      <w:r w:rsidRPr="00551E73">
        <w:rPr>
          <w:rStyle w:val="FontStyle40"/>
          <w:rFonts w:ascii="Times New Roman" w:hAnsi="Times New Roman"/>
          <w:sz w:val="28"/>
          <w:szCs w:val="28"/>
        </w:rPr>
        <w:softHyphen/>
        <w:t>ращения падение производства при внезапных резких изменениях качества сырья, поступающего на коксохимические предприятия. Одним из возможных путей решения указанной проблемы является коксование шихт нетрадиционного состава с добавками различных веществ, направленно влияющих на ход процесса.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Использование в качестве добавок химических отходов коксохимического производства позволяет решить и проблему их утилизации, так как в настоящее время значительное количество смолистых отходов коксохимических цехов не находит квалифицированного использования [1].</w:t>
      </w:r>
      <w:r w:rsidRPr="00551E73">
        <w:rPr>
          <w:rFonts w:ascii="Times New Roman" w:hAnsi="Times New Roman"/>
          <w:color w:val="000000"/>
          <w:sz w:val="28"/>
          <w:szCs w:val="28"/>
        </w:rPr>
        <w:t xml:space="preserve"> Имеются данные о том, что добавки антраценового масла, керосина, газойля, а также мезогенные спекающиеся добавки – это, прежде всего, каменноугольный пек и нефтяное углеводородное вещество Н-130 [2,3] способствуют повышению качества кокса.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Целью настоящей работы является выявление возможности использования низкокачественных углей (сернистых, неспекающихся) в составе коксовой шихты, а также поиск путей управления процессами их термодеструкции путем внесения добавок органических веществ. 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В качестве объектов исследования использовали шихты, составленные из изометаморфных пар слабо восстановленных (тип «а») и восстановленных (тип «в») каменных углей Донецкого бассейна шахт </w:t>
      </w:r>
      <w:r w:rsidRPr="00551E73">
        <w:rPr>
          <w:rFonts w:ascii="Times New Roman" w:hAnsi="Times New Roman"/>
          <w:sz w:val="28"/>
          <w:szCs w:val="28"/>
        </w:rPr>
        <w:lastRenderedPageBreak/>
        <w:t>Центральная (пласт k</w:t>
      </w:r>
      <w:r w:rsidRPr="00551E73">
        <w:rPr>
          <w:rFonts w:ascii="Times New Roman" w:hAnsi="Times New Roman"/>
          <w:sz w:val="28"/>
          <w:szCs w:val="28"/>
          <w:vertAlign w:val="subscript"/>
        </w:rPr>
        <w:t>7</w:t>
      </w:r>
      <w:r w:rsidRPr="00551E73">
        <w:rPr>
          <w:rFonts w:ascii="Times New Roman" w:hAnsi="Times New Roman"/>
          <w:sz w:val="28"/>
          <w:szCs w:val="28"/>
        </w:rPr>
        <w:t>, марка Г, тип «а»), Димитрова (пласт l</w:t>
      </w:r>
      <w:r w:rsidRPr="00551E73">
        <w:rPr>
          <w:rFonts w:ascii="Times New Roman" w:hAnsi="Times New Roman"/>
          <w:sz w:val="28"/>
          <w:szCs w:val="28"/>
          <w:vertAlign w:val="subscript"/>
        </w:rPr>
        <w:t>1</w:t>
      </w:r>
      <w:r w:rsidRPr="00551E73">
        <w:rPr>
          <w:rFonts w:ascii="Times New Roman" w:hAnsi="Times New Roman"/>
          <w:sz w:val="28"/>
          <w:szCs w:val="28"/>
        </w:rPr>
        <w:t>, марка Г, тип «в»), и Засядько (пласт l</w:t>
      </w:r>
      <w:r w:rsidRPr="00551E73">
        <w:rPr>
          <w:rFonts w:ascii="Times New Roman" w:hAnsi="Times New Roman"/>
          <w:sz w:val="28"/>
          <w:szCs w:val="28"/>
          <w:vertAlign w:val="subscript"/>
        </w:rPr>
        <w:t>4</w:t>
      </w:r>
      <w:r w:rsidRPr="00551E73">
        <w:rPr>
          <w:rFonts w:ascii="Times New Roman" w:hAnsi="Times New Roman"/>
          <w:sz w:val="28"/>
          <w:szCs w:val="28"/>
        </w:rPr>
        <w:t>, марка Ж, тип «а» и пласт k</w:t>
      </w:r>
      <w:r w:rsidRPr="00551E73">
        <w:rPr>
          <w:rFonts w:ascii="Times New Roman" w:hAnsi="Times New Roman"/>
          <w:sz w:val="28"/>
          <w:szCs w:val="28"/>
          <w:vertAlign w:val="subscript"/>
        </w:rPr>
        <w:t>8</w:t>
      </w:r>
      <w:r w:rsidRPr="00551E73">
        <w:rPr>
          <w:rFonts w:ascii="Times New Roman" w:hAnsi="Times New Roman"/>
          <w:sz w:val="28"/>
          <w:szCs w:val="28"/>
        </w:rPr>
        <w:t>, марка Ж, тип «в»). На их основе составлены шихты (Ж:Г = 70:30 и 50:50) при разных сочетаниях углей типов «</w:t>
      </w:r>
      <w:r w:rsidRPr="00551E73">
        <w:rPr>
          <w:rFonts w:ascii="Times New Roman" w:hAnsi="Times New Roman"/>
          <w:i/>
          <w:sz w:val="28"/>
          <w:szCs w:val="28"/>
        </w:rPr>
        <w:t>а</w:t>
      </w:r>
      <w:r w:rsidRPr="00551E73">
        <w:rPr>
          <w:rFonts w:ascii="Times New Roman" w:hAnsi="Times New Roman"/>
          <w:sz w:val="28"/>
          <w:szCs w:val="28"/>
        </w:rPr>
        <w:t>» и «</w:t>
      </w:r>
      <w:r w:rsidRPr="00551E73">
        <w:rPr>
          <w:rFonts w:ascii="Times New Roman" w:hAnsi="Times New Roman"/>
          <w:i/>
          <w:sz w:val="28"/>
          <w:szCs w:val="28"/>
        </w:rPr>
        <w:t>в</w:t>
      </w:r>
      <w:r w:rsidRPr="00551E73">
        <w:rPr>
          <w:rFonts w:ascii="Times New Roman" w:hAnsi="Times New Roman"/>
          <w:sz w:val="28"/>
          <w:szCs w:val="28"/>
        </w:rPr>
        <w:t>». Такие шихты являются модельными т.е. маркой Ж заменяются все хорошо спекающиеся угли, а маркой Г – слабо спекающиеся компоненты. Использование шихт с соотношением 50:50 позволит существенно расширить сырьевую базу коксования и снизить зависимость отечественной коксохимии от импортного угля. Однако, такая задача требует детального изучения хода процесса термодеструкции и выявления факторов, влияющих на стадии спекания и коксообразования.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Style w:val="FontStyle111"/>
        </w:rPr>
      </w:pPr>
      <w:r w:rsidRPr="00551E73">
        <w:rPr>
          <w:rFonts w:ascii="Times New Roman" w:hAnsi="Times New Roman"/>
          <w:sz w:val="28"/>
          <w:szCs w:val="28"/>
        </w:rPr>
        <w:t xml:space="preserve">В качестве добавок использовали следующие соединения: 5% динитрилаазобизизомасляной кислоты (ДАК) для инициирования процессов радикальной полимеризации, а также </w:t>
      </w:r>
      <w:r w:rsidRPr="00551E73">
        <w:rPr>
          <w:rStyle w:val="FontStyle12"/>
          <w:rFonts w:ascii="Times New Roman" w:hAnsi="Times New Roman"/>
          <w:sz w:val="28"/>
          <w:szCs w:val="28"/>
        </w:rPr>
        <w:t>антрацен, фенантрен или каменноугольный пек, которые являются важнейшими компонентами продуктов</w:t>
      </w:r>
      <w:r w:rsidRPr="00551E73">
        <w:rPr>
          <w:rFonts w:ascii="Times New Roman" w:hAnsi="Times New Roman"/>
          <w:sz w:val="28"/>
          <w:szCs w:val="28"/>
        </w:rPr>
        <w:t>коксохимического производства.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1E73">
        <w:rPr>
          <w:rStyle w:val="FontStyle37"/>
          <w:b w:val="0"/>
          <w:sz w:val="28"/>
          <w:szCs w:val="28"/>
        </w:rPr>
        <w:t xml:space="preserve">Пластометрические характеристики </w:t>
      </w:r>
      <w:r w:rsidRPr="00551E73">
        <w:rPr>
          <w:rFonts w:ascii="Times New Roman" w:hAnsi="Times New Roman"/>
          <w:sz w:val="28"/>
          <w:szCs w:val="28"/>
        </w:rPr>
        <w:t>углей и шихт оценивали в аппарате Сапожникова (</w:t>
      </w:r>
      <w:r w:rsidRPr="00551E73">
        <w:rPr>
          <w:rStyle w:val="FontStyle35"/>
          <w:b w:val="0"/>
          <w:sz w:val="28"/>
          <w:szCs w:val="28"/>
        </w:rPr>
        <w:t>ГОСТ 1186-87</w:t>
      </w:r>
      <w:r w:rsidRPr="00551E73">
        <w:rPr>
          <w:rFonts w:ascii="Times New Roman" w:hAnsi="Times New Roman"/>
          <w:sz w:val="28"/>
          <w:szCs w:val="28"/>
        </w:rPr>
        <w:t>) при температуре 1000</w:t>
      </w:r>
      <w:r w:rsidRPr="00551E73">
        <w:rPr>
          <w:rStyle w:val="FontStyle111"/>
        </w:rPr>
        <w:t>°С</w:t>
      </w:r>
      <w:r w:rsidRPr="00551E73">
        <w:rPr>
          <w:rFonts w:ascii="Times New Roman" w:hAnsi="Times New Roman"/>
          <w:sz w:val="28"/>
          <w:szCs w:val="28"/>
        </w:rPr>
        <w:t>. Определение прочности коксов осуществляли копровым методом (</w:t>
      </w:r>
      <w:r w:rsidRPr="00551E73">
        <w:rPr>
          <w:rFonts w:ascii="Times New Roman" w:hAnsi="Times New Roman"/>
          <w:bCs/>
          <w:sz w:val="28"/>
          <w:szCs w:val="28"/>
        </w:rPr>
        <w:t>ГОСТ 5953-81).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Результаты определения пластометрических показателей исследуемых шихт представлены на рисунке 1 в виде пластометрических кривых.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19375" cy="1790700"/>
            <wp:effectExtent l="0" t="0" r="9525" b="0"/>
            <wp:docPr id="3" name="Рисунок 3" descr="Жвиа+Га 70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виа+Га 70-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581275" cy="1790700"/>
            <wp:effectExtent l="0" t="0" r="9525" b="0"/>
            <wp:docPr id="2" name="Рисунок 2" descr="Жв+Га и ДАК 50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в+Га и ДАК 50-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Рисунок 1 - Пластометрические кривые для шихт: а) Жв:Га=70:30%;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б) Жа:Га=70:30%; в) Жв:Га=50:50%; г) Жв:Га=50:50% + 5% ДАК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Данные кривые характеризуют ход газоотдачи в процессе пиролиза. Так, для шихты Жа:Га с соотношением компонентов 70:30% кривая имеет характерную зигзагообразную форму с повышенной частотой пиков, как у коксового угля. Это свидетельствует о сильном процессе газовыделения. Для шихты Жв:Га=70:30% кривая имеет горбообразную форму, характерную для исходного жирного угля. Кривая для шихты Жв:Га с соотношением компонентов 50:50% имеет вначале пологопадающую </w:t>
      </w:r>
      <w:r w:rsidRPr="00551E73">
        <w:rPr>
          <w:rFonts w:ascii="Times New Roman" w:hAnsi="Times New Roman"/>
          <w:sz w:val="28"/>
          <w:szCs w:val="28"/>
        </w:rPr>
        <w:lastRenderedPageBreak/>
        <w:t>форму, как у слабоспекающегося угля, а затем приобретает зигзагообразную форму, присущую коксовым углям. Кривая для шихты Жв:Га с соотношением компонентов 50:50% с добавлением 5% ДАК, как и в предыдущем случае, имеет вначале пологопадающую кривую, как у слабоспекающегося угля, а затем приобретает более ярко выраженную зигзагообразную форму, как у коксовых углей.</w:t>
      </w: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Величины пластометрических показателей и выход твердого остатка - кокса приведены в таблице 1.</w:t>
      </w: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Из таблицы видно, что </w:t>
      </w:r>
      <w:r w:rsidRPr="00551E73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восстановленных жирных углей в коксовой шихте (Жв:Га, 70:30) приводит к существенному увеличению толщины пластического слоя, величины </w:t>
      </w:r>
      <w:r w:rsidRPr="00551E73">
        <w:rPr>
          <w:rStyle w:val="FontStyle41"/>
          <w:sz w:val="28"/>
          <w:szCs w:val="28"/>
        </w:rPr>
        <w:t>пластометрической усадки</w:t>
      </w:r>
      <w:r w:rsidRPr="00551E73">
        <w:rPr>
          <w:rFonts w:ascii="Times New Roman" w:eastAsia="Calibri" w:hAnsi="Times New Roman"/>
          <w:sz w:val="28"/>
          <w:szCs w:val="28"/>
          <w:lang w:eastAsia="en-US"/>
        </w:rPr>
        <w:t xml:space="preserve"> и выхода кокса по сравнению с шихтой, составленной из малосернистых компонентов (</w:t>
      </w:r>
      <w:r w:rsidRPr="00551E73">
        <w:rPr>
          <w:rFonts w:ascii="Times New Roman" w:hAnsi="Times New Roman"/>
          <w:bCs/>
          <w:sz w:val="28"/>
          <w:szCs w:val="28"/>
        </w:rPr>
        <w:t>Жа:Га,70:30)</w:t>
      </w:r>
      <w:r w:rsidRPr="00551E7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Таблица 1 – Пластометрические показатели шихт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653"/>
        <w:gridCol w:w="2740"/>
        <w:gridCol w:w="2693"/>
      </w:tblGrid>
      <w:tr w:rsidR="00EB25BB" w:rsidRPr="00BA193D" w:rsidTr="009D0D49">
        <w:trPr>
          <w:trHeight w:val="562"/>
        </w:trPr>
        <w:tc>
          <w:tcPr>
            <w:tcW w:w="2553" w:type="dxa"/>
          </w:tcPr>
          <w:p w:rsidR="00EB25BB" w:rsidRPr="00BA193D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Шихта</w:t>
            </w:r>
          </w:p>
        </w:tc>
        <w:tc>
          <w:tcPr>
            <w:tcW w:w="1653" w:type="dxa"/>
          </w:tcPr>
          <w:p w:rsidR="00EB25BB" w:rsidRPr="00BA193D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Твердый остаток, %</w:t>
            </w:r>
          </w:p>
        </w:tc>
        <w:tc>
          <w:tcPr>
            <w:tcW w:w="2740" w:type="dxa"/>
          </w:tcPr>
          <w:p w:rsidR="00EB25BB" w:rsidRPr="00BA193D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Style w:val="FontStyle41"/>
                <w:b/>
                <w:sz w:val="24"/>
                <w:szCs w:val="24"/>
              </w:rPr>
              <w:t xml:space="preserve">Толщина пластичес-кого слоя </w:t>
            </w:r>
            <w:r w:rsidRPr="00BA193D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>у, </w:t>
            </w:r>
            <w:r w:rsidRPr="00BA193D">
              <w:rPr>
                <w:rStyle w:val="FontStyle43"/>
                <w:rFonts w:ascii="Times New Roman" w:hAnsi="Times New Roman"/>
                <w:b/>
                <w:i w:val="0"/>
                <w:sz w:val="24"/>
                <w:szCs w:val="24"/>
              </w:rPr>
              <w:t>мм</w:t>
            </w:r>
          </w:p>
        </w:tc>
        <w:tc>
          <w:tcPr>
            <w:tcW w:w="2693" w:type="dxa"/>
          </w:tcPr>
          <w:p w:rsidR="00EB25BB" w:rsidRPr="00BA193D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Style w:val="FontStyle41"/>
                <w:b/>
                <w:sz w:val="24"/>
                <w:szCs w:val="24"/>
              </w:rPr>
              <w:t xml:space="preserve">Пластометрическая усадка </w:t>
            </w:r>
            <w:r w:rsidRPr="00BA193D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х, </w:t>
            </w:r>
            <w:r w:rsidRPr="00BA193D">
              <w:rPr>
                <w:rStyle w:val="FontStyle43"/>
                <w:rFonts w:ascii="Times New Roman" w:hAnsi="Times New Roman"/>
                <w:b/>
                <w:i w:val="0"/>
                <w:sz w:val="24"/>
                <w:szCs w:val="24"/>
              </w:rPr>
              <w:t>мм</w:t>
            </w:r>
          </w:p>
        </w:tc>
      </w:tr>
      <w:tr w:rsidR="00EB25BB" w:rsidRPr="00551E73" w:rsidTr="009D0D49">
        <w:trPr>
          <w:trHeight w:val="182"/>
        </w:trPr>
        <w:tc>
          <w:tcPr>
            <w:tcW w:w="25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Жа:Га,70:30</w:t>
            </w:r>
          </w:p>
        </w:tc>
        <w:tc>
          <w:tcPr>
            <w:tcW w:w="16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72,33</w:t>
            </w:r>
          </w:p>
        </w:tc>
        <w:tc>
          <w:tcPr>
            <w:tcW w:w="2740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269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B25BB" w:rsidRPr="00551E73" w:rsidTr="009D0D49">
        <w:trPr>
          <w:trHeight w:val="136"/>
        </w:trPr>
        <w:tc>
          <w:tcPr>
            <w:tcW w:w="25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Жв:Га,70:30</w:t>
            </w:r>
          </w:p>
        </w:tc>
        <w:tc>
          <w:tcPr>
            <w:tcW w:w="16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73,20</w:t>
            </w:r>
          </w:p>
        </w:tc>
        <w:tc>
          <w:tcPr>
            <w:tcW w:w="2740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269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EB25BB" w:rsidRPr="00551E73" w:rsidTr="009D0D49">
        <w:trPr>
          <w:trHeight w:val="213"/>
        </w:trPr>
        <w:tc>
          <w:tcPr>
            <w:tcW w:w="25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Жв:Га,50:50</w:t>
            </w:r>
          </w:p>
        </w:tc>
        <w:tc>
          <w:tcPr>
            <w:tcW w:w="16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72,55</w:t>
            </w:r>
          </w:p>
        </w:tc>
        <w:tc>
          <w:tcPr>
            <w:tcW w:w="2740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269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EB25BB" w:rsidRPr="00551E73" w:rsidTr="009D0D49">
        <w:trPr>
          <w:trHeight w:val="153"/>
        </w:trPr>
        <w:tc>
          <w:tcPr>
            <w:tcW w:w="25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Жв:Га,50:50 + ДАК</w:t>
            </w:r>
          </w:p>
        </w:tc>
        <w:tc>
          <w:tcPr>
            <w:tcW w:w="165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69,16</w:t>
            </w:r>
          </w:p>
        </w:tc>
        <w:tc>
          <w:tcPr>
            <w:tcW w:w="2740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2693" w:type="dxa"/>
          </w:tcPr>
          <w:p w:rsidR="00EB25BB" w:rsidRPr="00E55376" w:rsidRDefault="00EB25BB" w:rsidP="009D0D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</w:tbl>
    <w:p w:rsidR="00EB25BB" w:rsidRPr="0051561F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14"/>
          <w:sz w:val="28"/>
          <w:szCs w:val="28"/>
        </w:rPr>
      </w:pPr>
      <w:r w:rsidRPr="0051561F">
        <w:rPr>
          <w:rFonts w:ascii="Times New Roman" w:hAnsi="Times New Roman"/>
          <w:spacing w:val="-14"/>
          <w:sz w:val="28"/>
          <w:szCs w:val="28"/>
        </w:rPr>
        <w:t>Добавка 5 % ДАК также увеличивает пластометрические показатели, тем самым увеличивая способность компонентов шихты к спеканию. Уменьшение выхода твердого остатка при этом компенсируется увеличением выхода жидкоподвижных продуктов, что подтверждается существенным возрастанием величины пластометрической усадки х. Это приведет к уменьшению давления распирания и облегчит процесс извлечения коксового пирога.</w:t>
      </w:r>
    </w:p>
    <w:p w:rsidR="00EB25BB" w:rsidRPr="0051561F" w:rsidRDefault="00EB25BB" w:rsidP="00EB25B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pacing w:val="-14"/>
          <w:sz w:val="28"/>
          <w:szCs w:val="28"/>
          <w:lang w:eastAsia="en-US"/>
        </w:rPr>
      </w:pPr>
      <w:r w:rsidRPr="0051561F">
        <w:rPr>
          <w:rFonts w:ascii="Times New Roman" w:eastAsia="Calibri" w:hAnsi="Times New Roman"/>
          <w:spacing w:val="-14"/>
          <w:sz w:val="28"/>
          <w:szCs w:val="28"/>
          <w:lang w:eastAsia="en-US"/>
        </w:rPr>
        <w:t xml:space="preserve">Данные, приведенные в Табл.2, указывают на резкое увеличение прочностных показателей кокса из шихт с соотношением компонентов </w:t>
      </w:r>
      <w:r w:rsidRPr="0051561F">
        <w:rPr>
          <w:rFonts w:ascii="Times New Roman" w:hAnsi="Times New Roman"/>
          <w:bCs/>
          <w:spacing w:val="-14"/>
          <w:sz w:val="28"/>
          <w:szCs w:val="28"/>
        </w:rPr>
        <w:t xml:space="preserve">70:30 при замене жирного угля типа «а» на тип «в». Шихта 50:50 также имеет показатели И и Р, лучшие по сравнению с шихтой Жа:Га,70:30. </w:t>
      </w:r>
      <w:r w:rsidRPr="0051561F">
        <w:rPr>
          <w:rFonts w:ascii="Times New Roman" w:eastAsia="Calibri" w:hAnsi="Times New Roman"/>
          <w:spacing w:val="-14"/>
          <w:sz w:val="28"/>
          <w:szCs w:val="28"/>
          <w:lang w:eastAsia="en-US"/>
        </w:rPr>
        <w:t>Добавка ДАК приводит к снижению истираемости при примерно одинаковой величине сопротивления дроблению.</w:t>
      </w:r>
    </w:p>
    <w:p w:rsidR="00EB25BB" w:rsidRDefault="00EB25BB" w:rsidP="00EB25B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B25BB" w:rsidRPr="00551E73" w:rsidRDefault="00EB25BB" w:rsidP="00EB25B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Таблица 2 – Механическая прочность и сернистость коксов </w:t>
      </w:r>
    </w:p>
    <w:tbl>
      <w:tblPr>
        <w:tblW w:w="10012" w:type="dxa"/>
        <w:jc w:val="center"/>
        <w:tblInd w:w="2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8"/>
        <w:gridCol w:w="1701"/>
        <w:gridCol w:w="1842"/>
        <w:gridCol w:w="2278"/>
        <w:gridCol w:w="1593"/>
      </w:tblGrid>
      <w:tr w:rsidR="00EB25BB" w:rsidRPr="00BA193D" w:rsidTr="009D0D49">
        <w:trPr>
          <w:trHeight w:val="708"/>
          <w:jc w:val="center"/>
        </w:trPr>
        <w:tc>
          <w:tcPr>
            <w:tcW w:w="2598" w:type="dxa"/>
          </w:tcPr>
          <w:p w:rsidR="00EB25BB" w:rsidRPr="00BA193D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Кокс из шихт</w:t>
            </w:r>
          </w:p>
        </w:tc>
        <w:tc>
          <w:tcPr>
            <w:tcW w:w="1701" w:type="dxa"/>
          </w:tcPr>
          <w:p w:rsidR="00EB25BB" w:rsidRPr="00BA193D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Индекс прочности П, Дж/дм</w:t>
            </w:r>
            <w:r w:rsidRPr="00BA193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EB25BB" w:rsidRPr="00BA193D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Style w:val="FontStyle41"/>
                <w:b/>
                <w:sz w:val="24"/>
                <w:szCs w:val="24"/>
              </w:rPr>
              <w:t>Истирае-мость И</w:t>
            </w:r>
            <w:r w:rsidRPr="00BA193D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A193D">
              <w:rPr>
                <w:rStyle w:val="FontStyle43"/>
                <w:rFonts w:ascii="Times New Roman" w:hAnsi="Times New Roman"/>
                <w:b/>
                <w:i w:val="0"/>
                <w:sz w:val="24"/>
                <w:szCs w:val="24"/>
              </w:rPr>
              <w:t>%</w:t>
            </w:r>
          </w:p>
        </w:tc>
        <w:tc>
          <w:tcPr>
            <w:tcW w:w="2278" w:type="dxa"/>
          </w:tcPr>
          <w:p w:rsidR="00EB25BB" w:rsidRPr="00BA193D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93D">
              <w:rPr>
                <w:rStyle w:val="FontStyle41"/>
                <w:b/>
                <w:sz w:val="24"/>
                <w:szCs w:val="24"/>
              </w:rPr>
              <w:t>Сопротивление дроблению Р</w:t>
            </w:r>
            <w:r w:rsidRPr="00BA193D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A193D">
              <w:rPr>
                <w:rStyle w:val="FontStyle43"/>
                <w:rFonts w:ascii="Times New Roman" w:hAnsi="Times New Roman"/>
                <w:b/>
                <w:i w:val="0"/>
                <w:sz w:val="24"/>
                <w:szCs w:val="24"/>
              </w:rPr>
              <w:t>%</w:t>
            </w:r>
          </w:p>
        </w:tc>
        <w:tc>
          <w:tcPr>
            <w:tcW w:w="1593" w:type="dxa"/>
          </w:tcPr>
          <w:p w:rsidR="00EB25BB" w:rsidRPr="00BA193D" w:rsidRDefault="00EB25BB" w:rsidP="009D0D49">
            <w:pPr>
              <w:spacing w:after="0" w:line="240" w:lineRule="auto"/>
              <w:jc w:val="both"/>
              <w:rPr>
                <w:rStyle w:val="FontStyle41"/>
                <w:b/>
                <w:sz w:val="24"/>
                <w:szCs w:val="24"/>
              </w:rPr>
            </w:pP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Общая сера S</w:t>
            </w:r>
            <w:r w:rsidRPr="00BA193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</w:t>
            </w:r>
            <w:r w:rsidRPr="00BA193D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t</w:t>
            </w:r>
            <w:r w:rsidRPr="00BA193D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</w:tr>
      <w:tr w:rsidR="00EB25BB" w:rsidRPr="00CD14D7" w:rsidTr="009D0D49">
        <w:trPr>
          <w:trHeight w:val="99"/>
          <w:jc w:val="center"/>
        </w:trPr>
        <w:tc>
          <w:tcPr>
            <w:tcW w:w="2598" w:type="dxa"/>
          </w:tcPr>
          <w:p w:rsidR="00EB25BB" w:rsidRPr="00E55376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Жа:Га,70:30</w:t>
            </w:r>
          </w:p>
        </w:tc>
        <w:tc>
          <w:tcPr>
            <w:tcW w:w="1701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78,16</w:t>
            </w:r>
          </w:p>
        </w:tc>
        <w:tc>
          <w:tcPr>
            <w:tcW w:w="1842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23,09</w:t>
            </w:r>
          </w:p>
        </w:tc>
        <w:tc>
          <w:tcPr>
            <w:tcW w:w="2278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51,57</w:t>
            </w:r>
          </w:p>
        </w:tc>
        <w:tc>
          <w:tcPr>
            <w:tcW w:w="1593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0,79</w:t>
            </w:r>
          </w:p>
        </w:tc>
      </w:tr>
      <w:tr w:rsidR="00EB25BB" w:rsidRPr="00CD14D7" w:rsidTr="009D0D49">
        <w:trPr>
          <w:trHeight w:val="179"/>
          <w:jc w:val="center"/>
        </w:trPr>
        <w:tc>
          <w:tcPr>
            <w:tcW w:w="2598" w:type="dxa"/>
          </w:tcPr>
          <w:p w:rsidR="00EB25BB" w:rsidRPr="00E55376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Жв:Га,70:30</w:t>
            </w:r>
          </w:p>
        </w:tc>
        <w:tc>
          <w:tcPr>
            <w:tcW w:w="1701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88,29</w:t>
            </w:r>
          </w:p>
        </w:tc>
        <w:tc>
          <w:tcPr>
            <w:tcW w:w="1842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18,98</w:t>
            </w:r>
          </w:p>
        </w:tc>
        <w:tc>
          <w:tcPr>
            <w:tcW w:w="2278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61,05</w:t>
            </w:r>
          </w:p>
        </w:tc>
        <w:tc>
          <w:tcPr>
            <w:tcW w:w="1593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1,72</w:t>
            </w:r>
          </w:p>
        </w:tc>
      </w:tr>
      <w:tr w:rsidR="00EB25BB" w:rsidRPr="00CD14D7" w:rsidTr="009D0D49">
        <w:trPr>
          <w:trHeight w:val="79"/>
          <w:jc w:val="center"/>
        </w:trPr>
        <w:tc>
          <w:tcPr>
            <w:tcW w:w="2598" w:type="dxa"/>
          </w:tcPr>
          <w:p w:rsidR="00EB25BB" w:rsidRPr="00E55376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Жв:Га,50:50</w:t>
            </w:r>
          </w:p>
        </w:tc>
        <w:tc>
          <w:tcPr>
            <w:tcW w:w="1701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-*</w:t>
            </w:r>
          </w:p>
        </w:tc>
        <w:tc>
          <w:tcPr>
            <w:tcW w:w="1842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21,14</w:t>
            </w:r>
          </w:p>
        </w:tc>
        <w:tc>
          <w:tcPr>
            <w:tcW w:w="2278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53,02</w:t>
            </w:r>
          </w:p>
        </w:tc>
        <w:tc>
          <w:tcPr>
            <w:tcW w:w="1593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1,41</w:t>
            </w:r>
          </w:p>
        </w:tc>
      </w:tr>
      <w:tr w:rsidR="00EB25BB" w:rsidRPr="00CD14D7" w:rsidTr="009D0D49">
        <w:trPr>
          <w:trHeight w:val="145"/>
          <w:jc w:val="center"/>
        </w:trPr>
        <w:tc>
          <w:tcPr>
            <w:tcW w:w="2598" w:type="dxa"/>
          </w:tcPr>
          <w:p w:rsidR="00EB25BB" w:rsidRPr="00E55376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Жв:Га,50:50 + ДАК</w:t>
            </w:r>
          </w:p>
        </w:tc>
        <w:tc>
          <w:tcPr>
            <w:tcW w:w="1701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-*</w:t>
            </w:r>
          </w:p>
        </w:tc>
        <w:tc>
          <w:tcPr>
            <w:tcW w:w="1842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20,62</w:t>
            </w:r>
          </w:p>
        </w:tc>
        <w:tc>
          <w:tcPr>
            <w:tcW w:w="2278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52,87</w:t>
            </w:r>
          </w:p>
        </w:tc>
        <w:tc>
          <w:tcPr>
            <w:tcW w:w="1593" w:type="dxa"/>
          </w:tcPr>
          <w:p w:rsidR="00EB25BB" w:rsidRPr="00E55376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376">
              <w:rPr>
                <w:rFonts w:ascii="Times New Roman" w:hAnsi="Times New Roman"/>
                <w:bCs/>
                <w:sz w:val="24"/>
                <w:szCs w:val="24"/>
              </w:rPr>
              <w:t>1,56</w:t>
            </w:r>
          </w:p>
        </w:tc>
      </w:tr>
    </w:tbl>
    <w:p w:rsidR="00EB25BB" w:rsidRPr="0051561F" w:rsidRDefault="00EB25BB" w:rsidP="00EB25B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14"/>
          <w:sz w:val="28"/>
          <w:szCs w:val="28"/>
        </w:rPr>
      </w:pPr>
      <w:r w:rsidRPr="0051561F">
        <w:rPr>
          <w:rFonts w:ascii="Times New Roman" w:hAnsi="Times New Roman"/>
          <w:spacing w:val="-14"/>
          <w:sz w:val="28"/>
          <w:szCs w:val="28"/>
        </w:rPr>
        <w:t>*в случае малопрочного кокса индекс П может оказаться искаженным</w:t>
      </w:r>
    </w:p>
    <w:p w:rsidR="00EB25BB" w:rsidRPr="0051561F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-14"/>
          <w:sz w:val="28"/>
          <w:szCs w:val="28"/>
        </w:rPr>
      </w:pPr>
    </w:p>
    <w:p w:rsidR="00EB25BB" w:rsidRPr="0051561F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pacing w:val="-14"/>
          <w:sz w:val="28"/>
          <w:szCs w:val="28"/>
          <w:lang w:eastAsia="en-US"/>
        </w:rPr>
      </w:pPr>
      <w:r w:rsidRPr="0051561F">
        <w:rPr>
          <w:rFonts w:ascii="Times New Roman" w:eastAsia="Calibri" w:hAnsi="Times New Roman"/>
          <w:spacing w:val="-14"/>
          <w:sz w:val="28"/>
          <w:szCs w:val="28"/>
          <w:lang w:eastAsia="en-US"/>
        </w:rPr>
        <w:lastRenderedPageBreak/>
        <w:t>Таким образом, полученные результаты свидетельствуют о возможности снижения доли хорошо спекающихся компонентов в шихте и возможности управлять процессом перехода углей в пластическое состояние путем введения специальных добавок.</w:t>
      </w:r>
    </w:p>
    <w:p w:rsidR="00EB25BB" w:rsidRDefault="00EB25BB" w:rsidP="00EB25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25BB" w:rsidRPr="00551E73" w:rsidRDefault="00EB25BB" w:rsidP="00EB25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E73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:rsidR="00EB25BB" w:rsidRPr="00551E73" w:rsidRDefault="00EB25BB" w:rsidP="00EB25BB">
      <w:pPr>
        <w:pStyle w:val="1"/>
        <w:tabs>
          <w:tab w:val="left" w:pos="567"/>
          <w:tab w:val="num" w:pos="1080"/>
        </w:tabs>
        <w:ind w:firstLine="567"/>
        <w:jc w:val="both"/>
        <w:rPr>
          <w:sz w:val="24"/>
          <w:szCs w:val="24"/>
        </w:rPr>
      </w:pPr>
      <w:r w:rsidRPr="00551E73">
        <w:rPr>
          <w:sz w:val="24"/>
          <w:szCs w:val="24"/>
        </w:rPr>
        <w:t>1. Васючков Е.И., Музычук В.Д., Журавлева Л.А., Глущенко И.М., Панченко Н.И., Ивченко А.Ю. Исследование возможности использования отходов коксохимического производства в шихте для коксования //Кокс и химия. – 1985. - №11. – С. 16 – 18.</w:t>
      </w:r>
    </w:p>
    <w:p w:rsidR="00EB25BB" w:rsidRPr="00551E73" w:rsidRDefault="00EB25BB" w:rsidP="00EB25BB">
      <w:pPr>
        <w:pStyle w:val="1"/>
        <w:tabs>
          <w:tab w:val="left" w:pos="567"/>
          <w:tab w:val="num" w:pos="1080"/>
        </w:tabs>
        <w:ind w:firstLine="567"/>
        <w:jc w:val="both"/>
        <w:rPr>
          <w:sz w:val="24"/>
          <w:szCs w:val="24"/>
        </w:rPr>
      </w:pPr>
      <w:r w:rsidRPr="00551E73">
        <w:rPr>
          <w:sz w:val="24"/>
          <w:szCs w:val="24"/>
        </w:rPr>
        <w:t>2. Русчев Д.Д., Шопов Г.К., Петрински В.Р. Органические добавки к угольным шихтам для повышения их насыпной плотности и улучшения качества кокса //Кокс и химия. – 1988. - №7. – С. 24 – 26.</w:t>
      </w:r>
    </w:p>
    <w:p w:rsidR="00EB25BB" w:rsidRPr="00551E73" w:rsidRDefault="00EB25BB" w:rsidP="00EB25BB">
      <w:pPr>
        <w:pStyle w:val="1"/>
        <w:tabs>
          <w:tab w:val="left" w:pos="567"/>
          <w:tab w:val="num" w:pos="1080"/>
        </w:tabs>
        <w:ind w:firstLine="567"/>
        <w:jc w:val="both"/>
        <w:rPr>
          <w:sz w:val="24"/>
          <w:szCs w:val="24"/>
        </w:rPr>
      </w:pPr>
      <w:r w:rsidRPr="00551E73">
        <w:rPr>
          <w:sz w:val="24"/>
          <w:szCs w:val="24"/>
        </w:rPr>
        <w:t>3. Глущенко И.М., Цвениашвили В.Ж., Ольферт А.И., Наумов Л.С. Улучшение качества кокса путем использования в шихте мезогенных спекающих добавок //Кокс и химия. – 1987. - №11. – С. 39 – 41.</w:t>
      </w:r>
    </w:p>
    <w:p w:rsidR="00EB25BB" w:rsidRDefault="00EB25BB" w:rsidP="00EB25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73">
        <w:rPr>
          <w:rFonts w:ascii="Times New Roman" w:hAnsi="Times New Roman"/>
          <w:sz w:val="24"/>
          <w:szCs w:val="24"/>
        </w:rPr>
        <w:t>УДК 552.574+535-15</w:t>
      </w:r>
    </w:p>
    <w:p w:rsidR="00EB25BB" w:rsidRDefault="00EB25BB" w:rsidP="00EB25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5BB" w:rsidRPr="00551E73" w:rsidRDefault="00EB25BB" w:rsidP="00EB25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1E73">
        <w:rPr>
          <w:rFonts w:ascii="Times New Roman" w:hAnsi="Times New Roman"/>
          <w:b/>
          <w:sz w:val="28"/>
          <w:szCs w:val="28"/>
        </w:rPr>
        <w:t>ИССЛЕДОВАНИЕ ПРОДУКТОВ ПОЛУКОКСОВАНИЯ УГОЛЬНЫХ ШИХТ С ПОВЫШЕННЫМ СОДЕРЖАНИЕМ СЕРЫ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1E73">
        <w:rPr>
          <w:rFonts w:ascii="Times New Roman" w:hAnsi="Times New Roman"/>
          <w:b/>
          <w:sz w:val="28"/>
          <w:szCs w:val="28"/>
        </w:rPr>
        <w:t>БутузоваЛ.Ф., МаковскийР.В., КулаковаВ.О.,БутузовГ.Н.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Донецкий национальный технический университет 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51E73">
        <w:rPr>
          <w:rFonts w:ascii="Times New Roman" w:hAnsi="Times New Roman"/>
          <w:i/>
          <w:sz w:val="28"/>
          <w:szCs w:val="28"/>
        </w:rPr>
        <w:t>В работе проведено систематическое исследование процессов полукоксования углей разных генетических типов по восстановленности и шихт на их основе. Показано значительное влияние сернистости углей на выход и состав химических продуктов полукоксования, как основной стадии термической деструкции, с целью более рационального и эффективного использования отечественной сырьевой базы.</w:t>
      </w:r>
    </w:p>
    <w:p w:rsidR="00EB25BB" w:rsidRPr="00551E73" w:rsidRDefault="00EB25BB" w:rsidP="00EB2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1E73">
        <w:rPr>
          <w:sz w:val="28"/>
          <w:szCs w:val="28"/>
        </w:rPr>
        <w:t xml:space="preserve">Роль угля для Украины огромна, т. к. он является единственным энергоносителем, разведанные запасы которого могут обеспечить потребности энергетики и промышленности страны в ближайшие 300 лет. При этом, если в структуре мировых запасов топлива уголь составляет 67%, нефть – 18%, газ – 15%, то в Украине – 94,5%, 2%, 3,5% соответственно [1]. Ресурсы ТГИ в Украине по состоянию на </w:t>
      </w:r>
      <w:smartTag w:uri="urn:schemas-microsoft-com:office:smarttags" w:element="metricconverter">
        <w:smartTagPr>
          <w:attr w:name="ProductID" w:val="2010 г"/>
        </w:smartTagPr>
        <w:r w:rsidRPr="00551E73">
          <w:rPr>
            <w:sz w:val="28"/>
            <w:szCs w:val="28"/>
          </w:rPr>
          <w:t>2010 г</w:t>
        </w:r>
      </w:smartTag>
      <w:r w:rsidRPr="00551E73">
        <w:rPr>
          <w:sz w:val="28"/>
          <w:szCs w:val="28"/>
        </w:rPr>
        <w:t>. составляют 117,5 млрд. т, из которых 56,7 млрд. т – разведанные балансовые запасы, из них 39,3 млрд.т – запасы угля энергетических марок.</w:t>
      </w:r>
    </w:p>
    <w:p w:rsidR="00EB25BB" w:rsidRPr="00551E73" w:rsidRDefault="00EB25BB" w:rsidP="00EB25B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1E73">
        <w:rPr>
          <w:sz w:val="28"/>
          <w:szCs w:val="28"/>
        </w:rPr>
        <w:t xml:space="preserve">Большую проблему в Украине представляет использование углей с повышенным содержанием серы, т. к. их количество в общем балансе составляет примерно 70%. Только 4 шахты из 74, добывающих коксующиеся угли, разрабатывают пласты низкосернистых углей. </w:t>
      </w:r>
      <w:r w:rsidRPr="00551E73">
        <w:rPr>
          <w:sz w:val="28"/>
          <w:szCs w:val="28"/>
        </w:rPr>
        <w:lastRenderedPageBreak/>
        <w:t>Энергетические угли с содержанием серы до 1,5% добывает одна шахта. [2]. Сернистость является одной из первостепенных характеристик степени восстановленности углей в Донецком бассейне [3,4].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В последнее время наиболее распространенные в Донбассе сернистые угли все более широко вовлекаются в процессы неэнергетического использования. Они могут с успехом использоваться в качестве сырья для получения синтетического твердого, жидкого и газообразного топлива, удобрений, адсорбентов, химикатов и других нужных народному хозяйству продуктов [5]. В связи с вышеизложенным, актуальными являются исследования, направленные на разработку наиболее эффективных методов переработки сернистых топлив.</w:t>
      </w:r>
    </w:p>
    <w:p w:rsidR="00EB25BB" w:rsidRPr="00551E73" w:rsidRDefault="00EB25BB" w:rsidP="00EB25B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Одним из перспективнейших методов переработки низкокачественных углей является полукоксование. В настоящее время полукоксование твердого топлива рассматривается не только в качестве поставщика углеводородного сырья, но и как одна из основных стадий в различных производственных процессах (заводы по производству искусственного жидкого топлива, энерготехнологические и газохимические установки переработки твердого топлива).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Полукоксование позволяет получить такие ценные продукты, как газ, смола, полукокс. Смола представляет собой сложную смесь различных органических соединений. Газ, состоящий, в основном, из водорода, метана и его гомологов, имеет высокую теплоту сгорания и образуется в количестве 8-15 % от ОМУ. Он используется в виде топлива и как химическое сырье. Полукокс отличается от исходного топлива высоким содержанием углерода и низким выходом летучих веществ. Он может использоваться для получения водяного газа, как отощающая добавка в шихту при коксовании и др. Из смолы полукоксования при соответствующей обработке может быть получено большое количество ценных продуктов, например моторное топливо, фенолы, парафин и др.</w:t>
      </w: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Цель работы – изучение влияния сернистости углей на выход и состав химических продуктов полукоксования, как основной стадии термической деструкции, с целью более рационального и эффективного использования отечественной сырьевой базы.</w:t>
      </w: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В качестве объектов исследования использовали слабовосстановленный уголь марки Г слабовосстановленного типа «а» (Га), пласт k</w:t>
      </w:r>
      <w:r w:rsidRPr="00551E73">
        <w:rPr>
          <w:rFonts w:ascii="Times New Roman" w:hAnsi="Times New Roman"/>
          <w:sz w:val="28"/>
          <w:szCs w:val="28"/>
          <w:vertAlign w:val="subscript"/>
        </w:rPr>
        <w:t>7</w:t>
      </w:r>
      <w:r w:rsidRPr="00551E73">
        <w:rPr>
          <w:rFonts w:ascii="Times New Roman" w:hAnsi="Times New Roman"/>
          <w:sz w:val="28"/>
          <w:szCs w:val="28"/>
        </w:rPr>
        <w:t xml:space="preserve"> ш. “Центральная”следующего состава: W</w:t>
      </w:r>
      <w:r w:rsidRPr="00551E73">
        <w:rPr>
          <w:rFonts w:ascii="Times New Roman" w:hAnsi="Times New Roman"/>
          <w:sz w:val="28"/>
          <w:szCs w:val="28"/>
          <w:vertAlign w:val="superscript"/>
        </w:rPr>
        <w:t>a</w:t>
      </w:r>
      <w:r w:rsidRPr="00551E73">
        <w:rPr>
          <w:rFonts w:ascii="Times New Roman" w:hAnsi="Times New Roman"/>
          <w:sz w:val="28"/>
          <w:szCs w:val="28"/>
        </w:rPr>
        <w:t>=2,2%; A</w:t>
      </w:r>
      <w:r w:rsidRPr="00551E73">
        <w:rPr>
          <w:rFonts w:ascii="Times New Roman" w:hAnsi="Times New Roman"/>
          <w:sz w:val="28"/>
          <w:szCs w:val="28"/>
          <w:vertAlign w:val="superscript"/>
        </w:rPr>
        <w:t>d</w:t>
      </w:r>
      <w:r w:rsidRPr="00551E73">
        <w:rPr>
          <w:rFonts w:ascii="Times New Roman" w:hAnsi="Times New Roman"/>
          <w:sz w:val="28"/>
          <w:szCs w:val="28"/>
          <w:vertAlign w:val="subscript"/>
        </w:rPr>
        <w:t>t</w:t>
      </w:r>
      <w:r w:rsidRPr="00551E73">
        <w:rPr>
          <w:rFonts w:ascii="Times New Roman" w:hAnsi="Times New Roman"/>
          <w:sz w:val="28"/>
          <w:szCs w:val="28"/>
        </w:rPr>
        <w:t>=5,2%; V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=36,0%; C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=85,1%; H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=5,11%; S</w:t>
      </w:r>
      <w:r w:rsidRPr="00551E73">
        <w:rPr>
          <w:rFonts w:ascii="Times New Roman" w:hAnsi="Times New Roman"/>
          <w:sz w:val="28"/>
          <w:szCs w:val="28"/>
          <w:vertAlign w:val="superscript"/>
        </w:rPr>
        <w:t>d</w:t>
      </w:r>
      <w:r w:rsidRPr="00551E73">
        <w:rPr>
          <w:rFonts w:ascii="Times New Roman" w:hAnsi="Times New Roman"/>
          <w:sz w:val="28"/>
          <w:szCs w:val="28"/>
          <w:vertAlign w:val="subscript"/>
        </w:rPr>
        <w:t>t</w:t>
      </w:r>
      <w:r w:rsidRPr="00551E73">
        <w:rPr>
          <w:rFonts w:ascii="Times New Roman" w:hAnsi="Times New Roman"/>
          <w:sz w:val="28"/>
          <w:szCs w:val="28"/>
        </w:rPr>
        <w:t>=1,22%, и восстановленный уголь марки Ж типа «в» (Жв), пласт k</w:t>
      </w:r>
      <w:r w:rsidRPr="00551E73">
        <w:rPr>
          <w:rFonts w:ascii="Times New Roman" w:hAnsi="Times New Roman"/>
          <w:sz w:val="28"/>
          <w:szCs w:val="28"/>
          <w:vertAlign w:val="subscript"/>
        </w:rPr>
        <w:t>8</w:t>
      </w:r>
      <w:r w:rsidRPr="00551E73">
        <w:rPr>
          <w:rFonts w:ascii="Times New Roman" w:hAnsi="Times New Roman"/>
          <w:sz w:val="28"/>
          <w:szCs w:val="28"/>
        </w:rPr>
        <w:t xml:space="preserve"> ш. им. Засядько следующего состава: W</w:t>
      </w:r>
      <w:r w:rsidRPr="00551E73">
        <w:rPr>
          <w:rFonts w:ascii="Times New Roman" w:hAnsi="Times New Roman"/>
          <w:sz w:val="28"/>
          <w:szCs w:val="28"/>
          <w:vertAlign w:val="superscript"/>
        </w:rPr>
        <w:t>a</w:t>
      </w:r>
      <w:r w:rsidRPr="00551E73">
        <w:rPr>
          <w:rFonts w:ascii="Times New Roman" w:hAnsi="Times New Roman"/>
          <w:sz w:val="28"/>
          <w:szCs w:val="28"/>
        </w:rPr>
        <w:t>=0,8%; A</w:t>
      </w:r>
      <w:r w:rsidRPr="00551E73">
        <w:rPr>
          <w:rFonts w:ascii="Times New Roman" w:hAnsi="Times New Roman"/>
          <w:sz w:val="28"/>
          <w:szCs w:val="28"/>
          <w:vertAlign w:val="superscript"/>
        </w:rPr>
        <w:t>d</w:t>
      </w:r>
      <w:r w:rsidRPr="00551E73">
        <w:rPr>
          <w:rFonts w:ascii="Times New Roman" w:hAnsi="Times New Roman"/>
          <w:sz w:val="28"/>
          <w:szCs w:val="28"/>
          <w:vertAlign w:val="subscript"/>
        </w:rPr>
        <w:t>t</w:t>
      </w:r>
      <w:r w:rsidRPr="00551E73">
        <w:rPr>
          <w:rFonts w:ascii="Times New Roman" w:hAnsi="Times New Roman"/>
          <w:sz w:val="28"/>
          <w:szCs w:val="28"/>
        </w:rPr>
        <w:t>=2,7%; V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=31,7%; C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=87,3%; H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  <w:r w:rsidRPr="00551E73">
        <w:rPr>
          <w:rFonts w:ascii="Times New Roman" w:hAnsi="Times New Roman"/>
          <w:sz w:val="28"/>
          <w:szCs w:val="28"/>
        </w:rPr>
        <w:t>=5,23%; S</w:t>
      </w:r>
      <w:r w:rsidRPr="00551E73">
        <w:rPr>
          <w:rFonts w:ascii="Times New Roman" w:hAnsi="Times New Roman"/>
          <w:sz w:val="28"/>
          <w:szCs w:val="28"/>
          <w:vertAlign w:val="superscript"/>
        </w:rPr>
        <w:t>d</w:t>
      </w:r>
      <w:r w:rsidRPr="00551E73">
        <w:rPr>
          <w:rFonts w:ascii="Times New Roman" w:hAnsi="Times New Roman"/>
          <w:sz w:val="28"/>
          <w:szCs w:val="28"/>
          <w:vertAlign w:val="subscript"/>
        </w:rPr>
        <w:t>t</w:t>
      </w:r>
      <w:r w:rsidRPr="00551E73">
        <w:rPr>
          <w:rFonts w:ascii="Times New Roman" w:hAnsi="Times New Roman"/>
          <w:sz w:val="28"/>
          <w:szCs w:val="28"/>
        </w:rPr>
        <w:t>=2,81%, а также их шихты при разных соотношениях компонентов: Га/Жв = 50/50% и Га/Жв = 30/70%.</w:t>
      </w:r>
    </w:p>
    <w:p w:rsidR="00EB25BB" w:rsidRPr="00551E73" w:rsidRDefault="00EB25BB" w:rsidP="00EB25B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lastRenderedPageBreak/>
        <w:t>Процесс полукоксования проводили в реторте Фишера при температуре 500 – 550˚С без доступа воздуха (ГОСТ 3168–66). Результаты определения выхода полукокса, смолы, воды и газа приведены в табл.1.</w:t>
      </w: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Таблица 1 – Выход продуктов полукоксования, % daf</w:t>
      </w: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440"/>
        <w:gridCol w:w="2752"/>
        <w:gridCol w:w="1141"/>
        <w:gridCol w:w="1141"/>
      </w:tblGrid>
      <w:tr w:rsidR="00EB25BB" w:rsidRPr="00551E73" w:rsidTr="009D0D49">
        <w:trPr>
          <w:jc w:val="center"/>
        </w:trPr>
        <w:tc>
          <w:tcPr>
            <w:tcW w:w="2448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Уголь, шихта</w:t>
            </w:r>
          </w:p>
        </w:tc>
        <w:tc>
          <w:tcPr>
            <w:tcW w:w="1440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Полукокс</w:t>
            </w:r>
          </w:p>
        </w:tc>
        <w:tc>
          <w:tcPr>
            <w:tcW w:w="2752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Пирогенетическая вода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Смола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EB25BB" w:rsidRPr="00551E73" w:rsidTr="009D0D49">
        <w:trPr>
          <w:jc w:val="center"/>
        </w:trPr>
        <w:tc>
          <w:tcPr>
            <w:tcW w:w="2448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40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  <w:tc>
          <w:tcPr>
            <w:tcW w:w="2752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</w:tr>
      <w:tr w:rsidR="00EB25BB" w:rsidRPr="00551E73" w:rsidTr="009D0D49">
        <w:trPr>
          <w:jc w:val="center"/>
        </w:trPr>
        <w:tc>
          <w:tcPr>
            <w:tcW w:w="2448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Жв</w:t>
            </w:r>
          </w:p>
        </w:tc>
        <w:tc>
          <w:tcPr>
            <w:tcW w:w="1440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  <w:tc>
          <w:tcPr>
            <w:tcW w:w="2752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</w:tr>
      <w:tr w:rsidR="00EB25BB" w:rsidRPr="00551E73" w:rsidTr="009D0D49">
        <w:trPr>
          <w:jc w:val="center"/>
        </w:trPr>
        <w:tc>
          <w:tcPr>
            <w:tcW w:w="2448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Га/Жв = 50/50%</w:t>
            </w:r>
          </w:p>
        </w:tc>
        <w:tc>
          <w:tcPr>
            <w:tcW w:w="1440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72,3</w:t>
            </w:r>
          </w:p>
        </w:tc>
        <w:tc>
          <w:tcPr>
            <w:tcW w:w="2752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</w:tr>
      <w:tr w:rsidR="00EB25BB" w:rsidRPr="00551E73" w:rsidTr="009D0D49">
        <w:trPr>
          <w:jc w:val="center"/>
        </w:trPr>
        <w:tc>
          <w:tcPr>
            <w:tcW w:w="2448" w:type="dxa"/>
          </w:tcPr>
          <w:p w:rsidR="00EB25BB" w:rsidRPr="00551E73" w:rsidRDefault="00EB25BB" w:rsidP="009D0D4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Га/Жв = 30/70%</w:t>
            </w:r>
          </w:p>
        </w:tc>
        <w:tc>
          <w:tcPr>
            <w:tcW w:w="1440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72,4</w:t>
            </w:r>
          </w:p>
        </w:tc>
        <w:tc>
          <w:tcPr>
            <w:tcW w:w="2752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  <w:tc>
          <w:tcPr>
            <w:tcW w:w="1141" w:type="dxa"/>
            <w:vAlign w:val="center"/>
          </w:tcPr>
          <w:p w:rsidR="00EB25BB" w:rsidRPr="00551E73" w:rsidRDefault="00EB25BB" w:rsidP="009D0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14,6</w:t>
            </w:r>
          </w:p>
        </w:tc>
      </w:tr>
    </w:tbl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Из табл.1 видно, что при использовании угля Га получаем больший объем смолы и пирогенетической воды, но наименьший выход полукокса. Получение большего количества парогазовых продуктов объясняется наличием большего числа алифатических фрагментов и кислородсодержащих функциональных групп в органической массе газового угля. Это подтверждается более низкой температурой начала деструкции органической массы образцов: для угля Жв – 350 °С, шихты Га/Жв=30/70% – 338 °С, шихты Га/Жв=50/50% – 328 °С. 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Экспериментальные и теоретически рассчитанные по правилу аддитивности</w:t>
      </w:r>
      <w:r w:rsidRPr="00551E73">
        <w:rPr>
          <w:rFonts w:ascii="Times New Roman" w:hAnsi="Times New Roman"/>
          <w:vanish/>
          <w:sz w:val="28"/>
          <w:szCs w:val="28"/>
        </w:rPr>
        <w:t>|</w:t>
      </w:r>
      <w:r w:rsidRPr="00551E73">
        <w:rPr>
          <w:rFonts w:ascii="Times New Roman" w:hAnsi="Times New Roman"/>
          <w:sz w:val="28"/>
          <w:szCs w:val="28"/>
        </w:rPr>
        <w:t xml:space="preserve"> значения выхода продуктов процесса полукоксования отличаются между собой (табл. 2). Этот факт свидетельствует о химическом взаимодействии компонентов в шихте. Из</w:t>
      </w:r>
      <w:r w:rsidRPr="00551E73">
        <w:rPr>
          <w:rFonts w:ascii="Times New Roman" w:hAnsi="Times New Roman"/>
          <w:vanish/>
          <w:sz w:val="28"/>
          <w:szCs w:val="28"/>
        </w:rPr>
        <w:t>|с|</w:t>
      </w:r>
      <w:r w:rsidRPr="00551E73">
        <w:rPr>
          <w:rFonts w:ascii="Times New Roman" w:hAnsi="Times New Roman"/>
          <w:sz w:val="28"/>
          <w:szCs w:val="28"/>
        </w:rPr>
        <w:t xml:space="preserve"> таблицы видно, что изменение</w:t>
      </w:r>
      <w:r w:rsidRPr="00551E73">
        <w:rPr>
          <w:rFonts w:ascii="Times New Roman" w:hAnsi="Times New Roman"/>
          <w:vanish/>
          <w:sz w:val="28"/>
          <w:szCs w:val="28"/>
        </w:rPr>
        <w:t>|смена|</w:t>
      </w:r>
      <w:r w:rsidRPr="00551E73">
        <w:rPr>
          <w:rFonts w:ascii="Times New Roman" w:hAnsi="Times New Roman"/>
          <w:sz w:val="28"/>
          <w:szCs w:val="28"/>
        </w:rPr>
        <w:t xml:space="preserve"> соотношения углей разных</w:t>
      </w:r>
      <w:r w:rsidRPr="00551E73">
        <w:rPr>
          <w:rFonts w:ascii="Times New Roman" w:hAnsi="Times New Roman"/>
          <w:vanish/>
          <w:sz w:val="28"/>
          <w:szCs w:val="28"/>
        </w:rPr>
        <w:t>|различных|</w:t>
      </w:r>
      <w:r w:rsidRPr="00551E73">
        <w:rPr>
          <w:rFonts w:ascii="Times New Roman" w:hAnsi="Times New Roman"/>
          <w:sz w:val="28"/>
          <w:szCs w:val="28"/>
        </w:rPr>
        <w:t xml:space="preserve"> марок в сторону повышения содержания</w:t>
      </w:r>
      <w:r w:rsidRPr="00551E73">
        <w:rPr>
          <w:rFonts w:ascii="Times New Roman" w:hAnsi="Times New Roman"/>
          <w:vanish/>
          <w:sz w:val="28"/>
          <w:szCs w:val="28"/>
        </w:rPr>
        <w:t>|содержимого|</w:t>
      </w:r>
      <w:r w:rsidRPr="00551E73">
        <w:rPr>
          <w:rFonts w:ascii="Times New Roman" w:hAnsi="Times New Roman"/>
          <w:sz w:val="28"/>
          <w:szCs w:val="28"/>
        </w:rPr>
        <w:t xml:space="preserve"> угля Га приводит в целом к</w:t>
      </w:r>
      <w:r w:rsidRPr="00551E73">
        <w:rPr>
          <w:rFonts w:ascii="Times New Roman" w:hAnsi="Times New Roman"/>
          <w:vanish/>
          <w:sz w:val="28"/>
          <w:szCs w:val="28"/>
        </w:rPr>
        <w:t>|до|</w:t>
      </w:r>
      <w:r w:rsidRPr="00551E73">
        <w:rPr>
          <w:rFonts w:ascii="Times New Roman" w:hAnsi="Times New Roman"/>
          <w:sz w:val="28"/>
          <w:szCs w:val="28"/>
        </w:rPr>
        <w:t xml:space="preserve"> послаблению этого взаимодействия.</w:t>
      </w:r>
    </w:p>
    <w:p w:rsidR="00EB25BB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Таблица 2 – Экспериментальные и расчетные характеристики выхода продуктов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2"/>
        <w:gridCol w:w="982"/>
        <w:gridCol w:w="993"/>
        <w:gridCol w:w="1119"/>
        <w:gridCol w:w="1006"/>
        <w:gridCol w:w="992"/>
        <w:gridCol w:w="1102"/>
      </w:tblGrid>
      <w:tr w:rsidR="00EB25BB" w:rsidRPr="00551E73" w:rsidTr="009D0D49">
        <w:trPr>
          <w:trHeight w:val="330"/>
        </w:trPr>
        <w:tc>
          <w:tcPr>
            <w:tcW w:w="3092" w:type="dxa"/>
            <w:vMerge w:val="restart"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Выход продуктов полукоксования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EB25BB" w:rsidRPr="00551E73" w:rsidRDefault="00EB25BB" w:rsidP="009D0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Шихта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3092" w:type="dxa"/>
            <w:vMerge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bottom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Га/Жв = 50/50%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Га/Жв = 30/70%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0"/>
        </w:trPr>
        <w:tc>
          <w:tcPr>
            <w:tcW w:w="3092" w:type="dxa"/>
            <w:vMerge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експ.,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% daf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розр.,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% daf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Δ (експ.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-теор.)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експ.,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% daf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розр.,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% daf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Δ (експ.</w:t>
            </w:r>
          </w:p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-теор.)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092" w:type="dxa"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 xml:space="preserve">Полукокс 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72,30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72,20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72,44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73,14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-0,70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092" w:type="dxa"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Пирогенетическая вода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3,52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4,43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-0,91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3,31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3,73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-0,42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092" w:type="dxa"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Смола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9,65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9,22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9,69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8,91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</w:tr>
      <w:tr w:rsidR="00EB25BB" w:rsidRPr="00551E73" w:rsidTr="009D0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092" w:type="dxa"/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14,22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EB25BB" w:rsidRPr="00551E73" w:rsidRDefault="00EB25BB" w:rsidP="009D0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E73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</w:tbl>
    <w:p w:rsidR="00EB25BB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393565" cy="2652395"/>
            <wp:effectExtent l="0" t="0" r="26035" b="146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Pr="00551E73" w:rsidRDefault="00EB25BB" w:rsidP="00EB25B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51E73">
        <w:rPr>
          <w:rFonts w:ascii="Times New Roman" w:hAnsi="Times New Roman"/>
          <w:sz w:val="28"/>
          <w:szCs w:val="28"/>
        </w:rPr>
        <w:t>Рисунок 1 – Количественный анализ полукоксового газа, мл/г</w:t>
      </w:r>
      <w:r w:rsidRPr="00551E73">
        <w:rPr>
          <w:rFonts w:ascii="Times New Roman" w:hAnsi="Times New Roman"/>
          <w:sz w:val="28"/>
          <w:szCs w:val="28"/>
          <w:vertAlign w:val="superscript"/>
        </w:rPr>
        <w:t>daf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5BB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На рис.1 приведены результаты анализа полукоксового газа. Очевидно, что полукоксовый газ слабовосстановленных углей Га отличается большим содержанием CO, поскольку их органическая масса содержит много различных функциональных кислородсодержащих групп, которые интенсивно разрушаются в температурном интервале полукоксования.</w:t>
      </w:r>
    </w:p>
    <w:p w:rsidR="00EB25BB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>На степень термической конверсии жирного угля влияет высокое содержание серы. Этот факт подтверждается анализом полукоксового газа: суммарное количество кислых газов СО</w:t>
      </w:r>
      <w:r w:rsidRPr="00551E73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551E73">
        <w:rPr>
          <w:rFonts w:ascii="Times New Roman" w:hAnsi="Times New Roman"/>
          <w:sz w:val="28"/>
          <w:szCs w:val="28"/>
        </w:rPr>
        <w:t xml:space="preserve"> и Н</w:t>
      </w:r>
      <w:r w:rsidRPr="00551E73">
        <w:rPr>
          <w:rFonts w:ascii="Times New Roman" w:hAnsi="Times New Roman"/>
          <w:sz w:val="28"/>
          <w:szCs w:val="28"/>
          <w:vertAlign w:val="subscript"/>
        </w:rPr>
        <w:t>2</w:t>
      </w:r>
      <w:r w:rsidRPr="00551E73">
        <w:rPr>
          <w:rFonts w:ascii="Times New Roman" w:hAnsi="Times New Roman"/>
          <w:sz w:val="28"/>
          <w:szCs w:val="28"/>
        </w:rPr>
        <w:t>S для угля Га равняется 3,21, для угля Жв – 7,53. Увеличение доли жирного угля в шихте приводит к росту выхода Н</w:t>
      </w:r>
      <w:r w:rsidRPr="00551E73">
        <w:rPr>
          <w:rFonts w:ascii="Times New Roman" w:hAnsi="Times New Roman"/>
          <w:sz w:val="28"/>
          <w:szCs w:val="28"/>
          <w:vertAlign w:val="subscript"/>
        </w:rPr>
        <w:t>2</w:t>
      </w:r>
      <w:r w:rsidRPr="00551E73">
        <w:rPr>
          <w:rFonts w:ascii="Times New Roman" w:hAnsi="Times New Roman"/>
          <w:sz w:val="28"/>
          <w:szCs w:val="28"/>
        </w:rPr>
        <w:t>S</w:t>
      </w:r>
      <w:r w:rsidRPr="00551E73">
        <w:rPr>
          <w:rFonts w:ascii="Times New Roman" w:hAnsi="Times New Roman"/>
          <w:vanish/>
          <w:sz w:val="28"/>
          <w:szCs w:val="28"/>
        </w:rPr>
        <w:t>|</w:t>
      </w:r>
      <w:r w:rsidRPr="00551E73">
        <w:rPr>
          <w:rFonts w:ascii="Times New Roman" w:hAnsi="Times New Roman"/>
          <w:sz w:val="28"/>
          <w:szCs w:val="28"/>
        </w:rPr>
        <w:t>, а при повышенном содержании газового угля получаем больший объем CO. Выход H</w:t>
      </w:r>
      <w:r w:rsidRPr="00551E73">
        <w:rPr>
          <w:rFonts w:ascii="Times New Roman" w:hAnsi="Times New Roman"/>
          <w:sz w:val="28"/>
          <w:szCs w:val="28"/>
          <w:vertAlign w:val="subscript"/>
        </w:rPr>
        <w:t>2</w:t>
      </w:r>
      <w:r w:rsidRPr="00551E73">
        <w:rPr>
          <w:rFonts w:ascii="Times New Roman" w:hAnsi="Times New Roman"/>
          <w:sz w:val="28"/>
          <w:szCs w:val="28"/>
        </w:rPr>
        <w:t xml:space="preserve">S </w:t>
      </w:r>
      <w:r w:rsidRPr="00551E73">
        <w:rPr>
          <w:rFonts w:ascii="Times New Roman" w:hAnsi="Times New Roman"/>
          <w:vanish/>
          <w:sz w:val="28"/>
          <w:szCs w:val="28"/>
        </w:rPr>
        <w:t>|</w:t>
      </w:r>
      <w:r w:rsidRPr="00551E73">
        <w:rPr>
          <w:rFonts w:ascii="Times New Roman" w:hAnsi="Times New Roman"/>
          <w:sz w:val="28"/>
          <w:szCs w:val="28"/>
        </w:rPr>
        <w:t xml:space="preserve"> и других сернистых соединений из угольной шихты выше, чем рассчитанный по правилу аддитивности. Следовательно, взаимодействие углей </w:t>
      </w:r>
      <w:r w:rsidRPr="00551E73">
        <w:rPr>
          <w:rFonts w:ascii="Times New Roman" w:hAnsi="Times New Roman"/>
          <w:vanish/>
          <w:sz w:val="28"/>
          <w:szCs w:val="28"/>
        </w:rPr>
        <w:t>различных</w:t>
      </w:r>
      <w:r w:rsidRPr="00551E73">
        <w:rPr>
          <w:rFonts w:ascii="Times New Roman" w:hAnsi="Times New Roman"/>
          <w:sz w:val="28"/>
          <w:szCs w:val="28"/>
        </w:rPr>
        <w:t xml:space="preserve"> генетических типов по восстановленности в шихте приводит к ее обессериванию.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1E73">
        <w:rPr>
          <w:rFonts w:ascii="Times New Roman" w:hAnsi="Times New Roman"/>
          <w:sz w:val="28"/>
          <w:szCs w:val="28"/>
        </w:rPr>
        <w:t>олукоксовый газ, полученный при использовании шихты Га/Жв=30/70%, характеризуется высоким содержанием водорода, метана и непредельных углеводородов, а, следовательно, он обладает большей теплотой сгорания (≈23-24 МДж/м</w:t>
      </w:r>
      <w:r w:rsidRPr="00551E73">
        <w:rPr>
          <w:rFonts w:ascii="Times New Roman" w:hAnsi="Times New Roman"/>
          <w:sz w:val="28"/>
          <w:szCs w:val="28"/>
          <w:vertAlign w:val="superscript"/>
        </w:rPr>
        <w:t>3</w:t>
      </w:r>
      <w:r w:rsidRPr="00551E73">
        <w:rPr>
          <w:rFonts w:ascii="Times New Roman" w:hAnsi="Times New Roman"/>
          <w:sz w:val="28"/>
          <w:szCs w:val="28"/>
        </w:rPr>
        <w:t>).</w:t>
      </w: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1E73">
        <w:rPr>
          <w:rFonts w:ascii="Times New Roman" w:hAnsi="Times New Roman"/>
          <w:sz w:val="28"/>
          <w:szCs w:val="28"/>
        </w:rPr>
        <w:t xml:space="preserve">Исходя из полученных данных, можно сделать вывод, что использование высокосернистого жирного угля и малосернистого газового угля при соотношении компонентов Га/Жв=30/70% является более предпочтительным, рациональным и эффективным для комплексного использования сырья с получением химических продуктов и полукокса. Применение данного варианта составления шихты позволяет не только </w:t>
      </w:r>
      <w:r w:rsidRPr="00551E73">
        <w:rPr>
          <w:rFonts w:ascii="Times New Roman" w:hAnsi="Times New Roman"/>
          <w:sz w:val="28"/>
          <w:szCs w:val="28"/>
        </w:rPr>
        <w:lastRenderedPageBreak/>
        <w:t>сохранить спекающую способность угля, но и перевести большую часть сернистых соединений в газовую фазу.</w:t>
      </w:r>
    </w:p>
    <w:p w:rsidR="00EB25BB" w:rsidRPr="00551E73" w:rsidRDefault="00EB25BB" w:rsidP="00EB25BB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551E73">
        <w:rPr>
          <w:rFonts w:ascii="Times New Roman" w:hAnsi="Times New Roman"/>
          <w:b/>
          <w:sz w:val="24"/>
          <w:szCs w:val="24"/>
        </w:rPr>
        <w:t>Список литературы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1E73">
        <w:rPr>
          <w:rFonts w:ascii="Times New Roman" w:hAnsi="Times New Roman"/>
          <w:sz w:val="24"/>
          <w:szCs w:val="24"/>
        </w:rPr>
        <w:t>1. На мировом рынке угля. По материалам БИКИ//Кокс и химия.-2002.-№3.-С.45-47.</w:t>
      </w:r>
    </w:p>
    <w:p w:rsidR="00EB25BB" w:rsidRPr="00551E73" w:rsidRDefault="00EB25BB" w:rsidP="00EB25BB">
      <w:pPr>
        <w:pStyle w:val="3"/>
        <w:spacing w:after="0"/>
        <w:ind w:firstLine="567"/>
        <w:jc w:val="both"/>
        <w:rPr>
          <w:sz w:val="24"/>
          <w:szCs w:val="24"/>
        </w:rPr>
      </w:pPr>
      <w:r w:rsidRPr="00551E73">
        <w:rPr>
          <w:sz w:val="24"/>
          <w:szCs w:val="24"/>
        </w:rPr>
        <w:t>2. Долгий В.Я., Кривченко А.А., Шамало М.Д., Долгая В.А. Содержание общей серы в угольных пластах на шахтах Украины // Уголь Украины, 2000, № 1, с. 44-46.</w:t>
      </w:r>
    </w:p>
    <w:p w:rsidR="00EB25BB" w:rsidRPr="00551E73" w:rsidRDefault="00EB25BB" w:rsidP="00EB25BB">
      <w:pPr>
        <w:pStyle w:val="a3"/>
        <w:ind w:firstLine="567"/>
        <w:rPr>
          <w:sz w:val="24"/>
        </w:rPr>
      </w:pPr>
      <w:r w:rsidRPr="00551E73">
        <w:rPr>
          <w:sz w:val="24"/>
        </w:rPr>
        <w:t xml:space="preserve">3. Maценко Г.П. Особенности микроструктуры донецких антрацитов различных генетических типов // Химия твердого топлива. – 1984. - № 1. - С.7 - 13. </w:t>
      </w:r>
    </w:p>
    <w:p w:rsidR="00EB25BB" w:rsidRPr="00551E73" w:rsidRDefault="00EB25BB" w:rsidP="00EB25BB">
      <w:pPr>
        <w:pStyle w:val="a3"/>
        <w:ind w:firstLine="567"/>
        <w:rPr>
          <w:sz w:val="24"/>
        </w:rPr>
      </w:pPr>
      <w:r w:rsidRPr="00551E73">
        <w:rPr>
          <w:sz w:val="24"/>
        </w:rPr>
        <w:t xml:space="preserve">4. Бутузова Л. Ф., Маценко Г. П. Маринов С. П., Турчанина О. Н., Скирточенко  С. В., Крштонь А., Исаева Л. Н. Особенности термодеструкции углей слабовосстановленного и восстановленного типов Донецкого бассейна//Химия твердого топлива. – 2002. - №2. - С.11-22. </w:t>
      </w:r>
    </w:p>
    <w:p w:rsidR="00EB25BB" w:rsidRPr="00551E73" w:rsidRDefault="00EB25BB" w:rsidP="00EB2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1E73">
        <w:rPr>
          <w:rFonts w:ascii="Times New Roman" w:hAnsi="Times New Roman"/>
          <w:sz w:val="24"/>
          <w:szCs w:val="24"/>
        </w:rPr>
        <w:t>5. Кричко А.А., Лебедев В.В., Фарберов И.Л. Нетопливное использование углей. - М.: Недра, 1978. - 215 с.</w:t>
      </w:r>
    </w:p>
    <w:p w:rsidR="00EB25BB" w:rsidRDefault="00EB25BB" w:rsidP="00EB25BB">
      <w:pPr>
        <w:tabs>
          <w:tab w:val="left" w:pos="6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5BB" w:rsidRDefault="00EB25BB" w:rsidP="00EB25BB">
      <w:pPr>
        <w:tabs>
          <w:tab w:val="left" w:pos="6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5BB" w:rsidRDefault="00EB25BB" w:rsidP="00EB25BB">
      <w:pPr>
        <w:tabs>
          <w:tab w:val="left" w:pos="6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5BB" w:rsidRPr="00AD5FEA" w:rsidRDefault="00EB25BB" w:rsidP="00EB25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ПЕРЕЧЕНЬ АВТОРОВ</w:t>
      </w:r>
    </w:p>
    <w:p w:rsidR="00EB25BB" w:rsidRPr="00EC3F6D" w:rsidRDefault="00EB25BB" w:rsidP="00EB25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EB25BB" w:rsidRPr="00EC3F6D" w:rsidSect="006E7755">
          <w:footerReference w:type="even" r:id="rId12"/>
          <w:footerReference w:type="default" r:id="rId13"/>
          <w:pgSz w:w="11906" w:h="16838"/>
          <w:pgMar w:top="1418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4073" w:type="dxa"/>
        <w:tblInd w:w="93" w:type="dxa"/>
        <w:tblLook w:val="04A0"/>
      </w:tblPr>
      <w:tblGrid>
        <w:gridCol w:w="2283"/>
        <w:gridCol w:w="1790"/>
      </w:tblGrid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Alekseeva O.E.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193, 243, 247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Antonyuk S.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33, 156, 168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Dosta M.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de-DE"/>
              </w:rPr>
              <w:t>Grezhdier D.M.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de-DE"/>
              </w:rPr>
              <w:t>Heinrich S.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33, 42, 156, 168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Salikov V.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156, 168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Акусова А.А.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Алексеенко Е.А.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Ангельев Ф.А.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Андреева Д.Ю.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226, 243, 251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Банников Л.П.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Баранов Д.А.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Бирюков В.В.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Бобкова Н.И.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Бондалетова В.А.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Бондаренко И.В.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Бондарь В.А.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Борисенко А.Л.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Боровлев В.Н.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Бутузов Г.Н.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127, 131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Бутузова Л.Ф.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127, 131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Бутюгин А.В.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Веретельник С.П.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151, 184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Ветров И.В.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Власов Г.А.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30, 103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Вознюк В.Т.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Воропаева Н.И.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Воропаева А.И.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219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Выпирайко Д.В.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206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Высоцкий Ю.Б.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Герман К.Е.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Гладышев П.А.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Гнеденко М.В.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Голуб О. Ю.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Голубев А. 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88, 90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Горшина Е.С.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Дюбанов А. 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Ершов М.А.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Заика А.И.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Заика Т.И.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Збыковский Е.И.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88, 90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Зеленская Н.В.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Зубов Д.В.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Караченцев А.Е.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Караченцев Е.И.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Карпенко Е.И.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Кауфман С.И.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103, 114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Кипря А.В.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Кирбаба В.В.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30, 114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Клевлеев В.М.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Клешня Г.Г.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Комаров А.С.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Коробко Ю.В.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Королев В.П.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65, 67, 73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Костерова В.Ю.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Костина Е.Д.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Котляров И.А.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Крутько И.Г.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Кудрявцев А.А.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76, 80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Кулакова В.О.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Купрюхина А.В.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Кутняшенко А.И.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Кутняшенко Ю.И.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196, 251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Кущенко И.В.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Любартович В.А.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Маковский Р.В.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127, 131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Малеев В.Б.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76, 80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Малова К.А.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70, 84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Малыш А.С.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Матлак Е.С.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Минаев А.А.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Минаев Д.С.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Минакова А.А.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200, 247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Мишин И.В.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Мікульнок І.О.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Муллакаев М.С.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Неманова Е.О.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Орлова Е.В.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Павленко В.С.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Парамонов Е.А.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Парфенюк А.С.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151, 156, 168, 188, 196, 200, 203, 243, 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Полянский Д.В.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Русинова Т.В.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Семченко С.А.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Скорынин Н.И.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76, 80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Скрипченко Н.П.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Сокур А.А.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Стрелкова А.Ю.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Тараман А.Д.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255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Тасиц Д.И.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Терешкина О.С.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70, 84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Тихоненко Е.П.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Топоров А.А.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88, 139, 147, 174, 206, 219, 226, 236, 251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Третьяков П.В.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215, 247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Узденников Н.Б.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Харченко М.А.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Холодов В.Е.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Чешко Ф.Ф.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50, 120</w:t>
            </w:r>
          </w:p>
        </w:tc>
      </w:tr>
      <w:tr w:rsidR="00EB25BB" w:rsidRPr="009F3C01" w:rsidTr="009D0D4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Ярошевский С.Л.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5BB" w:rsidRPr="006B40E4" w:rsidRDefault="00EB25BB" w:rsidP="009D0D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</w:tbl>
    <w:p w:rsidR="00EB25BB" w:rsidRPr="00EB25BB" w:rsidRDefault="00EB25BB" w:rsidP="00EB25BB">
      <w:pPr>
        <w:rPr>
          <w:rFonts w:ascii="Times New Roman" w:hAnsi="Times New Roman"/>
          <w:sz w:val="28"/>
          <w:szCs w:val="28"/>
          <w:lang w:val="en-US"/>
        </w:rPr>
        <w:sectPr w:rsidR="00EB25BB" w:rsidRPr="00EB25BB" w:rsidSect="009F3C01">
          <w:type w:val="continuous"/>
          <w:pgSz w:w="11906" w:h="16838"/>
          <w:pgMar w:top="1418" w:right="1418" w:bottom="1701" w:left="1418" w:header="709" w:footer="709" w:gutter="0"/>
          <w:cols w:num="2" w:space="708"/>
          <w:titlePg/>
          <w:docGrid w:linePitch="360"/>
        </w:sectPr>
      </w:pPr>
    </w:p>
    <w:p w:rsidR="0041395A" w:rsidRPr="00EB25BB" w:rsidRDefault="0041395A" w:rsidP="00EB25BB">
      <w:pPr>
        <w:rPr>
          <w:lang w:val="en-US"/>
        </w:rPr>
      </w:pPr>
    </w:p>
    <w:sectPr w:rsidR="0041395A" w:rsidRPr="00EB25BB" w:rsidSect="0065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B5" w:rsidRDefault="00E965B5" w:rsidP="00650E89">
      <w:pPr>
        <w:spacing w:after="0" w:line="240" w:lineRule="auto"/>
      </w:pPr>
      <w:r>
        <w:separator/>
      </w:r>
    </w:p>
  </w:endnote>
  <w:endnote w:type="continuationSeparator" w:id="1">
    <w:p w:rsidR="00E965B5" w:rsidRDefault="00E965B5" w:rsidP="0065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0E" w:rsidRDefault="00A22133" w:rsidP="00A6562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B25B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A020E" w:rsidRDefault="00E965B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0E" w:rsidRDefault="00A22133" w:rsidP="00A6562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B25B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853EE">
      <w:rPr>
        <w:rStyle w:val="ad"/>
        <w:noProof/>
      </w:rPr>
      <w:t>6</w:t>
    </w:r>
    <w:r>
      <w:rPr>
        <w:rStyle w:val="ad"/>
      </w:rPr>
      <w:fldChar w:fldCharType="end"/>
    </w:r>
  </w:p>
  <w:p w:rsidR="008A020E" w:rsidRDefault="00E965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B5" w:rsidRDefault="00E965B5" w:rsidP="00650E89">
      <w:pPr>
        <w:spacing w:after="0" w:line="240" w:lineRule="auto"/>
      </w:pPr>
      <w:r>
        <w:separator/>
      </w:r>
    </w:p>
  </w:footnote>
  <w:footnote w:type="continuationSeparator" w:id="1">
    <w:p w:rsidR="00E965B5" w:rsidRDefault="00E965B5" w:rsidP="00650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5BB"/>
    <w:rsid w:val="000B1AB3"/>
    <w:rsid w:val="0041395A"/>
    <w:rsid w:val="004843D9"/>
    <w:rsid w:val="005853EE"/>
    <w:rsid w:val="00650E89"/>
    <w:rsid w:val="007A4214"/>
    <w:rsid w:val="00813C40"/>
    <w:rsid w:val="00A22133"/>
    <w:rsid w:val="00A43512"/>
    <w:rsid w:val="00E965B5"/>
    <w:rsid w:val="00EB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25B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B25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B25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B25BB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EB25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25BB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EB25B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B25B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1">
    <w:name w:val="Font Style111"/>
    <w:rsid w:val="00EB25BB"/>
    <w:rPr>
      <w:rFonts w:ascii="Times New Roman" w:hAnsi="Times New Roman" w:cs="Times New Roman"/>
      <w:sz w:val="28"/>
      <w:szCs w:val="28"/>
    </w:rPr>
  </w:style>
  <w:style w:type="character" w:customStyle="1" w:styleId="FontStyle40">
    <w:name w:val="Font Style40"/>
    <w:rsid w:val="00EB25BB"/>
    <w:rPr>
      <w:rFonts w:ascii="Arial" w:hAnsi="Arial" w:cs="Arial"/>
      <w:sz w:val="12"/>
      <w:szCs w:val="12"/>
    </w:rPr>
  </w:style>
  <w:style w:type="character" w:customStyle="1" w:styleId="FontStyle12">
    <w:name w:val="Font Style12"/>
    <w:rsid w:val="00EB25BB"/>
    <w:rPr>
      <w:rFonts w:ascii="Arial Narrow" w:hAnsi="Arial Narrow" w:cs="Arial Narrow" w:hint="default"/>
      <w:sz w:val="18"/>
      <w:szCs w:val="18"/>
    </w:rPr>
  </w:style>
  <w:style w:type="paragraph" w:customStyle="1" w:styleId="1">
    <w:name w:val="Обычный1"/>
    <w:rsid w:val="00EB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EB25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rsid w:val="00EB25BB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41">
    <w:name w:val="Font Style41"/>
    <w:rsid w:val="00EB25B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3">
    <w:name w:val="Font Style43"/>
    <w:rsid w:val="00EB25BB"/>
    <w:rPr>
      <w:rFonts w:ascii="Arial" w:hAnsi="Arial" w:cs="Arial"/>
      <w:i/>
      <w:iCs/>
      <w:spacing w:val="20"/>
      <w:sz w:val="18"/>
      <w:szCs w:val="18"/>
    </w:rPr>
  </w:style>
  <w:style w:type="character" w:customStyle="1" w:styleId="longtext">
    <w:name w:val="long_text"/>
    <w:basedOn w:val="a0"/>
    <w:rsid w:val="00EB25BB"/>
  </w:style>
  <w:style w:type="paragraph" w:styleId="a7">
    <w:name w:val="Normal (Web)"/>
    <w:basedOn w:val="a"/>
    <w:link w:val="a8"/>
    <w:uiPriority w:val="99"/>
    <w:rsid w:val="00EB25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EB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5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EB2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25BB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rsid w:val="00EB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25B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B25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B25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B25BB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EB25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25BB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EB25B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B25B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1">
    <w:name w:val="Font Style111"/>
    <w:rsid w:val="00EB25BB"/>
    <w:rPr>
      <w:rFonts w:ascii="Times New Roman" w:hAnsi="Times New Roman" w:cs="Times New Roman"/>
      <w:sz w:val="28"/>
      <w:szCs w:val="28"/>
    </w:rPr>
  </w:style>
  <w:style w:type="character" w:customStyle="1" w:styleId="FontStyle40">
    <w:name w:val="Font Style40"/>
    <w:rsid w:val="00EB25BB"/>
    <w:rPr>
      <w:rFonts w:ascii="Arial" w:hAnsi="Arial" w:cs="Arial"/>
      <w:sz w:val="12"/>
      <w:szCs w:val="12"/>
    </w:rPr>
  </w:style>
  <w:style w:type="character" w:customStyle="1" w:styleId="FontStyle12">
    <w:name w:val="Font Style12"/>
    <w:rsid w:val="00EB25BB"/>
    <w:rPr>
      <w:rFonts w:ascii="Arial Narrow" w:hAnsi="Arial Narrow" w:cs="Arial Narrow" w:hint="default"/>
      <w:sz w:val="18"/>
      <w:szCs w:val="18"/>
    </w:rPr>
  </w:style>
  <w:style w:type="paragraph" w:customStyle="1" w:styleId="1">
    <w:name w:val="Обычный1"/>
    <w:rsid w:val="00EB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EB25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rsid w:val="00EB25BB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41">
    <w:name w:val="Font Style41"/>
    <w:rsid w:val="00EB25B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3">
    <w:name w:val="Font Style43"/>
    <w:rsid w:val="00EB25BB"/>
    <w:rPr>
      <w:rFonts w:ascii="Arial" w:hAnsi="Arial" w:cs="Arial"/>
      <w:i/>
      <w:iCs/>
      <w:spacing w:val="20"/>
      <w:sz w:val="18"/>
      <w:szCs w:val="18"/>
    </w:rPr>
  </w:style>
  <w:style w:type="character" w:customStyle="1" w:styleId="longtext">
    <w:name w:val="long_text"/>
    <w:basedOn w:val="a0"/>
    <w:rsid w:val="00EB25BB"/>
  </w:style>
  <w:style w:type="paragraph" w:styleId="a7">
    <w:name w:val="Normal (Web)"/>
    <w:basedOn w:val="a"/>
    <w:link w:val="a8"/>
    <w:uiPriority w:val="99"/>
    <w:rsid w:val="00EB25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EB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5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EB2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25BB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rsid w:val="00EB2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xnika\Desktop\&#1050;&#1085;&#1080;&#1075;&#1072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roundedCorners val="1"/>
  <c:style val="9"/>
  <c:chart>
    <c:autoTitleDeleted val="1"/>
    <c:plotArea>
      <c:layout>
        <c:manualLayout>
          <c:layoutTarget val="inner"/>
          <c:xMode val="edge"/>
          <c:yMode val="edge"/>
          <c:x val="9.3691971350426992E-2"/>
          <c:y val="0.15759380766350889"/>
          <c:w val="0.63819040839695662"/>
          <c:h val="0.6997001681853886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[Книга2.xlsx]Лист1!$A$1</c:f>
              <c:strCache>
                <c:ptCount val="1"/>
                <c:pt idx="0">
                  <c:v>Га</c:v>
                </c:pt>
              </c:strCache>
            </c:strRef>
          </c:tx>
          <c:invertIfNegative val="1"/>
          <c:val>
            <c:numRef>
              <c:f>[Книга2.xlsx]Лист1!$B$1:$F$1</c:f>
              <c:numCache>
                <c:formatCode>General</c:formatCode>
                <c:ptCount val="5"/>
                <c:pt idx="0">
                  <c:v>3.21</c:v>
                </c:pt>
                <c:pt idx="1">
                  <c:v>3.9</c:v>
                </c:pt>
                <c:pt idx="2">
                  <c:v>12.11</c:v>
                </c:pt>
                <c:pt idx="3">
                  <c:v>65.239999999999995</c:v>
                </c:pt>
                <c:pt idx="4">
                  <c:v>65.72</c:v>
                </c:pt>
              </c:numCache>
            </c:numRef>
          </c:val>
        </c:ser>
        <c:ser>
          <c:idx val="1"/>
          <c:order val="1"/>
          <c:tx>
            <c:strRef>
              <c:f>[Книга2.xlsx]Лист1!$A$2</c:f>
              <c:strCache>
                <c:ptCount val="1"/>
                <c:pt idx="0">
                  <c:v>Жв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5.2803212557514185E-3"/>
                  <c:y val="0.14981268990159274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CO</a:t>
                    </a:r>
                    <a:r>
                      <a:rPr lang="en-US" sz="1000" baseline="-25000"/>
                      <a:t>2</a:t>
                    </a:r>
                    <a:r>
                      <a:rPr lang="en-US" sz="1000"/>
                      <a:t>+H</a:t>
                    </a:r>
                    <a:r>
                      <a:rPr lang="en-US" sz="1000" baseline="-25000"/>
                      <a:t>2</a:t>
                    </a:r>
                    <a:r>
                      <a:rPr lang="en-US" sz="1000"/>
                      <a:t>S</a:t>
                    </a:r>
                    <a:endParaRPr lang="uk-UA" sz="100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"/>
                  <c:y val="0.12734078641635371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C</a:t>
                    </a:r>
                    <a:r>
                      <a:rPr lang="en-US" sz="1000" baseline="-25000"/>
                      <a:t>m</a:t>
                    </a:r>
                    <a:r>
                      <a:rPr lang="en-US" sz="1000"/>
                      <a:t>H</a:t>
                    </a:r>
                    <a:r>
                      <a:rPr lang="en-US" sz="1000" baseline="-25000"/>
                      <a:t>n</a:t>
                    </a:r>
                    <a:endParaRPr lang="uk-UA" sz="100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0"/>
                  <c:y val="0.1573033243966722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СО</a:t>
                    </a:r>
                    <a:endParaRPr lang="en-US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1.5841587451799581E-2"/>
                  <c:y val="0.67895612405080563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/>
                      <a:t>H</a:t>
                    </a:r>
                    <a:r>
                      <a:rPr lang="en-US" sz="1000" baseline="-25000"/>
                      <a:t>2</a:t>
                    </a:r>
                    <a:endParaRPr lang="uk-UA" sz="1000"/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 sz="1000"/>
                  </a:p>
                </c:rich>
              </c:tx>
              <c:spPr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7.9207937258998079E-3"/>
                  <c:y val="0.60674139410145056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CH</a:t>
                    </a:r>
                    <a:r>
                      <a:rPr lang="en-US" sz="1000" baseline="-25000"/>
                      <a:t>4</a:t>
                    </a:r>
                    <a:endParaRPr lang="uk-UA" sz="100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</c:dLbls>
          <c:val>
            <c:numRef>
              <c:f>[Книга2.xlsx]Лист1!$B$2:$F$2</c:f>
              <c:numCache>
                <c:formatCode>General</c:formatCode>
                <c:ptCount val="5"/>
                <c:pt idx="0">
                  <c:v>7.53</c:v>
                </c:pt>
                <c:pt idx="1">
                  <c:v>4.5</c:v>
                </c:pt>
                <c:pt idx="2">
                  <c:v>7.89</c:v>
                </c:pt>
                <c:pt idx="3">
                  <c:v>76.64</c:v>
                </c:pt>
                <c:pt idx="4">
                  <c:v>73.11</c:v>
                </c:pt>
              </c:numCache>
            </c:numRef>
          </c:val>
        </c:ser>
        <c:ser>
          <c:idx val="2"/>
          <c:order val="2"/>
          <c:tx>
            <c:strRef>
              <c:f>[Книга2.xlsx]Лист1!$A$3</c:f>
              <c:strCache>
                <c:ptCount val="1"/>
                <c:pt idx="0">
                  <c:v>Га+Жв 50%/50%</c:v>
                </c:pt>
              </c:strCache>
            </c:strRef>
          </c:tx>
          <c:invertIfNegative val="1"/>
          <c:val>
            <c:numRef>
              <c:f>[Книга2.xlsx]Лист1!$B$3:$F$3</c:f>
              <c:numCache>
                <c:formatCode>General</c:formatCode>
                <c:ptCount val="5"/>
                <c:pt idx="0">
                  <c:v>5.94</c:v>
                </c:pt>
                <c:pt idx="1">
                  <c:v>4.3199999999999985</c:v>
                </c:pt>
                <c:pt idx="2">
                  <c:v>10.36000000000001</c:v>
                </c:pt>
                <c:pt idx="3">
                  <c:v>75.27</c:v>
                </c:pt>
                <c:pt idx="4">
                  <c:v>74.86</c:v>
                </c:pt>
              </c:numCache>
            </c:numRef>
          </c:val>
        </c:ser>
        <c:ser>
          <c:idx val="3"/>
          <c:order val="3"/>
          <c:tx>
            <c:strRef>
              <c:f>[Книга2.xlsx]Лист1!$A$4</c:f>
              <c:strCache>
                <c:ptCount val="1"/>
                <c:pt idx="0">
                  <c:v>Га+Жв 30%/70%</c:v>
                </c:pt>
              </c:strCache>
            </c:strRef>
          </c:tx>
          <c:invertIfNegative val="1"/>
          <c:val>
            <c:numRef>
              <c:f>[Книга2.xlsx]Лист1!$B$4:$F$4</c:f>
              <c:numCache>
                <c:formatCode>General</c:formatCode>
                <c:ptCount val="5"/>
                <c:pt idx="0">
                  <c:v>6.54</c:v>
                </c:pt>
                <c:pt idx="1">
                  <c:v>4.7</c:v>
                </c:pt>
                <c:pt idx="2">
                  <c:v>9.9700000000000006</c:v>
                </c:pt>
                <c:pt idx="3">
                  <c:v>83.35</c:v>
                </c:pt>
                <c:pt idx="4">
                  <c:v>76.09</c:v>
                </c:pt>
              </c:numCache>
            </c:numRef>
          </c:val>
        </c:ser>
        <c:axId val="97119232"/>
        <c:axId val="69346048"/>
      </c:barChart>
      <c:catAx>
        <c:axId val="97119232"/>
        <c:scaling>
          <c:orientation val="minMax"/>
        </c:scaling>
        <c:delete val="1"/>
        <c:axPos val="b"/>
        <c:majorTickMark val="none"/>
        <c:minorTickMark val="cross"/>
        <c:tickLblPos val="nextTo"/>
        <c:crossAx val="69346048"/>
        <c:crosses val="autoZero"/>
        <c:auto val="1"/>
        <c:lblAlgn val="ctr"/>
        <c:lblOffset val="100"/>
        <c:noMultiLvlLbl val="1"/>
      </c:catAx>
      <c:valAx>
        <c:axId val="69346048"/>
        <c:scaling>
          <c:orientation val="minMax"/>
          <c:max val="100"/>
        </c:scaling>
        <c:delete val="1"/>
        <c:axPos val="l"/>
        <c:majorGridlines/>
        <c:numFmt formatCode="General" sourceLinked="1"/>
        <c:majorTickMark val="none"/>
        <c:minorTickMark val="cross"/>
        <c:tickLblPos val="nextTo"/>
        <c:crossAx val="97119232"/>
        <c:crosses val="autoZero"/>
        <c:crossBetween val="between"/>
      </c:valAx>
    </c:plotArea>
    <c:legend>
      <c:legendPos val="r"/>
      <c:overlay val="1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17942</Words>
  <Characters>10228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Кутняшенко</dc:creator>
  <cp:keywords/>
  <dc:description/>
  <cp:lastModifiedBy>Л.Ф.</cp:lastModifiedBy>
  <cp:revision>3</cp:revision>
  <dcterms:created xsi:type="dcterms:W3CDTF">2011-11-28T12:37:00Z</dcterms:created>
  <dcterms:modified xsi:type="dcterms:W3CDTF">2011-12-09T12:45:00Z</dcterms:modified>
</cp:coreProperties>
</file>