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73" w:rsidRDefault="006E6995" w:rsidP="006E6995">
      <w:pPr>
        <w:spacing w:after="240"/>
        <w:jc w:val="center"/>
        <w:rPr>
          <w:rFonts w:cs="Times New Roman"/>
          <w:szCs w:val="28"/>
          <w:lang w:val="en-US"/>
        </w:rPr>
      </w:pPr>
      <w:r>
        <w:rPr>
          <w:rFonts w:cs="Times New Roman"/>
          <w:b/>
          <w:szCs w:val="28"/>
          <w:lang w:val="en-US"/>
        </w:rPr>
        <w:t>The Capital Asset Pricing Model: Cross-Sectional Analysis</w:t>
      </w:r>
    </w:p>
    <w:p w:rsidR="006E6995" w:rsidRDefault="006E6995" w:rsidP="00486ED9">
      <w:pPr>
        <w:ind w:left="4820" w:firstLine="0"/>
        <w:rPr>
          <w:rFonts w:cs="Times New Roman"/>
          <w:b/>
          <w:szCs w:val="28"/>
          <w:lang w:val="en-US"/>
        </w:rPr>
      </w:pPr>
      <w:r>
        <w:rPr>
          <w:rFonts w:cs="Times New Roman"/>
          <w:b/>
          <w:szCs w:val="28"/>
          <w:lang w:val="en-US"/>
        </w:rPr>
        <w:t>Zukhba D.S.</w:t>
      </w:r>
    </w:p>
    <w:p w:rsidR="006E6995" w:rsidRDefault="00486ED9" w:rsidP="00486ED9">
      <w:pPr>
        <w:spacing w:line="276" w:lineRule="auto"/>
        <w:ind w:left="4820" w:firstLine="0"/>
        <w:rPr>
          <w:rFonts w:cs="Times New Roman"/>
          <w:szCs w:val="28"/>
          <w:lang w:val="en-US"/>
        </w:rPr>
      </w:pPr>
      <w:r>
        <w:rPr>
          <w:rFonts w:cs="Times New Roman"/>
          <w:szCs w:val="28"/>
          <w:lang w:val="en-US"/>
        </w:rPr>
        <w:t>Deputy Director on International Relations</w:t>
      </w:r>
    </w:p>
    <w:p w:rsidR="00486ED9" w:rsidRDefault="00486ED9" w:rsidP="00486ED9">
      <w:pPr>
        <w:spacing w:line="276" w:lineRule="auto"/>
        <w:ind w:left="4820" w:firstLine="0"/>
        <w:rPr>
          <w:rFonts w:cs="Times New Roman"/>
          <w:szCs w:val="28"/>
          <w:lang w:val="en-US"/>
        </w:rPr>
      </w:pPr>
      <w:r>
        <w:rPr>
          <w:rFonts w:cs="Times New Roman"/>
          <w:szCs w:val="28"/>
          <w:lang w:val="en-US"/>
        </w:rPr>
        <w:t>Institute of Economics and Management</w:t>
      </w:r>
    </w:p>
    <w:p w:rsidR="00486ED9" w:rsidRDefault="00486ED9" w:rsidP="00486ED9">
      <w:pPr>
        <w:spacing w:line="276" w:lineRule="auto"/>
        <w:ind w:left="4820" w:firstLine="0"/>
        <w:rPr>
          <w:rFonts w:cs="Times New Roman"/>
          <w:szCs w:val="28"/>
          <w:lang w:val="en-US"/>
        </w:rPr>
      </w:pPr>
      <w:r>
        <w:rPr>
          <w:rFonts w:cs="Times New Roman"/>
          <w:szCs w:val="28"/>
          <w:lang w:val="en-US"/>
        </w:rPr>
        <w:t>Donetsk National Technical Unive</w:t>
      </w:r>
      <w:r w:rsidR="00EE1E30">
        <w:rPr>
          <w:rFonts w:cs="Times New Roman"/>
          <w:szCs w:val="28"/>
          <w:lang w:val="en-US"/>
        </w:rPr>
        <w:t>r</w:t>
      </w:r>
      <w:r>
        <w:rPr>
          <w:rFonts w:cs="Times New Roman"/>
          <w:szCs w:val="28"/>
          <w:lang w:val="en-US"/>
        </w:rPr>
        <w:t>sity</w:t>
      </w:r>
    </w:p>
    <w:p w:rsidR="006E6995" w:rsidRDefault="006E6995" w:rsidP="00486ED9">
      <w:pPr>
        <w:spacing w:line="276" w:lineRule="auto"/>
        <w:ind w:left="4820" w:firstLine="0"/>
        <w:rPr>
          <w:rFonts w:cs="Times New Roman"/>
          <w:b/>
          <w:szCs w:val="28"/>
          <w:lang w:val="en-US"/>
        </w:rPr>
      </w:pPr>
      <w:r>
        <w:rPr>
          <w:rFonts w:cs="Times New Roman"/>
          <w:b/>
          <w:szCs w:val="28"/>
          <w:lang w:val="en-US"/>
        </w:rPr>
        <w:t>Popovich H.S.</w:t>
      </w:r>
    </w:p>
    <w:p w:rsidR="006E6995" w:rsidRDefault="006E6995" w:rsidP="00486ED9">
      <w:pPr>
        <w:spacing w:line="276" w:lineRule="auto"/>
        <w:ind w:left="4820" w:firstLine="0"/>
        <w:rPr>
          <w:rFonts w:cs="Times New Roman"/>
          <w:szCs w:val="28"/>
          <w:lang w:val="en-US"/>
        </w:rPr>
      </w:pPr>
      <w:r>
        <w:rPr>
          <w:rFonts w:cs="Times New Roman"/>
          <w:b/>
          <w:szCs w:val="28"/>
          <w:lang w:val="en-US"/>
        </w:rPr>
        <w:t>Vysotsk</w:t>
      </w:r>
      <w:bookmarkStart w:id="0" w:name="_GoBack"/>
      <w:bookmarkEnd w:id="0"/>
      <w:r>
        <w:rPr>
          <w:rFonts w:cs="Times New Roman"/>
          <w:b/>
          <w:szCs w:val="28"/>
          <w:lang w:val="en-US"/>
        </w:rPr>
        <w:t>yi A.Y.</w:t>
      </w:r>
    </w:p>
    <w:p w:rsidR="006E6995" w:rsidRDefault="006E6995" w:rsidP="00486ED9">
      <w:pPr>
        <w:spacing w:after="240" w:line="276" w:lineRule="auto"/>
        <w:ind w:left="4820" w:firstLine="0"/>
        <w:rPr>
          <w:rFonts w:cs="Times New Roman"/>
          <w:szCs w:val="28"/>
          <w:lang w:val="en-US"/>
        </w:rPr>
      </w:pPr>
      <w:r>
        <w:rPr>
          <w:rFonts w:cs="Times New Roman"/>
          <w:szCs w:val="28"/>
          <w:lang w:val="en-US"/>
        </w:rPr>
        <w:t>Students majoring in “International Economics”, DonNTU.</w:t>
      </w:r>
    </w:p>
    <w:p w:rsidR="006E6995" w:rsidRPr="006E6995" w:rsidRDefault="006E6995" w:rsidP="006E6995">
      <w:pPr>
        <w:rPr>
          <w:lang w:val="en-US"/>
        </w:rPr>
      </w:pPr>
      <w:r w:rsidRPr="006E6995">
        <w:rPr>
          <w:lang w:val="en-US"/>
        </w:rPr>
        <w:t>The idea of the CAPM, first independently introduced by W. Sharpe in 1964</w:t>
      </w:r>
      <w:r w:rsidR="0075396F">
        <w:rPr>
          <w:lang w:val="en-US"/>
        </w:rPr>
        <w:t> [1]</w:t>
      </w:r>
      <w:r w:rsidRPr="006E6995">
        <w:rPr>
          <w:lang w:val="en-US"/>
        </w:rPr>
        <w:t xml:space="preserve"> and J. Lintner in 1965</w:t>
      </w:r>
      <w:r w:rsidR="0075396F">
        <w:rPr>
          <w:lang w:val="en-US"/>
        </w:rPr>
        <w:t> [2]</w:t>
      </w:r>
      <w:r w:rsidRPr="006E6995">
        <w:rPr>
          <w:lang w:val="en-US"/>
        </w:rPr>
        <w:t xml:space="preserve"> based on earlier works by Harry Markowitz, proved valid in general if not overwhelmingly conclusive in specifics, prompting further research by specialists worldwide. The idea of using average portfolio returns rather than individual returns in the theory was originally proposed by Michael C. Jensen, Fischer Black and Myron S. Scholes in their 1972 work “The Capital Asset Pricing Model: Some Empirical Tests”, in which they suggested rejecting the traditional form of the model based on the finding that the expected excess return of a single asset is not strictly proportional to its beta. They offered instead to use a two-factor model based on cross-sectional tests that proved to be more efficient and precise th</w:t>
      </w:r>
      <w:r w:rsidR="0075396F">
        <w:rPr>
          <w:lang w:val="en-US"/>
        </w:rPr>
        <w:t>an the original CAPM conception [3].</w:t>
      </w:r>
      <w:r w:rsidRPr="006E6995">
        <w:rPr>
          <w:lang w:val="en-US"/>
        </w:rPr>
        <w:t xml:space="preserve"> In the following years a number of studies emerged, both supporting the model and arguing its reliability. There were suggested some theories that, although based on the CAPM, were considered separate and opposing to it.</w:t>
      </w:r>
    </w:p>
    <w:p w:rsidR="006E6995" w:rsidRPr="006E6995" w:rsidRDefault="006E6995" w:rsidP="006E6995">
      <w:pPr>
        <w:rPr>
          <w:lang w:val="en-US"/>
        </w:rPr>
      </w:pPr>
      <w:r w:rsidRPr="006E6995">
        <w:rPr>
          <w:lang w:val="en-US"/>
        </w:rPr>
        <w:t>Currently the CAPM has great popularity amongst the researchers, which results not only in positive reviews proclaiming its advantages but also in numerous publications that analyse its drawbacks. Particularly, the criticism of the CAPM present in Richard Roll’s works is explained in the analysis of the fairness of the model’s empirical criteria</w:t>
      </w:r>
      <w:r w:rsidR="0075396F">
        <w:rPr>
          <w:lang w:val="en-US"/>
        </w:rPr>
        <w:t xml:space="preserve"> [4]</w:t>
      </w:r>
      <w:r w:rsidRPr="006E6995">
        <w:rPr>
          <w:lang w:val="en-US"/>
        </w:rPr>
        <w:t>. In his analysis Roll suggested two statements regarding the market portfolio:</w:t>
      </w:r>
    </w:p>
    <w:p w:rsidR="006E6995" w:rsidRPr="006E6995" w:rsidRDefault="006E6995" w:rsidP="006E6995">
      <w:pPr>
        <w:rPr>
          <w:lang w:val="en-US"/>
        </w:rPr>
      </w:pPr>
      <w:r w:rsidRPr="006E6995">
        <w:rPr>
          <w:lang w:val="en-US"/>
        </w:rPr>
        <w:t>1) Mean-variance tautology. Given a proxy for the market portfolio, testing the CAPM equation is equivalent to testing mean-variance efficiency of the portfolio. The CAPM is tautological if the market is assumed to be mean-variance efficient;</w:t>
      </w:r>
    </w:p>
    <w:p w:rsidR="006E6995" w:rsidRPr="006E6995" w:rsidRDefault="006E6995" w:rsidP="006E6995">
      <w:pPr>
        <w:rPr>
          <w:lang w:val="en-US"/>
        </w:rPr>
      </w:pPr>
      <w:r w:rsidRPr="006E6995">
        <w:rPr>
          <w:lang w:val="en-US"/>
        </w:rPr>
        <w:lastRenderedPageBreak/>
        <w:t>2) The market portfolio is unobservable. In practice it would necessarily include every available asset. The returns on all possible investments opportunities are unobservable.</w:t>
      </w:r>
    </w:p>
    <w:p w:rsidR="006E6995" w:rsidRPr="006E6995" w:rsidRDefault="006E6995" w:rsidP="006E6995">
      <w:pPr>
        <w:rPr>
          <w:lang w:val="en-US"/>
        </w:rPr>
      </w:pPr>
      <w:r w:rsidRPr="006E6995">
        <w:rPr>
          <w:lang w:val="en-US"/>
        </w:rPr>
        <w:t>From the first statement, validity of the CAPM is equivalent to the market being mean-variance efficient with respect to all investment opportunities. Without observing all investment opportunities, it is not possible to test whether this portfolio, or indeed any portfolio, is mean-variance efficient. Consequently, it is not possible to test the CAPM.</w:t>
      </w:r>
    </w:p>
    <w:p w:rsidR="006E6995" w:rsidRPr="006E6995" w:rsidRDefault="006E6995" w:rsidP="006E6995">
      <w:pPr>
        <w:rPr>
          <w:lang w:val="en-US"/>
        </w:rPr>
      </w:pPr>
      <w:r w:rsidRPr="006E6995">
        <w:rPr>
          <w:lang w:val="en-US"/>
        </w:rPr>
        <w:t>Rolf W. Banz suggests that the CAPM is mis-specified</w:t>
      </w:r>
      <w:r w:rsidR="0075396F">
        <w:rPr>
          <w:lang w:val="en-US"/>
        </w:rPr>
        <w:t> [5]</w:t>
      </w:r>
      <w:r w:rsidRPr="006E6995">
        <w:rPr>
          <w:lang w:val="en-US"/>
        </w:rPr>
        <w:t xml:space="preserve">. </w:t>
      </w:r>
      <w:r w:rsidR="0075396F">
        <w:rPr>
          <w:lang w:val="en-US"/>
        </w:rPr>
        <w:t>H</w:t>
      </w:r>
      <w:r w:rsidRPr="006E6995">
        <w:rPr>
          <w:lang w:val="en-US"/>
        </w:rPr>
        <w:t xml:space="preserve">e </w:t>
      </w:r>
      <w:r w:rsidR="0075396F">
        <w:rPr>
          <w:lang w:val="en-US"/>
        </w:rPr>
        <w:t>notices</w:t>
      </w:r>
      <w:r w:rsidRPr="006E6995">
        <w:rPr>
          <w:lang w:val="en-US"/>
        </w:rPr>
        <w:t xml:space="preserve"> that stocks in the quintile portfolio with the smallest market capitalization earn a risk-adjusted return that is month higher than the remaining firms. The size effect is not linear and is most pronounced for the smallest firms in the sample. Banz conjectures that many investors do not want to hold small stocks because of insufficient information, leading to higher returns on these stocks.</w:t>
      </w:r>
    </w:p>
    <w:p w:rsidR="006E6995" w:rsidRPr="006E6995" w:rsidRDefault="006E6995" w:rsidP="006E6995">
      <w:pPr>
        <w:rPr>
          <w:lang w:val="en-US"/>
        </w:rPr>
      </w:pPr>
      <w:r w:rsidRPr="006E6995">
        <w:rPr>
          <w:lang w:val="en-US"/>
        </w:rPr>
        <w:t>M. Blume</w:t>
      </w:r>
      <w:r w:rsidRPr="006E6995">
        <w:rPr>
          <w:b/>
          <w:lang w:val="en-US"/>
        </w:rPr>
        <w:t xml:space="preserve"> </w:t>
      </w:r>
      <w:r w:rsidRPr="006E6995">
        <w:rPr>
          <w:lang w:val="en-US"/>
        </w:rPr>
        <w:t>stresses the problem of stability of the CAPM’s key parameter: the beta coefficient. His research showed that it tends to 1 because of portfolio diversification and corporate management risks are lowering, approaching average sector or market levels. The analysis resulted in corrections to the beta coefficient</w:t>
      </w:r>
      <w:r w:rsidR="0075396F">
        <w:rPr>
          <w:lang w:val="en-US"/>
        </w:rPr>
        <w:t> [6]</w:t>
      </w:r>
      <w:r w:rsidRPr="006E6995">
        <w:rPr>
          <w:lang w:val="en-US"/>
        </w:rPr>
        <w:t>.</w:t>
      </w:r>
    </w:p>
    <w:p w:rsidR="006E6995" w:rsidRDefault="006E6995" w:rsidP="006E6995">
      <w:pPr>
        <w:rPr>
          <w:lang w:val="en-US"/>
        </w:rPr>
      </w:pPr>
      <w:r w:rsidRPr="006E6995">
        <w:rPr>
          <w:lang w:val="en-US"/>
        </w:rPr>
        <w:t>Many researchers, such as S. Basu</w:t>
      </w:r>
      <w:r w:rsidRPr="004D5BC4">
        <w:rPr>
          <w:lang w:val="en-US"/>
        </w:rPr>
        <w:t>,</w:t>
      </w:r>
      <w:r w:rsidRPr="006E6995">
        <w:rPr>
          <w:lang w:val="en-US"/>
        </w:rPr>
        <w:t xml:space="preserve"> B. Rosenberg, K. Reid and R. Lanstein question only taking into account the systematic factors in the model, despite existing empirical evidence of non-systematic variables, such as operational and financial leverage, that have an impact of the required returns</w:t>
      </w:r>
      <w:r w:rsidR="0075396F">
        <w:rPr>
          <w:lang w:val="en-US"/>
        </w:rPr>
        <w:t> [7</w:t>
      </w:r>
      <w:r w:rsidR="005F120C">
        <w:rPr>
          <w:lang w:val="en-US"/>
        </w:rPr>
        <w:t>,</w:t>
      </w:r>
      <w:r w:rsidR="008935BA">
        <w:rPr>
          <w:lang w:val="en-US"/>
        </w:rPr>
        <w:t xml:space="preserve"> </w:t>
      </w:r>
      <w:r w:rsidR="0075396F">
        <w:rPr>
          <w:lang w:val="en-US"/>
        </w:rPr>
        <w:t>8]</w:t>
      </w:r>
      <w:r w:rsidRPr="006E6995">
        <w:rPr>
          <w:lang w:val="en-US"/>
        </w:rPr>
        <w:t>.</w:t>
      </w:r>
    </w:p>
    <w:p w:rsidR="0075396F" w:rsidRPr="006E6995" w:rsidRDefault="0075396F" w:rsidP="006E6995">
      <w:pPr>
        <w:rPr>
          <w:lang w:val="en-US"/>
        </w:rPr>
      </w:pPr>
      <w:r w:rsidRPr="006E6995">
        <w:rPr>
          <w:lang w:val="en-US"/>
        </w:rPr>
        <w:t>In the case of the Ukrainian stock market the model has n</w:t>
      </w:r>
      <w:r>
        <w:rPr>
          <w:lang w:val="en-US"/>
        </w:rPr>
        <w:t>ever</w:t>
      </w:r>
      <w:r w:rsidRPr="006E6995">
        <w:rPr>
          <w:lang w:val="en-US"/>
        </w:rPr>
        <w:t xml:space="preserve"> received such wide recognition as it has in the Western world. It is obvious that there always is some formula to determine investment risks; sometimes it is just not that easy to find one as every market has its specific aspe</w:t>
      </w:r>
      <w:r>
        <w:rPr>
          <w:lang w:val="en-US"/>
        </w:rPr>
        <w:t>cts that influence those risks.</w:t>
      </w:r>
    </w:p>
    <w:p w:rsidR="006E6995" w:rsidRPr="006E6995" w:rsidRDefault="006E6995" w:rsidP="006E6995">
      <w:pPr>
        <w:rPr>
          <w:lang w:val="en-US"/>
        </w:rPr>
      </w:pPr>
      <w:r w:rsidRPr="006E6995">
        <w:rPr>
          <w:lang w:val="en-US"/>
        </w:rPr>
        <w:t xml:space="preserve">There are also a number of factors in the CAPM that result into difficulties of implementing it on Ukrainian market. First of all, we should mention that the Ukrainian stock market, being a developing one, has significant differences with the large diversified markets of Europe and the USA in terms of observation periods. Moreover, it is special because it emerged and is being developed on the border </w:t>
      </w:r>
      <w:r w:rsidRPr="006E6995">
        <w:rPr>
          <w:lang w:val="en-US"/>
        </w:rPr>
        <w:lastRenderedPageBreak/>
        <w:t>between planned economy and mixed market-oriented economy. These conditions are characterized by the revolutionary type of changes, instability of economy and society, a number of transition possibilities and presence of special economic forms that incorporate the principles of both planned and market economy.</w:t>
      </w:r>
    </w:p>
    <w:p w:rsidR="006E6995" w:rsidRPr="0075396F" w:rsidRDefault="006E6995" w:rsidP="006E6995">
      <w:pPr>
        <w:rPr>
          <w:lang w:val="en-US"/>
        </w:rPr>
      </w:pPr>
      <w:r w:rsidRPr="006E6995">
        <w:rPr>
          <w:lang w:val="en-US"/>
        </w:rPr>
        <w:t>William Sharpe’s classic CAPM does not pay proper attention to the “country risk”</w:t>
      </w:r>
      <w:r w:rsidR="0075396F">
        <w:rPr>
          <w:lang w:val="en-US"/>
        </w:rPr>
        <w:t> [9]</w:t>
      </w:r>
      <w:r w:rsidRPr="006E6995">
        <w:rPr>
          <w:lang w:val="en-US"/>
        </w:rPr>
        <w:t xml:space="preserve"> that is inherent to a developing market. </w:t>
      </w:r>
      <w:r w:rsidRPr="0075396F">
        <w:rPr>
          <w:lang w:val="en-US"/>
        </w:rPr>
        <w:t>Its main components are:</w:t>
      </w:r>
    </w:p>
    <w:p w:rsidR="006E6995" w:rsidRPr="0075396F" w:rsidRDefault="006E6995" w:rsidP="006E6995">
      <w:pPr>
        <w:pStyle w:val="ac"/>
        <w:numPr>
          <w:ilvl w:val="0"/>
          <w:numId w:val="4"/>
        </w:numPr>
        <w:rPr>
          <w:rFonts w:ascii="Times New Roman" w:hAnsi="Times New Roman" w:cs="Times New Roman"/>
        </w:rPr>
      </w:pPr>
      <w:r w:rsidRPr="008935BA">
        <w:rPr>
          <w:rFonts w:ascii="Times New Roman" w:hAnsi="Times New Roman" w:cs="Times New Roman"/>
        </w:rPr>
        <w:t xml:space="preserve">Social </w:t>
      </w:r>
      <w:r w:rsidRPr="0075396F">
        <w:rPr>
          <w:rFonts w:ascii="Times New Roman" w:hAnsi="Times New Roman" w:cs="Times New Roman"/>
        </w:rPr>
        <w:t>conflicts;</w:t>
      </w:r>
    </w:p>
    <w:p w:rsidR="006E6995" w:rsidRPr="0075396F" w:rsidRDefault="006E6995" w:rsidP="006E6995">
      <w:pPr>
        <w:pStyle w:val="ac"/>
        <w:numPr>
          <w:ilvl w:val="0"/>
          <w:numId w:val="4"/>
        </w:numPr>
        <w:rPr>
          <w:rFonts w:ascii="Times New Roman" w:hAnsi="Times New Roman" w:cs="Times New Roman"/>
        </w:rPr>
      </w:pPr>
      <w:r w:rsidRPr="0075396F">
        <w:rPr>
          <w:rFonts w:ascii="Times New Roman" w:hAnsi="Times New Roman" w:cs="Times New Roman"/>
        </w:rPr>
        <w:t>Non-payment of state debt;</w:t>
      </w:r>
    </w:p>
    <w:p w:rsidR="006E6995" w:rsidRPr="0075396F" w:rsidRDefault="006E6995" w:rsidP="006E6995">
      <w:pPr>
        <w:pStyle w:val="ac"/>
        <w:numPr>
          <w:ilvl w:val="0"/>
          <w:numId w:val="4"/>
        </w:numPr>
        <w:rPr>
          <w:rFonts w:ascii="Times New Roman" w:hAnsi="Times New Roman" w:cs="Times New Roman"/>
        </w:rPr>
      </w:pPr>
      <w:r w:rsidRPr="0075396F">
        <w:rPr>
          <w:rFonts w:ascii="Times New Roman" w:hAnsi="Times New Roman" w:cs="Times New Roman"/>
        </w:rPr>
        <w:t>Possibility of hyperinflation;</w:t>
      </w:r>
    </w:p>
    <w:p w:rsidR="006E6995" w:rsidRPr="0075396F" w:rsidRDefault="006E6995" w:rsidP="006E6995">
      <w:pPr>
        <w:pStyle w:val="ac"/>
        <w:numPr>
          <w:ilvl w:val="0"/>
          <w:numId w:val="4"/>
        </w:numPr>
        <w:rPr>
          <w:rFonts w:ascii="Times New Roman" w:hAnsi="Times New Roman" w:cs="Times New Roman"/>
        </w:rPr>
      </w:pPr>
      <w:r w:rsidRPr="0075396F">
        <w:rPr>
          <w:rFonts w:ascii="Times New Roman" w:hAnsi="Times New Roman" w:cs="Times New Roman"/>
        </w:rPr>
        <w:t>Chance of the national currency denomination;</w:t>
      </w:r>
    </w:p>
    <w:p w:rsidR="006E6995" w:rsidRPr="00CB710C" w:rsidRDefault="006E6995" w:rsidP="006E6995">
      <w:pPr>
        <w:pStyle w:val="ac"/>
        <w:numPr>
          <w:ilvl w:val="0"/>
          <w:numId w:val="4"/>
        </w:numPr>
        <w:rPr>
          <w:rFonts w:ascii="Times New Roman" w:hAnsi="Times New Roman" w:cs="Times New Roman"/>
          <w:sz w:val="24"/>
          <w:szCs w:val="24"/>
        </w:rPr>
      </w:pPr>
      <w:r w:rsidRPr="0075396F">
        <w:rPr>
          <w:rFonts w:ascii="Times New Roman" w:hAnsi="Times New Roman" w:cs="Times New Roman"/>
        </w:rPr>
        <w:t>Obstacles to capital movement</w:t>
      </w:r>
      <w:r w:rsidRPr="00CB710C">
        <w:rPr>
          <w:rFonts w:ascii="Times New Roman" w:hAnsi="Times New Roman" w:cs="Times New Roman"/>
          <w:sz w:val="24"/>
          <w:szCs w:val="24"/>
        </w:rPr>
        <w:t>.</w:t>
      </w:r>
    </w:p>
    <w:p w:rsidR="006E6995" w:rsidRPr="006E6995" w:rsidRDefault="006E6995" w:rsidP="00071BD9">
      <w:pPr>
        <w:rPr>
          <w:lang w:val="en-US"/>
        </w:rPr>
      </w:pPr>
      <w:r w:rsidRPr="006E6995">
        <w:rPr>
          <w:lang w:val="en-US"/>
        </w:rPr>
        <w:t>We shall consider some of the components in more detail, since they are directly related to the Ukrainian market</w:t>
      </w:r>
      <w:r w:rsidR="0075396F">
        <w:rPr>
          <w:lang w:val="en-US"/>
        </w:rPr>
        <w:t>, fo</w:t>
      </w:r>
      <w:r w:rsidRPr="006E6995">
        <w:rPr>
          <w:lang w:val="en-US"/>
        </w:rPr>
        <w:t xml:space="preserve">r instance, Ukraine’s national debt has a growth tendency. </w:t>
      </w:r>
      <w:r w:rsidR="00071BD9">
        <w:rPr>
          <w:lang w:val="en-US"/>
        </w:rPr>
        <w:t>Ukraine also encountered the problem of hyperinflation in 1992-1995, and some fear the possibility of it returning in the near future. Additionally, t</w:t>
      </w:r>
      <w:r w:rsidRPr="006E6995">
        <w:rPr>
          <w:lang w:val="en-US"/>
        </w:rPr>
        <w:t>o counter the negative effect of limitations to capital movement on the Ukrainian market, we need to make corrections in either the risk-free rate or the market risk premium.</w:t>
      </w:r>
    </w:p>
    <w:p w:rsidR="006E6995" w:rsidRPr="006E6995" w:rsidRDefault="006E6995" w:rsidP="006E6995">
      <w:pPr>
        <w:rPr>
          <w:lang w:val="en-US"/>
        </w:rPr>
      </w:pPr>
      <w:r w:rsidRPr="006E6995">
        <w:rPr>
          <w:lang w:val="en-US"/>
        </w:rPr>
        <w:t>Ukrainian market can be described as one with low liquidity and difficulty of its diagnose. It is predetermined towards decline due to internal reasons, one of which being low activity of the market subjects, which in its turn is caused by continued decline of mid- and long-term interest in the specific market of the developing countries. All this makes the use of beta-coefficient more difficult, as it is calculated based on prior data about a stock’s revenue and its correlation with the market revenue, and those tend to be significantly less than 1. Theoretically, the required yield from investing in to stocks of companies within one sector with the same financial lever that have higher and lower liquidity should be equal. However, the investor takes the low liquidity risk which should be compensated with additional premium</w:t>
      </w:r>
      <w:r w:rsidR="00071BD9">
        <w:rPr>
          <w:lang w:val="en-US"/>
        </w:rPr>
        <w:t> [10]</w:t>
      </w:r>
      <w:r w:rsidRPr="006E6995">
        <w:rPr>
          <w:lang w:val="en-US"/>
        </w:rPr>
        <w:t xml:space="preserve">. This shows that classic single-factor Sharpe-Lintner model requires adjustments. The model should take into account not only the beta coefficient, but also the liquidity coefficient in the risk vs. yield equation. The CAPM does not take </w:t>
      </w:r>
      <w:r w:rsidRPr="006E6995">
        <w:rPr>
          <w:lang w:val="en-US"/>
        </w:rPr>
        <w:lastRenderedPageBreak/>
        <w:t>into account liquidity implementation tools (interbank credit, currency swap, REPO-market), although they play an important role in sustaining the liquidity of the visible speculative market.</w:t>
      </w:r>
    </w:p>
    <w:p w:rsidR="006E6995" w:rsidRPr="006E6995" w:rsidRDefault="006E6995" w:rsidP="006E6995">
      <w:pPr>
        <w:rPr>
          <w:rStyle w:val="hps"/>
          <w:lang w:val="en-US"/>
        </w:rPr>
      </w:pPr>
      <w:r w:rsidRPr="006E6995">
        <w:rPr>
          <w:lang w:val="en-US"/>
        </w:rPr>
        <w:t>Unstable social and economic indicators also pose difficulties for implementing the CAPM in Ukraine. Worsening of the economic situation is related to the increase in consumer energy prices</w:t>
      </w:r>
      <w:r w:rsidR="00761CD2">
        <w:rPr>
          <w:lang w:val="en-US"/>
        </w:rPr>
        <w:t>,</w:t>
      </w:r>
      <w:r w:rsidRPr="006E6995">
        <w:rPr>
          <w:lang w:val="en-US"/>
        </w:rPr>
        <w:t xml:space="preserve"> the implementation of </w:t>
      </w:r>
      <w:r w:rsidRPr="006E6995">
        <w:rPr>
          <w:rStyle w:val="hps"/>
          <w:lang w:val="en-US"/>
        </w:rPr>
        <w:t>the government</w:t>
      </w:r>
      <w:r w:rsidRPr="006E6995">
        <w:rPr>
          <w:lang w:val="en-US"/>
        </w:rPr>
        <w:t xml:space="preserve"> </w:t>
      </w:r>
      <w:r w:rsidRPr="006E6995">
        <w:rPr>
          <w:rStyle w:val="hps"/>
          <w:lang w:val="en-US"/>
        </w:rPr>
        <w:t>debt</w:t>
      </w:r>
      <w:r w:rsidRPr="006E6995">
        <w:rPr>
          <w:lang w:val="en-US"/>
        </w:rPr>
        <w:t xml:space="preserve"> </w:t>
      </w:r>
      <w:r w:rsidRPr="006E6995">
        <w:rPr>
          <w:rStyle w:val="hps"/>
          <w:lang w:val="en-US"/>
        </w:rPr>
        <w:t>of 10.5</w:t>
      </w:r>
      <w:r w:rsidRPr="006E6995">
        <w:rPr>
          <w:lang w:val="en-US"/>
        </w:rPr>
        <w:t xml:space="preserve"> </w:t>
      </w:r>
      <w:r w:rsidRPr="006E6995">
        <w:rPr>
          <w:rStyle w:val="hps"/>
          <w:lang w:val="en-US"/>
        </w:rPr>
        <w:t>billion hryvnia</w:t>
      </w:r>
      <w:r w:rsidRPr="006E6995">
        <w:rPr>
          <w:lang w:val="en-US"/>
        </w:rPr>
        <w:t xml:space="preserve"> </w:t>
      </w:r>
      <w:r w:rsidRPr="006E6995">
        <w:rPr>
          <w:rStyle w:val="hps"/>
          <w:lang w:val="en-US"/>
        </w:rPr>
        <w:t>in March</w:t>
      </w:r>
      <w:r w:rsidRPr="006E6995">
        <w:rPr>
          <w:lang w:val="en-US"/>
        </w:rPr>
        <w:t xml:space="preserve"> </w:t>
      </w:r>
      <w:r w:rsidRPr="006E6995">
        <w:rPr>
          <w:rStyle w:val="hps"/>
          <w:lang w:val="en-US"/>
        </w:rPr>
        <w:t>2011 and the peak of state debt payments equaling 19 billion UAH this July. Simultaneously, the IMF suspended the tranches to Ukraine in April. As a result of the abovementioned factors Ukraine ended up amongst 18 countries that are facing default.</w:t>
      </w:r>
    </w:p>
    <w:p w:rsidR="006E6995" w:rsidRPr="006E6995" w:rsidRDefault="006E6995" w:rsidP="006E6995">
      <w:pPr>
        <w:tabs>
          <w:tab w:val="left" w:pos="8475"/>
        </w:tabs>
        <w:rPr>
          <w:lang w:val="en-US"/>
        </w:rPr>
      </w:pPr>
      <w:r w:rsidRPr="006E6995">
        <w:rPr>
          <w:lang w:val="en-US"/>
        </w:rPr>
        <w:t>The CAPM uses the beta coefficient that is calculated on a time period different from the one being analysed. Instability of our economy leads to volatility of this coefficient. Because of this it is unable to perform as an adequate evaluation of future risks</w:t>
      </w:r>
      <w:r w:rsidR="00761CD2">
        <w:rPr>
          <w:lang w:val="en-US"/>
        </w:rPr>
        <w:t> [11]</w:t>
      </w:r>
      <w:r w:rsidRPr="006E6995">
        <w:rPr>
          <w:lang w:val="en-US"/>
        </w:rPr>
        <w:t>.</w:t>
      </w:r>
    </w:p>
    <w:p w:rsidR="006E6995" w:rsidRPr="006E6995" w:rsidRDefault="006E6995" w:rsidP="006E6995">
      <w:pPr>
        <w:tabs>
          <w:tab w:val="left" w:pos="8475"/>
        </w:tabs>
        <w:rPr>
          <w:lang w:val="en-US"/>
        </w:rPr>
      </w:pPr>
      <w:r w:rsidRPr="006E6995">
        <w:rPr>
          <w:lang w:val="en-US"/>
        </w:rPr>
        <w:t>In Sharpe’s and Lintner’s classic CAPM model there are a number of institutional and financial premises that also are not always true for the Ukrainian stock market. For instance, the rationality of investors’ behaviour, uniformity of their expectations, which is one of the model’s assumptions</w:t>
      </w:r>
      <w:r w:rsidR="00761CD2">
        <w:rPr>
          <w:lang w:val="en-US"/>
        </w:rPr>
        <w:t> [12]</w:t>
      </w:r>
      <w:r w:rsidRPr="006E6995">
        <w:rPr>
          <w:lang w:val="en-US"/>
        </w:rPr>
        <w:t>, is not fulfilled on our market if we take into account the length of its existence. As of this moment we are still lacking a basis for making investment decisions. Also, not all of them have equal opportunities to act on our stock market (financial resources, availability of information, different level of awareness and education of market subjects – all these are a premise to their irrational behaviour). In these conditions the unity of their expectations is impossible. Asymmetric information in all areas is a characteristic feature of transition economies and emerging market. In the absence of a proper legal framework, as well as misuse of information, possession of this information is crucial in market transactions.</w:t>
      </w:r>
    </w:p>
    <w:p w:rsidR="006E6995" w:rsidRPr="006E6995" w:rsidRDefault="006E6995" w:rsidP="006E6995">
      <w:pPr>
        <w:tabs>
          <w:tab w:val="left" w:pos="8475"/>
        </w:tabs>
        <w:rPr>
          <w:lang w:val="en-US"/>
        </w:rPr>
      </w:pPr>
      <w:r w:rsidRPr="006E6995">
        <w:rPr>
          <w:lang w:val="en-US"/>
        </w:rPr>
        <w:t xml:space="preserve">There is a statement that on a stock market there are no transactions costs, and it is in fact a game with “zero” sum. In spite of this it should be noted that there are costs for activities in the stock market and they can be significant (brokerage </w:t>
      </w:r>
      <w:r w:rsidRPr="006E6995">
        <w:rPr>
          <w:lang w:val="en-US"/>
        </w:rPr>
        <w:lastRenderedPageBreak/>
        <w:t>services, consulting, custodial services)</w:t>
      </w:r>
      <w:r w:rsidR="00761CD2">
        <w:rPr>
          <w:lang w:val="en-US"/>
        </w:rPr>
        <w:t> [13]</w:t>
      </w:r>
      <w:r w:rsidRPr="006E6995">
        <w:rPr>
          <w:lang w:val="en-US"/>
        </w:rPr>
        <w:t>. Only to brokers this assumption is valid because they charge a percentage commission.</w:t>
      </w:r>
    </w:p>
    <w:p w:rsidR="006E6995" w:rsidRPr="006E6995" w:rsidRDefault="006E6995" w:rsidP="006E6995">
      <w:pPr>
        <w:tabs>
          <w:tab w:val="left" w:pos="8475"/>
        </w:tabs>
        <w:rPr>
          <w:lang w:val="en-US"/>
        </w:rPr>
      </w:pPr>
      <w:r w:rsidRPr="006E6995">
        <w:rPr>
          <w:lang w:val="en-US"/>
        </w:rPr>
        <w:t>The Ukrainian stock market is also characterized by the discrepancy of actual yields distributions a normal distribution (symmetrical one), as well as higher kurtosis. Investors’ expectations are also offset from traditional ideas about the behaviour of profitability. For Ukrainian stocks we can observe that actual distribution differs from normal one. The distribution is also characterized by a high excess kurtosis. Investors’ expectations also vary from the traditional yield conceptions.</w:t>
      </w:r>
    </w:p>
    <w:p w:rsidR="006E6995" w:rsidRPr="006E6995" w:rsidRDefault="006E6995" w:rsidP="006E6995">
      <w:pPr>
        <w:tabs>
          <w:tab w:val="left" w:pos="8475"/>
        </w:tabs>
        <w:rPr>
          <w:lang w:val="en-US"/>
        </w:rPr>
      </w:pPr>
      <w:r w:rsidRPr="006E6995">
        <w:rPr>
          <w:lang w:val="en-US"/>
        </w:rPr>
        <w:t>Another assumption that there is unrestricted borrowing and lending on a risk-free rate</w:t>
      </w:r>
      <w:r w:rsidR="00761CD2">
        <w:rPr>
          <w:lang w:val="en-US"/>
        </w:rPr>
        <w:t> [14]</w:t>
      </w:r>
      <w:r w:rsidRPr="006E6995">
        <w:rPr>
          <w:lang w:val="en-US"/>
        </w:rPr>
        <w:t xml:space="preserve"> is incorrect for the Ukrainian stock market (this is a consequence of the economic crisis of 2008-2009, the slow growth of economic indicators, frequent changes in the political vector of the country).</w:t>
      </w:r>
    </w:p>
    <w:p w:rsidR="006E6995" w:rsidRPr="00CB710C" w:rsidRDefault="006E6995" w:rsidP="006E6995">
      <w:pPr>
        <w:pStyle w:val="1"/>
      </w:pPr>
      <w:bookmarkStart w:id="1" w:name="_Toc309880083"/>
      <w:r w:rsidRPr="00CB710C">
        <w:t>Testing the CAPM</w:t>
      </w:r>
      <w:bookmarkEnd w:id="1"/>
    </w:p>
    <w:p w:rsidR="006E6995" w:rsidRPr="006E6995" w:rsidRDefault="006E6995" w:rsidP="006E6995">
      <w:pPr>
        <w:rPr>
          <w:lang w:val="en-US"/>
        </w:rPr>
      </w:pPr>
      <w:r w:rsidRPr="006E6995">
        <w:rPr>
          <w:lang w:val="en-US"/>
        </w:rPr>
        <w:t>In order to test the classic Sharpe-Lintner model on the Ukrainian stock market, we test the following assumptions:</w:t>
      </w:r>
    </w:p>
    <w:p w:rsidR="006E6995" w:rsidRPr="00761CD2" w:rsidRDefault="006E6995" w:rsidP="006E6995">
      <w:pPr>
        <w:pStyle w:val="ac"/>
        <w:numPr>
          <w:ilvl w:val="0"/>
          <w:numId w:val="6"/>
        </w:numPr>
      </w:pPr>
      <w:r w:rsidRPr="00CB710C">
        <w:rPr>
          <w:rFonts w:ascii="Times New Roman" w:hAnsi="Times New Roman" w:cs="Times New Roman"/>
          <w:sz w:val="24"/>
          <w:szCs w:val="24"/>
        </w:rPr>
        <w:t xml:space="preserve">Beta </w:t>
      </w:r>
      <w:r w:rsidRPr="00761CD2">
        <w:rPr>
          <w:rFonts w:ascii="Times New Roman" w:hAnsi="Times New Roman" w:cs="Times New Roman"/>
        </w:rPr>
        <w:t>coefficient describes the dynamic of expected asset yield;</w:t>
      </w:r>
    </w:p>
    <w:p w:rsidR="006E6995" w:rsidRPr="00761CD2" w:rsidRDefault="006E6995" w:rsidP="006E6995">
      <w:pPr>
        <w:pStyle w:val="ac"/>
        <w:numPr>
          <w:ilvl w:val="0"/>
          <w:numId w:val="6"/>
        </w:numPr>
      </w:pPr>
      <w:r w:rsidRPr="00761CD2">
        <w:rPr>
          <w:rFonts w:ascii="Times New Roman" w:hAnsi="Times New Roman" w:cs="Times New Roman"/>
        </w:rPr>
        <w:t>Presence of additional variables besides the beta;</w:t>
      </w:r>
    </w:p>
    <w:p w:rsidR="006E6995" w:rsidRPr="00761CD2" w:rsidRDefault="006E6995" w:rsidP="006E6995">
      <w:pPr>
        <w:pStyle w:val="ac"/>
        <w:numPr>
          <w:ilvl w:val="0"/>
          <w:numId w:val="6"/>
        </w:numPr>
      </w:pPr>
      <w:r w:rsidRPr="00761CD2">
        <w:rPr>
          <w:rFonts w:ascii="Times New Roman" w:hAnsi="Times New Roman" w:cs="Times New Roman"/>
        </w:rPr>
        <w:t>The need to take liquidity and root-mean square deviation as indicators of investment risk levels into account;</w:t>
      </w:r>
    </w:p>
    <w:p w:rsidR="006E6995" w:rsidRPr="00761CD2" w:rsidRDefault="006E6995" w:rsidP="006E6995">
      <w:pPr>
        <w:pStyle w:val="ac"/>
        <w:numPr>
          <w:ilvl w:val="0"/>
          <w:numId w:val="6"/>
        </w:numPr>
      </w:pPr>
      <w:r w:rsidRPr="00761CD2">
        <w:rPr>
          <w:rFonts w:ascii="Times New Roman" w:hAnsi="Times New Roman" w:cs="Times New Roman"/>
        </w:rPr>
        <w:t>Asymmetry and excess kurtosis of stock yields distribution are influencing risk and returns calculations too.</w:t>
      </w:r>
    </w:p>
    <w:p w:rsidR="006E6995" w:rsidRPr="006E6995" w:rsidRDefault="006E6995" w:rsidP="006E6995">
      <w:pPr>
        <w:rPr>
          <w:lang w:val="en-US"/>
        </w:rPr>
      </w:pPr>
      <w:r w:rsidRPr="006E6995">
        <w:rPr>
          <w:lang w:val="en-US"/>
        </w:rPr>
        <w:t>These hypotheses are tested using the cross-sectional regression – an empirical method based on the ex-post analysis of historical data on various asset prices. Beta coefficient is calculated on the base period of time as</w:t>
      </w:r>
      <w:r w:rsidR="00761CD2">
        <w:rPr>
          <w:lang w:val="en-US"/>
        </w:rPr>
        <w:t> [15]</w:t>
      </w:r>
      <w:r w:rsidRPr="006E6995">
        <w:rPr>
          <w:lang w:val="en-US"/>
        </w:rPr>
        <w:t>:</w:t>
      </w:r>
    </w:p>
    <w:p w:rsidR="006E6995" w:rsidRPr="006E6995" w:rsidRDefault="006E6995" w:rsidP="006E6995">
      <w:pPr>
        <w:tabs>
          <w:tab w:val="left" w:pos="3686"/>
          <w:tab w:val="right" w:pos="9072"/>
        </w:tabs>
        <w:ind w:firstLine="708"/>
        <w:rPr>
          <w:rFonts w:eastAsiaTheme="minorEastAsia"/>
          <w:lang w:val="en-US"/>
        </w:rPr>
      </w:pPr>
      <w:r w:rsidRPr="006E6995">
        <w:rPr>
          <w:rFonts w:eastAsiaTheme="minorEastAsia"/>
          <w:lang w:val="en-US"/>
        </w:rPr>
        <w:tab/>
      </w:r>
      <m:oMath>
        <m:r>
          <w:rPr>
            <w:rFonts w:ascii="Cambria Math" w:hAnsi="Cambria Math"/>
          </w:rPr>
          <m:t>β</m:t>
        </m:r>
        <m:r>
          <w:rPr>
            <w:rFonts w:ascii="Cambria Math" w:hAnsi="Cambria Math"/>
            <w:lang w:val="en-US"/>
          </w:rPr>
          <m:t>=</m:t>
        </m:r>
        <m:f>
          <m:fPr>
            <m:ctrlPr>
              <w:rPr>
                <w:rFonts w:ascii="Cambria Math" w:hAnsi="Cambria Math"/>
                <w:i/>
              </w:rPr>
            </m:ctrlPr>
          </m:fPr>
          <m:num>
            <m:r>
              <w:rPr>
                <w:rFonts w:ascii="Cambria Math" w:hAnsi="Cambria Math"/>
              </w:rPr>
              <m:t>Cov</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R</m:t>
                    </m:r>
                  </m:e>
                  <m:sub>
                    <m:r>
                      <w:rPr>
                        <w:rFonts w:ascii="Cambria Math" w:hAnsi="Cambria Math"/>
                      </w:rPr>
                      <m:t>M</m:t>
                    </m:r>
                  </m:sub>
                </m:sSub>
              </m:e>
            </m:d>
          </m:num>
          <m:den>
            <m:r>
              <w:rPr>
                <w:rFonts w:ascii="Cambria Math" w:hAnsi="Cambria Math"/>
              </w:rPr>
              <m:t>Var</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e>
            </m:d>
          </m:den>
        </m:f>
      </m:oMath>
      <w:r w:rsidRPr="006E6995">
        <w:rPr>
          <w:rFonts w:eastAsiaTheme="minorEastAsia"/>
          <w:lang w:val="en-US"/>
        </w:rPr>
        <w:tab/>
        <w:t>(1)</w:t>
      </w:r>
    </w:p>
    <w:p w:rsidR="006E6995" w:rsidRPr="006E6995" w:rsidRDefault="006E6995" w:rsidP="006E6995">
      <w:pPr>
        <w:rPr>
          <w:rFonts w:eastAsiaTheme="minorEastAsia"/>
          <w:lang w:val="en-US"/>
        </w:rPr>
      </w:pPr>
      <w:r w:rsidRPr="006E6995">
        <w:rPr>
          <w:lang w:val="en-US"/>
        </w:rPr>
        <w:t xml:space="preserve">where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Pr="006E6995">
        <w:rPr>
          <w:rFonts w:eastAsiaTheme="minorEastAsia"/>
          <w:lang w:val="en-US"/>
        </w:rPr>
        <w:t xml:space="preserve"> is the return of a given asset,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m:t>
            </m:r>
          </m:sub>
        </m:sSub>
      </m:oMath>
      <w:r w:rsidRPr="006E6995">
        <w:rPr>
          <w:rFonts w:eastAsiaTheme="minorEastAsia"/>
          <w:lang w:val="en-US"/>
        </w:rPr>
        <w:t xml:space="preserve"> is the market portfolio return. After that the regression of asset returns on beta is built for every point in time. The slope of the regression line (the security market line) gives an estimate of the market </w:t>
      </w:r>
      <w:r w:rsidRPr="006E6995">
        <w:rPr>
          <w:rFonts w:eastAsiaTheme="minorEastAsia"/>
          <w:lang w:val="en-US"/>
        </w:rPr>
        <w:lastRenderedPageBreak/>
        <w:t>risk premium. Finally, by means of statistical methods time series of these estimates are analysed. Given the econometrical formula of the CAPM</w:t>
      </w:r>
      <w:r w:rsidR="00761CD2">
        <w:rPr>
          <w:rFonts w:eastAsiaTheme="minorEastAsia"/>
          <w:lang w:val="en-US"/>
        </w:rPr>
        <w:t> [15]</w:t>
      </w:r>
      <w:r w:rsidRPr="006E6995">
        <w:rPr>
          <w:rFonts w:eastAsiaTheme="minorEastAsia"/>
          <w:lang w:val="en-US"/>
        </w:rPr>
        <w:t>:</w:t>
      </w:r>
    </w:p>
    <w:p w:rsidR="006E6995" w:rsidRPr="006E6995" w:rsidRDefault="006E6995" w:rsidP="006E6995">
      <w:pPr>
        <w:tabs>
          <w:tab w:val="left" w:pos="3686"/>
          <w:tab w:val="right" w:pos="9072"/>
        </w:tabs>
        <w:ind w:firstLine="708"/>
        <w:rPr>
          <w:rFonts w:eastAsiaTheme="minorEastAsia"/>
          <w:lang w:val="en-US"/>
        </w:rPr>
      </w:pPr>
      <w:r w:rsidRPr="006E6995">
        <w:rPr>
          <w:rFonts w:eastAsiaTheme="minorEastAsia"/>
          <w:lang w:val="en-US"/>
        </w:rPr>
        <w:tab/>
      </w:r>
      <m:oMath>
        <m:r>
          <w:rPr>
            <w:rFonts w:ascii="Cambria Math" w:eastAsiaTheme="minorEastAsia" w:hAnsi="Cambria Math"/>
          </w:rPr>
          <m:t>z</m:t>
        </m:r>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lang w:val="en-US"/>
              </w:rPr>
              <m:t>0</m:t>
            </m:r>
          </m:sub>
        </m:sSub>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lang w:val="en-US"/>
              </w:rPr>
              <m:t>1</m:t>
            </m:r>
          </m:sub>
        </m:sSub>
        <m:r>
          <w:rPr>
            <w:rFonts w:ascii="Cambria Math" w:eastAsiaTheme="minorEastAsia" w:hAnsi="Cambria Math"/>
          </w:rPr>
          <m:t>β</m:t>
        </m:r>
        <m:r>
          <w:rPr>
            <w:rFonts w:ascii="Cambria Math" w:eastAsiaTheme="minorEastAsia" w:hAnsi="Cambria Math"/>
            <w:lang w:val="en-US"/>
          </w:rPr>
          <m:t>+</m:t>
        </m:r>
        <m:r>
          <w:rPr>
            <w:rFonts w:ascii="Cambria Math" w:eastAsiaTheme="minorEastAsia" w:hAnsi="Cambria Math"/>
          </w:rPr>
          <m:t>ε</m:t>
        </m:r>
      </m:oMath>
      <w:r w:rsidRPr="006E6995">
        <w:rPr>
          <w:rFonts w:eastAsiaTheme="minorEastAsia"/>
          <w:lang w:val="en-US"/>
        </w:rPr>
        <w:tab/>
        <w:t>(2)</w:t>
      </w:r>
    </w:p>
    <w:p w:rsidR="006E6995" w:rsidRPr="006E6995" w:rsidRDefault="006E6995" w:rsidP="006E6995">
      <w:pPr>
        <w:rPr>
          <w:rFonts w:eastAsiaTheme="minorEastAsia"/>
          <w:lang w:val="en-US"/>
        </w:rPr>
      </w:pPr>
      <w:r w:rsidRPr="006E6995">
        <w:rPr>
          <w:lang w:val="en-US"/>
        </w:rPr>
        <w:t>(</w:t>
      </w:r>
      <m:oMath>
        <m:r>
          <w:rPr>
            <w:rFonts w:ascii="Cambria Math" w:hAnsi="Cambria Math"/>
          </w:rPr>
          <m:t>z</m:t>
        </m:r>
      </m:oMath>
      <w:r w:rsidRPr="006E6995">
        <w:rPr>
          <w:rFonts w:eastAsiaTheme="minorEastAsia"/>
          <w:lang w:val="en-US"/>
        </w:rPr>
        <w:t xml:space="preserve"> being the excess return and </w:t>
      </w:r>
      <w:r w:rsidRPr="00CB710C">
        <w:rPr>
          <w:rFonts w:eastAsiaTheme="minorEastAsia"/>
          <w:i/>
        </w:rPr>
        <w:t>ε</w:t>
      </w:r>
      <w:r w:rsidRPr="006E6995">
        <w:rPr>
          <w:rFonts w:eastAsiaTheme="minorEastAsia"/>
          <w:lang w:val="en-US"/>
        </w:rPr>
        <w:t xml:space="preserve"> – random errors) </w:t>
      </w:r>
      <w:r w:rsidRPr="006E6995">
        <w:rPr>
          <w:lang w:val="en-US"/>
        </w:rPr>
        <w:t xml:space="preserve">we can test two hypotheses: </w:t>
      </w:r>
      <m:oMath>
        <m:sSub>
          <m:sSubPr>
            <m:ctrlPr>
              <w:rPr>
                <w:rFonts w:ascii="Cambria Math" w:hAnsi="Cambria Math"/>
                <w:i/>
              </w:rPr>
            </m:ctrlPr>
          </m:sSubPr>
          <m:e>
            <m:r>
              <w:rPr>
                <w:rFonts w:ascii="Cambria Math" w:hAnsi="Cambria Math"/>
              </w:rPr>
              <m:t>γ</m:t>
            </m:r>
          </m:e>
          <m:sub>
            <m:r>
              <w:rPr>
                <w:rFonts w:ascii="Cambria Math" w:hAnsi="Cambria Math"/>
                <w:lang w:val="en-US"/>
              </w:rPr>
              <m:t>0</m:t>
            </m:r>
          </m:sub>
        </m:sSub>
        <m:r>
          <w:rPr>
            <w:rFonts w:ascii="Cambria Math" w:hAnsi="Cambria Math"/>
            <w:lang w:val="en-US"/>
          </w:rPr>
          <m:t>=0</m:t>
        </m:r>
      </m:oMath>
      <w:r w:rsidRPr="006E6995">
        <w:rPr>
          <w:rFonts w:eastAsiaTheme="minorEastAsia"/>
          <w:lang w:val="en-US"/>
        </w:rPr>
        <w:t xml:space="preserve"> which would confirm whether beta is the only significant variable in the model; and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lang w:val="en-US"/>
              </w:rPr>
              <m:t>1</m:t>
            </m:r>
          </m:sub>
        </m:sSub>
        <m:r>
          <w:rPr>
            <w:rFonts w:ascii="Cambria Math" w:eastAsiaTheme="minorEastAsia" w:hAnsi="Cambria Math"/>
            <w:lang w:val="en-US"/>
          </w:rPr>
          <m:t>&gt;0</m:t>
        </m:r>
      </m:oMath>
      <w:r w:rsidRPr="006E6995">
        <w:rPr>
          <w:rFonts w:eastAsiaTheme="minorEastAsia"/>
          <w:lang w:val="en-US"/>
        </w:rPr>
        <w:t xml:space="preserve"> which would confirm that beta is actually a significant variable.</w:t>
      </w:r>
    </w:p>
    <w:p w:rsidR="006E6995" w:rsidRDefault="006E6995" w:rsidP="006E6995">
      <w:pPr>
        <w:rPr>
          <w:rFonts w:eastAsiaTheme="minorEastAsia"/>
          <w:lang w:val="en-US"/>
        </w:rPr>
      </w:pPr>
      <w:r w:rsidRPr="006E6995">
        <w:rPr>
          <w:rFonts w:eastAsiaTheme="minorEastAsia"/>
          <w:lang w:val="en-US"/>
        </w:rPr>
        <w:t xml:space="preserve">Based on the UX stock exchange data over the period from 04.08.2010 to 28.10.2011, calculations are done for key assets that are included into the market index using Microsoft Excel (or any other suitable software). We calculate the beta and alpha coefficients as well as the correlation coefficient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lang w:val="en-US"/>
              </w:rPr>
              <m:t>2</m:t>
            </m:r>
          </m:sup>
        </m:sSup>
      </m:oMath>
      <w:r w:rsidRPr="006E6995">
        <w:rPr>
          <w:rFonts w:eastAsiaTheme="minorEastAsia"/>
          <w:lang w:val="en-US"/>
        </w:rPr>
        <w:t xml:space="preserve"> which shows the effect that the index changes have on individual asset price (see Table 1 for results).</w:t>
      </w:r>
    </w:p>
    <w:p w:rsidR="00361FCE" w:rsidRDefault="00361FCE" w:rsidP="008935BA">
      <w:pPr>
        <w:pStyle w:val="a5"/>
        <w:spacing w:after="0" w:line="360" w:lineRule="auto"/>
        <w:rPr>
          <w:b/>
        </w:rPr>
      </w:pPr>
      <w:bookmarkStart w:id="2" w:name="_Toc309880056"/>
    </w:p>
    <w:p w:rsidR="00361FCE" w:rsidRPr="00CB710C" w:rsidRDefault="00024F14" w:rsidP="00202B09">
      <w:pPr>
        <w:pStyle w:val="a5"/>
        <w:spacing w:after="0" w:line="360" w:lineRule="auto"/>
        <w:ind w:left="0" w:firstLine="0"/>
        <w:jc w:val="center"/>
      </w:pPr>
      <w:r>
        <w:rPr>
          <w:b/>
        </w:rPr>
        <w:t>Table 1.</w:t>
      </w:r>
      <w:r w:rsidR="00361FCE">
        <w:rPr>
          <w:b/>
        </w:rPr>
        <w:t xml:space="preserve"> </w:t>
      </w:r>
      <w:r w:rsidR="00361FCE" w:rsidRPr="00CB710C">
        <w:t>Calculations of key coefficients for the Sharpe-Lintner CAPM</w:t>
      </w:r>
      <w:bookmarkEnd w:id="2"/>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2268"/>
        <w:gridCol w:w="2592"/>
        <w:gridCol w:w="2010"/>
      </w:tblGrid>
      <w:tr w:rsidR="00761CD2" w:rsidRPr="00024F14" w:rsidTr="00843CB6">
        <w:tc>
          <w:tcPr>
            <w:tcW w:w="1668" w:type="dxa"/>
          </w:tcPr>
          <w:p w:rsidR="00761CD2" w:rsidRPr="00024F14" w:rsidRDefault="00761CD2" w:rsidP="00843CB6">
            <w:pPr>
              <w:autoSpaceDE w:val="0"/>
              <w:autoSpaceDN w:val="0"/>
              <w:adjustRightInd w:val="0"/>
              <w:spacing w:line="240" w:lineRule="auto"/>
              <w:ind w:firstLine="0"/>
              <w:jc w:val="center"/>
              <w:rPr>
                <w:sz w:val="22"/>
                <w:lang w:val="en-US"/>
              </w:rPr>
            </w:pPr>
            <w:r w:rsidRPr="00024F14">
              <w:rPr>
                <w:sz w:val="22"/>
                <w:lang w:val="en-US"/>
              </w:rPr>
              <w:t>Ticker</w:t>
            </w:r>
          </w:p>
        </w:tc>
        <w:tc>
          <w:tcPr>
            <w:tcW w:w="2268" w:type="dxa"/>
          </w:tcPr>
          <w:p w:rsidR="00761CD2" w:rsidRPr="00024F14" w:rsidRDefault="00761CD2" w:rsidP="00843CB6">
            <w:pPr>
              <w:autoSpaceDE w:val="0"/>
              <w:autoSpaceDN w:val="0"/>
              <w:adjustRightInd w:val="0"/>
              <w:spacing w:line="240" w:lineRule="auto"/>
              <w:ind w:firstLine="0"/>
              <w:jc w:val="center"/>
              <w:rPr>
                <w:sz w:val="22"/>
                <w:lang w:val="en-US"/>
              </w:rPr>
            </w:pPr>
            <m:oMathPara>
              <m:oMath>
                <m:r>
                  <w:rPr>
                    <w:rFonts w:ascii="Cambria Math" w:hAnsi="Cambria Math"/>
                    <w:color w:val="000000"/>
                    <w:sz w:val="22"/>
                  </w:rPr>
                  <m:t>β</m:t>
                </m:r>
              </m:oMath>
            </m:oMathPara>
          </w:p>
        </w:tc>
        <w:tc>
          <w:tcPr>
            <w:tcW w:w="2592" w:type="dxa"/>
          </w:tcPr>
          <w:p w:rsidR="00761CD2" w:rsidRPr="00024F14" w:rsidRDefault="00761CD2" w:rsidP="00843CB6">
            <w:pPr>
              <w:autoSpaceDE w:val="0"/>
              <w:autoSpaceDN w:val="0"/>
              <w:adjustRightInd w:val="0"/>
              <w:spacing w:line="240" w:lineRule="auto"/>
              <w:ind w:firstLine="0"/>
              <w:jc w:val="center"/>
              <w:rPr>
                <w:sz w:val="22"/>
                <w:lang w:val="en-US"/>
              </w:rPr>
            </w:pPr>
            <m:oMathPara>
              <m:oMath>
                <m:r>
                  <w:rPr>
                    <w:rFonts w:ascii="Cambria Math" w:hAnsi="Cambria Math"/>
                    <w:color w:val="000000"/>
                    <w:sz w:val="22"/>
                  </w:rPr>
                  <m:t>α</m:t>
                </m:r>
              </m:oMath>
            </m:oMathPara>
          </w:p>
        </w:tc>
        <w:tc>
          <w:tcPr>
            <w:tcW w:w="2010" w:type="dxa"/>
          </w:tcPr>
          <w:p w:rsidR="00761CD2" w:rsidRPr="00024F14" w:rsidRDefault="00F71825" w:rsidP="00843CB6">
            <w:pPr>
              <w:autoSpaceDE w:val="0"/>
              <w:autoSpaceDN w:val="0"/>
              <w:adjustRightInd w:val="0"/>
              <w:spacing w:line="240" w:lineRule="auto"/>
              <w:ind w:firstLine="0"/>
              <w:jc w:val="center"/>
              <w:rPr>
                <w:color w:val="000000"/>
                <w:sz w:val="22"/>
                <w:vertAlign w:val="superscript"/>
                <w:lang w:val="en-US"/>
              </w:rPr>
            </w:pPr>
            <m:oMathPara>
              <m:oMath>
                <m:sSup>
                  <m:sSupPr>
                    <m:ctrlPr>
                      <w:rPr>
                        <w:rFonts w:ascii="Cambria Math" w:hAnsi="Cambria Math"/>
                        <w:i/>
                        <w:color w:val="000000"/>
                        <w:sz w:val="22"/>
                      </w:rPr>
                    </m:ctrlPr>
                  </m:sSupPr>
                  <m:e>
                    <m:r>
                      <w:rPr>
                        <w:rFonts w:ascii="Cambria Math" w:hAnsi="Cambria Math"/>
                        <w:color w:val="000000"/>
                        <w:sz w:val="22"/>
                      </w:rPr>
                      <m:t>r</m:t>
                    </m:r>
                  </m:e>
                  <m:sup>
                    <m:r>
                      <w:rPr>
                        <w:rFonts w:ascii="Cambria Math" w:hAnsi="Cambria Math"/>
                        <w:color w:val="000000"/>
                        <w:sz w:val="22"/>
                        <w:vertAlign w:val="superscript"/>
                        <w:lang w:val="en-US"/>
                      </w:rPr>
                      <m:t>2</m:t>
                    </m:r>
                  </m:sup>
                </m:sSup>
              </m:oMath>
            </m:oMathPara>
          </w:p>
        </w:tc>
      </w:tr>
      <w:tr w:rsidR="00761CD2" w:rsidRPr="00024F14" w:rsidTr="00843CB6">
        <w:tc>
          <w:tcPr>
            <w:tcW w:w="1668" w:type="dxa"/>
          </w:tcPr>
          <w:p w:rsidR="00761CD2" w:rsidRPr="00024F14" w:rsidRDefault="00761CD2" w:rsidP="00843CB6">
            <w:pPr>
              <w:spacing w:line="240" w:lineRule="auto"/>
              <w:ind w:firstLine="0"/>
              <w:jc w:val="center"/>
              <w:rPr>
                <w:sz w:val="22"/>
                <w:lang w:val="en-US"/>
              </w:rPr>
            </w:pPr>
            <w:r w:rsidRPr="00024F14">
              <w:rPr>
                <w:color w:val="000000"/>
                <w:sz w:val="22"/>
                <w:lang w:val="en-US"/>
              </w:rPr>
              <w:t>UNAF</w:t>
            </w:r>
          </w:p>
        </w:tc>
        <w:tc>
          <w:tcPr>
            <w:tcW w:w="2268" w:type="dxa"/>
          </w:tcPr>
          <w:p w:rsidR="00761CD2" w:rsidRPr="00024F14" w:rsidRDefault="00761CD2" w:rsidP="00843CB6">
            <w:pPr>
              <w:spacing w:line="240" w:lineRule="auto"/>
              <w:ind w:firstLine="0"/>
              <w:jc w:val="center"/>
              <w:rPr>
                <w:sz w:val="22"/>
                <w:lang w:val="en-US"/>
              </w:rPr>
            </w:pPr>
            <w:r w:rsidRPr="00024F14">
              <w:rPr>
                <w:color w:val="000000"/>
                <w:sz w:val="22"/>
                <w:lang w:val="en-US"/>
              </w:rPr>
              <w:t>0.917214</w:t>
            </w:r>
          </w:p>
        </w:tc>
        <w:tc>
          <w:tcPr>
            <w:tcW w:w="2592" w:type="dxa"/>
          </w:tcPr>
          <w:p w:rsidR="00761CD2" w:rsidRPr="00024F14" w:rsidRDefault="00761CD2" w:rsidP="00843CB6">
            <w:pPr>
              <w:spacing w:line="240" w:lineRule="auto"/>
              <w:ind w:firstLine="0"/>
              <w:jc w:val="center"/>
              <w:rPr>
                <w:sz w:val="22"/>
                <w:lang w:val="en-US"/>
              </w:rPr>
            </w:pPr>
            <w:r w:rsidRPr="00024F14">
              <w:rPr>
                <w:color w:val="000000"/>
                <w:sz w:val="22"/>
                <w:lang w:val="en-US"/>
              </w:rPr>
              <w:t>0.004236498</w:t>
            </w:r>
          </w:p>
        </w:tc>
        <w:tc>
          <w:tcPr>
            <w:tcW w:w="2010" w:type="dxa"/>
          </w:tcPr>
          <w:p w:rsidR="00761CD2" w:rsidRPr="00024F14" w:rsidRDefault="00761CD2" w:rsidP="00843CB6">
            <w:pPr>
              <w:spacing w:line="240" w:lineRule="auto"/>
              <w:ind w:firstLine="0"/>
              <w:jc w:val="center"/>
              <w:rPr>
                <w:color w:val="000000"/>
                <w:sz w:val="22"/>
                <w:lang w:val="en-US"/>
              </w:rPr>
            </w:pPr>
            <w:r w:rsidRPr="00024F14">
              <w:rPr>
                <w:color w:val="000000"/>
                <w:sz w:val="22"/>
                <w:lang w:val="en-US"/>
              </w:rPr>
              <w:t>0.416796827</w:t>
            </w:r>
          </w:p>
        </w:tc>
      </w:tr>
      <w:tr w:rsidR="00761CD2" w:rsidRPr="00024F14" w:rsidTr="00843CB6">
        <w:tc>
          <w:tcPr>
            <w:tcW w:w="1668" w:type="dxa"/>
          </w:tcPr>
          <w:p w:rsidR="00761CD2" w:rsidRPr="00024F14" w:rsidRDefault="00761CD2" w:rsidP="00843CB6">
            <w:pPr>
              <w:spacing w:line="240" w:lineRule="auto"/>
              <w:ind w:firstLine="0"/>
              <w:jc w:val="center"/>
              <w:rPr>
                <w:sz w:val="22"/>
                <w:lang w:val="en-US"/>
              </w:rPr>
            </w:pPr>
            <w:r w:rsidRPr="00024F14">
              <w:rPr>
                <w:color w:val="000000"/>
                <w:sz w:val="22"/>
                <w:lang w:val="en-US"/>
              </w:rPr>
              <w:t>ALMK</w:t>
            </w:r>
          </w:p>
        </w:tc>
        <w:tc>
          <w:tcPr>
            <w:tcW w:w="2268" w:type="dxa"/>
          </w:tcPr>
          <w:p w:rsidR="00761CD2" w:rsidRPr="00024F14" w:rsidRDefault="00761CD2" w:rsidP="00843CB6">
            <w:pPr>
              <w:spacing w:line="240" w:lineRule="auto"/>
              <w:ind w:firstLine="0"/>
              <w:jc w:val="center"/>
              <w:rPr>
                <w:sz w:val="22"/>
                <w:lang w:val="en-US"/>
              </w:rPr>
            </w:pPr>
            <w:r w:rsidRPr="00024F14">
              <w:rPr>
                <w:color w:val="000000"/>
                <w:sz w:val="22"/>
                <w:lang w:val="en-US"/>
              </w:rPr>
              <w:t>1.326354</w:t>
            </w:r>
          </w:p>
        </w:tc>
        <w:tc>
          <w:tcPr>
            <w:tcW w:w="2592" w:type="dxa"/>
          </w:tcPr>
          <w:p w:rsidR="00761CD2" w:rsidRPr="00024F14" w:rsidRDefault="00761CD2" w:rsidP="00843CB6">
            <w:pPr>
              <w:spacing w:line="240" w:lineRule="auto"/>
              <w:ind w:firstLine="0"/>
              <w:jc w:val="center"/>
              <w:rPr>
                <w:sz w:val="22"/>
                <w:lang w:val="en-US"/>
              </w:rPr>
            </w:pPr>
            <w:r w:rsidRPr="00024F14">
              <w:rPr>
                <w:color w:val="000000"/>
                <w:sz w:val="22"/>
                <w:lang w:val="en-US"/>
              </w:rPr>
              <w:t>-0.000515394</w:t>
            </w:r>
          </w:p>
        </w:tc>
        <w:tc>
          <w:tcPr>
            <w:tcW w:w="2010" w:type="dxa"/>
          </w:tcPr>
          <w:p w:rsidR="00761CD2" w:rsidRPr="00024F14" w:rsidRDefault="00761CD2" w:rsidP="00843CB6">
            <w:pPr>
              <w:spacing w:line="240" w:lineRule="auto"/>
              <w:ind w:firstLine="0"/>
              <w:jc w:val="center"/>
              <w:rPr>
                <w:color w:val="000000"/>
                <w:sz w:val="22"/>
                <w:lang w:val="en-US"/>
              </w:rPr>
            </w:pPr>
            <w:r w:rsidRPr="00024F14">
              <w:rPr>
                <w:color w:val="000000"/>
                <w:sz w:val="22"/>
                <w:lang w:val="en-US"/>
              </w:rPr>
              <w:t>0.654051186</w:t>
            </w:r>
          </w:p>
        </w:tc>
      </w:tr>
      <w:tr w:rsidR="00761CD2" w:rsidRPr="006E6995" w:rsidTr="00843CB6">
        <w:tc>
          <w:tcPr>
            <w:tcW w:w="1668" w:type="dxa"/>
          </w:tcPr>
          <w:p w:rsidR="00761CD2" w:rsidRPr="00024F14" w:rsidRDefault="00761CD2" w:rsidP="00843CB6">
            <w:pPr>
              <w:spacing w:line="240" w:lineRule="auto"/>
              <w:ind w:firstLine="0"/>
              <w:jc w:val="center"/>
              <w:rPr>
                <w:sz w:val="22"/>
                <w:lang w:val="en-US"/>
              </w:rPr>
            </w:pPr>
            <w:r w:rsidRPr="00024F14">
              <w:rPr>
                <w:color w:val="000000"/>
                <w:sz w:val="22"/>
                <w:lang w:val="en-US"/>
              </w:rPr>
              <w:t>AZST</w:t>
            </w:r>
          </w:p>
        </w:tc>
        <w:tc>
          <w:tcPr>
            <w:tcW w:w="2268" w:type="dxa"/>
          </w:tcPr>
          <w:p w:rsidR="00761CD2" w:rsidRPr="00024F14" w:rsidRDefault="00761CD2" w:rsidP="00843CB6">
            <w:pPr>
              <w:spacing w:line="240" w:lineRule="auto"/>
              <w:ind w:firstLine="0"/>
              <w:jc w:val="center"/>
              <w:rPr>
                <w:sz w:val="22"/>
                <w:lang w:val="en-US"/>
              </w:rPr>
            </w:pPr>
            <w:r w:rsidRPr="00024F14">
              <w:rPr>
                <w:color w:val="000000"/>
                <w:sz w:val="22"/>
                <w:lang w:val="en-US"/>
              </w:rPr>
              <w:t>1.128370</w:t>
            </w:r>
          </w:p>
        </w:tc>
        <w:tc>
          <w:tcPr>
            <w:tcW w:w="2592" w:type="dxa"/>
          </w:tcPr>
          <w:p w:rsidR="00761CD2" w:rsidRPr="00024F14" w:rsidRDefault="00761CD2" w:rsidP="00843CB6">
            <w:pPr>
              <w:spacing w:line="240" w:lineRule="auto"/>
              <w:ind w:firstLine="0"/>
              <w:jc w:val="center"/>
              <w:rPr>
                <w:sz w:val="22"/>
                <w:lang w:val="en-US"/>
              </w:rPr>
            </w:pPr>
            <w:r w:rsidRPr="00024F14">
              <w:rPr>
                <w:color w:val="000000"/>
                <w:sz w:val="22"/>
                <w:lang w:val="en-US"/>
              </w:rPr>
              <w:t>-0.001020756</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0.739726594</w:t>
            </w:r>
          </w:p>
        </w:tc>
      </w:tr>
      <w:tr w:rsidR="00761CD2" w:rsidRPr="006E6995" w:rsidTr="00843CB6">
        <w:tc>
          <w:tcPr>
            <w:tcW w:w="1668" w:type="dxa"/>
          </w:tcPr>
          <w:p w:rsidR="00761CD2" w:rsidRPr="006E6995" w:rsidRDefault="00761CD2" w:rsidP="00843CB6">
            <w:pPr>
              <w:spacing w:line="240" w:lineRule="auto"/>
              <w:ind w:firstLine="0"/>
              <w:jc w:val="center"/>
              <w:rPr>
                <w:sz w:val="22"/>
              </w:rPr>
            </w:pPr>
            <w:r w:rsidRPr="006E6995">
              <w:rPr>
                <w:color w:val="000000"/>
                <w:sz w:val="22"/>
              </w:rPr>
              <w:t>USCB</w:t>
            </w:r>
          </w:p>
        </w:tc>
        <w:tc>
          <w:tcPr>
            <w:tcW w:w="2268" w:type="dxa"/>
          </w:tcPr>
          <w:p w:rsidR="00761CD2" w:rsidRPr="006E6995" w:rsidRDefault="00761CD2" w:rsidP="00843CB6">
            <w:pPr>
              <w:spacing w:line="240" w:lineRule="auto"/>
              <w:ind w:firstLine="0"/>
              <w:jc w:val="center"/>
              <w:rPr>
                <w:sz w:val="22"/>
              </w:rPr>
            </w:pPr>
            <w:r w:rsidRPr="006E6995">
              <w:rPr>
                <w:color w:val="000000"/>
                <w:sz w:val="22"/>
              </w:rPr>
              <w:t>1.091229</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-0.003079292</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0.728679837</w:t>
            </w:r>
          </w:p>
        </w:tc>
      </w:tr>
      <w:tr w:rsidR="00761CD2" w:rsidRPr="006E6995" w:rsidTr="00843CB6">
        <w:tc>
          <w:tcPr>
            <w:tcW w:w="1668" w:type="dxa"/>
          </w:tcPr>
          <w:p w:rsidR="00761CD2" w:rsidRPr="006E6995" w:rsidRDefault="00761CD2" w:rsidP="00843CB6">
            <w:pPr>
              <w:spacing w:line="240" w:lineRule="auto"/>
              <w:ind w:firstLine="0"/>
              <w:jc w:val="center"/>
              <w:rPr>
                <w:sz w:val="22"/>
              </w:rPr>
            </w:pPr>
            <w:r w:rsidRPr="006E6995">
              <w:rPr>
                <w:color w:val="000000"/>
                <w:sz w:val="22"/>
              </w:rPr>
              <w:t>CEEN</w:t>
            </w:r>
          </w:p>
        </w:tc>
        <w:tc>
          <w:tcPr>
            <w:tcW w:w="2268" w:type="dxa"/>
          </w:tcPr>
          <w:p w:rsidR="00761CD2" w:rsidRPr="006E6995" w:rsidRDefault="00761CD2" w:rsidP="00843CB6">
            <w:pPr>
              <w:spacing w:line="240" w:lineRule="auto"/>
              <w:ind w:firstLine="0"/>
              <w:jc w:val="center"/>
              <w:rPr>
                <w:sz w:val="22"/>
              </w:rPr>
            </w:pPr>
            <w:r w:rsidRPr="006E6995">
              <w:rPr>
                <w:color w:val="000000"/>
                <w:sz w:val="22"/>
              </w:rPr>
              <w:t>1.173370</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-0.000569984</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0.773245986</w:t>
            </w:r>
          </w:p>
        </w:tc>
      </w:tr>
      <w:tr w:rsidR="00761CD2" w:rsidRPr="006E6995" w:rsidTr="00843CB6">
        <w:tc>
          <w:tcPr>
            <w:tcW w:w="1668" w:type="dxa"/>
          </w:tcPr>
          <w:p w:rsidR="00761CD2" w:rsidRPr="006E6995" w:rsidRDefault="00761CD2" w:rsidP="00843CB6">
            <w:pPr>
              <w:spacing w:line="240" w:lineRule="auto"/>
              <w:ind w:firstLine="0"/>
              <w:jc w:val="center"/>
              <w:rPr>
                <w:sz w:val="22"/>
              </w:rPr>
            </w:pPr>
            <w:r w:rsidRPr="006E6995">
              <w:rPr>
                <w:color w:val="000000"/>
                <w:sz w:val="22"/>
              </w:rPr>
              <w:t>MSICH</w:t>
            </w:r>
          </w:p>
        </w:tc>
        <w:tc>
          <w:tcPr>
            <w:tcW w:w="2268" w:type="dxa"/>
          </w:tcPr>
          <w:p w:rsidR="00761CD2" w:rsidRPr="006E6995" w:rsidRDefault="00761CD2" w:rsidP="00843CB6">
            <w:pPr>
              <w:spacing w:line="240" w:lineRule="auto"/>
              <w:ind w:firstLine="0"/>
              <w:jc w:val="center"/>
              <w:rPr>
                <w:sz w:val="22"/>
              </w:rPr>
            </w:pPr>
            <w:r w:rsidRPr="006E6995">
              <w:rPr>
                <w:color w:val="000000"/>
                <w:sz w:val="22"/>
              </w:rPr>
              <w:t>1.086889</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0.001890782</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0.649284724</w:t>
            </w:r>
          </w:p>
        </w:tc>
      </w:tr>
      <w:tr w:rsidR="00761CD2" w:rsidRPr="006E6995" w:rsidTr="00843CB6">
        <w:trPr>
          <w:trHeight w:val="267"/>
        </w:trPr>
        <w:tc>
          <w:tcPr>
            <w:tcW w:w="1668" w:type="dxa"/>
          </w:tcPr>
          <w:p w:rsidR="00761CD2" w:rsidRPr="006E6995" w:rsidRDefault="00761CD2" w:rsidP="00843CB6">
            <w:pPr>
              <w:spacing w:line="240" w:lineRule="auto"/>
              <w:ind w:firstLine="0"/>
              <w:jc w:val="center"/>
              <w:rPr>
                <w:sz w:val="22"/>
              </w:rPr>
            </w:pPr>
            <w:r w:rsidRPr="006E6995">
              <w:rPr>
                <w:color w:val="000000"/>
                <w:sz w:val="22"/>
              </w:rPr>
              <w:t>ZAEN</w:t>
            </w:r>
          </w:p>
        </w:tc>
        <w:tc>
          <w:tcPr>
            <w:tcW w:w="2268" w:type="dxa"/>
          </w:tcPr>
          <w:p w:rsidR="00761CD2" w:rsidRPr="006E6995" w:rsidRDefault="00761CD2" w:rsidP="00843CB6">
            <w:pPr>
              <w:spacing w:line="240" w:lineRule="auto"/>
              <w:ind w:firstLine="0"/>
              <w:jc w:val="center"/>
              <w:rPr>
                <w:sz w:val="22"/>
              </w:rPr>
            </w:pPr>
            <w:r w:rsidRPr="006E6995">
              <w:rPr>
                <w:color w:val="000000"/>
                <w:sz w:val="22"/>
              </w:rPr>
              <w:t>0.644549</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-0.001946537</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0.102762754</w:t>
            </w:r>
          </w:p>
        </w:tc>
      </w:tr>
      <w:tr w:rsidR="00761CD2" w:rsidRPr="006E6995" w:rsidTr="00843CB6">
        <w:tc>
          <w:tcPr>
            <w:tcW w:w="1668" w:type="dxa"/>
          </w:tcPr>
          <w:p w:rsidR="00761CD2" w:rsidRPr="006E6995" w:rsidRDefault="00761CD2" w:rsidP="00843CB6">
            <w:pPr>
              <w:spacing w:line="240" w:lineRule="auto"/>
              <w:ind w:firstLine="0"/>
              <w:jc w:val="center"/>
              <w:rPr>
                <w:color w:val="000000"/>
                <w:sz w:val="22"/>
              </w:rPr>
            </w:pPr>
            <w:r w:rsidRPr="006E6995">
              <w:rPr>
                <w:color w:val="000000"/>
                <w:sz w:val="22"/>
              </w:rPr>
              <w:t>ENMZ</w:t>
            </w:r>
          </w:p>
        </w:tc>
        <w:tc>
          <w:tcPr>
            <w:tcW w:w="2268" w:type="dxa"/>
          </w:tcPr>
          <w:p w:rsidR="00761CD2" w:rsidRPr="006E6995" w:rsidRDefault="00761CD2" w:rsidP="00843CB6">
            <w:pPr>
              <w:spacing w:line="240" w:lineRule="auto"/>
              <w:ind w:firstLine="0"/>
              <w:jc w:val="center"/>
              <w:rPr>
                <w:sz w:val="22"/>
              </w:rPr>
            </w:pPr>
            <w:r w:rsidRPr="006E6995">
              <w:rPr>
                <w:color w:val="000000"/>
                <w:sz w:val="22"/>
              </w:rPr>
              <w:t>1.280685</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-0.005131061</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0.701678608</w:t>
            </w:r>
          </w:p>
        </w:tc>
      </w:tr>
      <w:tr w:rsidR="00761CD2" w:rsidRPr="006E6995" w:rsidTr="00843CB6">
        <w:tc>
          <w:tcPr>
            <w:tcW w:w="1668" w:type="dxa"/>
          </w:tcPr>
          <w:p w:rsidR="00761CD2" w:rsidRPr="006E6995" w:rsidRDefault="00761CD2" w:rsidP="00843CB6">
            <w:pPr>
              <w:spacing w:line="240" w:lineRule="auto"/>
              <w:ind w:firstLine="0"/>
              <w:jc w:val="center"/>
              <w:rPr>
                <w:color w:val="000000"/>
                <w:sz w:val="22"/>
              </w:rPr>
            </w:pPr>
            <w:r w:rsidRPr="006E6995">
              <w:rPr>
                <w:color w:val="000000"/>
                <w:sz w:val="22"/>
              </w:rPr>
              <w:t>UTLM</w:t>
            </w:r>
          </w:p>
        </w:tc>
        <w:tc>
          <w:tcPr>
            <w:tcW w:w="2268" w:type="dxa"/>
          </w:tcPr>
          <w:p w:rsidR="00761CD2" w:rsidRPr="006E6995" w:rsidRDefault="00761CD2" w:rsidP="00843CB6">
            <w:pPr>
              <w:spacing w:line="240" w:lineRule="auto"/>
              <w:ind w:firstLine="0"/>
              <w:jc w:val="center"/>
              <w:rPr>
                <w:sz w:val="22"/>
              </w:rPr>
            </w:pPr>
            <w:r w:rsidRPr="006E6995">
              <w:rPr>
                <w:color w:val="000000"/>
                <w:sz w:val="22"/>
              </w:rPr>
              <w:t>0.677543</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-0.000469414</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0.372905744</w:t>
            </w:r>
          </w:p>
        </w:tc>
      </w:tr>
      <w:tr w:rsidR="00761CD2" w:rsidRPr="006E6995" w:rsidTr="00843CB6">
        <w:tc>
          <w:tcPr>
            <w:tcW w:w="1668" w:type="dxa"/>
          </w:tcPr>
          <w:p w:rsidR="00761CD2" w:rsidRPr="006E6995" w:rsidRDefault="00761CD2" w:rsidP="00843CB6">
            <w:pPr>
              <w:spacing w:line="240" w:lineRule="auto"/>
              <w:ind w:firstLine="0"/>
              <w:jc w:val="center"/>
              <w:rPr>
                <w:color w:val="000000"/>
                <w:sz w:val="22"/>
              </w:rPr>
            </w:pPr>
            <w:r w:rsidRPr="006E6995">
              <w:rPr>
                <w:color w:val="000000"/>
                <w:sz w:val="22"/>
              </w:rPr>
              <w:t>BAVL</w:t>
            </w:r>
          </w:p>
        </w:tc>
        <w:tc>
          <w:tcPr>
            <w:tcW w:w="2268" w:type="dxa"/>
          </w:tcPr>
          <w:p w:rsidR="00761CD2" w:rsidRPr="006E6995" w:rsidRDefault="00761CD2" w:rsidP="00843CB6">
            <w:pPr>
              <w:spacing w:line="240" w:lineRule="auto"/>
              <w:ind w:firstLine="0"/>
              <w:jc w:val="center"/>
              <w:rPr>
                <w:sz w:val="22"/>
              </w:rPr>
            </w:pPr>
            <w:r w:rsidRPr="006E6995">
              <w:rPr>
                <w:color w:val="000000"/>
                <w:sz w:val="22"/>
              </w:rPr>
              <w:t>0.888155</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-0.004278997</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0.672999386</w:t>
            </w:r>
          </w:p>
        </w:tc>
      </w:tr>
      <w:tr w:rsidR="00761CD2" w:rsidRPr="006E6995" w:rsidTr="00843CB6">
        <w:tc>
          <w:tcPr>
            <w:tcW w:w="1668" w:type="dxa"/>
          </w:tcPr>
          <w:p w:rsidR="00761CD2" w:rsidRPr="006E6995" w:rsidRDefault="00761CD2" w:rsidP="00843CB6">
            <w:pPr>
              <w:spacing w:line="240" w:lineRule="auto"/>
              <w:ind w:firstLine="0"/>
              <w:jc w:val="center"/>
              <w:rPr>
                <w:color w:val="000000"/>
                <w:sz w:val="22"/>
              </w:rPr>
            </w:pPr>
            <w:r w:rsidRPr="006E6995">
              <w:rPr>
                <w:color w:val="000000"/>
                <w:sz w:val="22"/>
              </w:rPr>
              <w:t>KVBZ</w:t>
            </w:r>
          </w:p>
        </w:tc>
        <w:tc>
          <w:tcPr>
            <w:tcW w:w="2268" w:type="dxa"/>
          </w:tcPr>
          <w:p w:rsidR="00761CD2" w:rsidRPr="006E6995" w:rsidRDefault="00761CD2" w:rsidP="00843CB6">
            <w:pPr>
              <w:spacing w:line="240" w:lineRule="auto"/>
              <w:ind w:firstLine="0"/>
              <w:jc w:val="center"/>
              <w:rPr>
                <w:sz w:val="22"/>
              </w:rPr>
            </w:pPr>
            <w:r w:rsidRPr="006E6995">
              <w:rPr>
                <w:color w:val="000000"/>
                <w:sz w:val="22"/>
              </w:rPr>
              <w:t>0.746757</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0.000383798</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0.409037268</w:t>
            </w:r>
          </w:p>
        </w:tc>
      </w:tr>
      <w:tr w:rsidR="00761CD2" w:rsidRPr="006E6995" w:rsidTr="00843CB6">
        <w:tc>
          <w:tcPr>
            <w:tcW w:w="1668" w:type="dxa"/>
          </w:tcPr>
          <w:p w:rsidR="00761CD2" w:rsidRPr="006E6995" w:rsidRDefault="00761CD2" w:rsidP="00843CB6">
            <w:pPr>
              <w:spacing w:line="240" w:lineRule="auto"/>
              <w:ind w:firstLine="0"/>
              <w:jc w:val="center"/>
              <w:rPr>
                <w:color w:val="000000"/>
                <w:sz w:val="22"/>
              </w:rPr>
            </w:pPr>
            <w:r w:rsidRPr="006E6995">
              <w:rPr>
                <w:color w:val="000000"/>
                <w:sz w:val="22"/>
              </w:rPr>
              <w:t>AVDK</w:t>
            </w:r>
          </w:p>
        </w:tc>
        <w:tc>
          <w:tcPr>
            <w:tcW w:w="2268" w:type="dxa"/>
          </w:tcPr>
          <w:p w:rsidR="00761CD2" w:rsidRPr="006E6995" w:rsidRDefault="00761CD2" w:rsidP="00843CB6">
            <w:pPr>
              <w:spacing w:line="240" w:lineRule="auto"/>
              <w:ind w:firstLine="0"/>
              <w:jc w:val="center"/>
              <w:rPr>
                <w:sz w:val="22"/>
              </w:rPr>
            </w:pPr>
            <w:r w:rsidRPr="006E6995">
              <w:rPr>
                <w:color w:val="000000"/>
                <w:sz w:val="22"/>
              </w:rPr>
              <w:t>1.004394</w:t>
            </w:r>
          </w:p>
        </w:tc>
        <w:tc>
          <w:tcPr>
            <w:tcW w:w="2592" w:type="dxa"/>
          </w:tcPr>
          <w:p w:rsidR="00761CD2" w:rsidRPr="006E6995" w:rsidRDefault="00761CD2" w:rsidP="00843CB6">
            <w:pPr>
              <w:spacing w:line="240" w:lineRule="auto"/>
              <w:ind w:firstLine="0"/>
              <w:jc w:val="center"/>
              <w:rPr>
                <w:sz w:val="22"/>
              </w:rPr>
            </w:pPr>
            <w:r w:rsidRPr="006E6995">
              <w:rPr>
                <w:color w:val="000000"/>
                <w:sz w:val="22"/>
              </w:rPr>
              <w:t>-0.002013120</w:t>
            </w:r>
          </w:p>
        </w:tc>
        <w:tc>
          <w:tcPr>
            <w:tcW w:w="2010" w:type="dxa"/>
          </w:tcPr>
          <w:p w:rsidR="00761CD2" w:rsidRPr="006E6995" w:rsidRDefault="00761CD2" w:rsidP="00843CB6">
            <w:pPr>
              <w:spacing w:line="240" w:lineRule="auto"/>
              <w:ind w:firstLine="0"/>
              <w:jc w:val="center"/>
              <w:rPr>
                <w:color w:val="000000"/>
                <w:sz w:val="22"/>
              </w:rPr>
            </w:pPr>
            <w:r w:rsidRPr="006E6995">
              <w:rPr>
                <w:color w:val="000000"/>
                <w:sz w:val="22"/>
              </w:rPr>
              <w:t>0.603073724</w:t>
            </w:r>
          </w:p>
        </w:tc>
      </w:tr>
    </w:tbl>
    <w:p w:rsidR="00761CD2" w:rsidRPr="00761CD2" w:rsidRDefault="00761CD2" w:rsidP="006E6995">
      <w:pPr>
        <w:rPr>
          <w:rFonts w:eastAsiaTheme="minorEastAsia"/>
          <w:lang w:val="en-GB"/>
        </w:rPr>
      </w:pPr>
    </w:p>
    <w:p w:rsidR="006E6995" w:rsidRPr="006E6995" w:rsidRDefault="006E6995" w:rsidP="006E6995">
      <w:pPr>
        <w:rPr>
          <w:rFonts w:eastAsiaTheme="minorEastAsia"/>
          <w:lang w:val="en-US"/>
        </w:rPr>
      </w:pPr>
      <w:r w:rsidRPr="006E6995">
        <w:rPr>
          <w:lang w:val="en-US"/>
        </w:rPr>
        <w:t xml:space="preserve">We see that </w:t>
      </w:r>
      <m:oMath>
        <m:r>
          <w:rPr>
            <w:rFonts w:ascii="Cambria Math" w:hAnsi="Cambria Math"/>
          </w:rPr>
          <m:t>α</m:t>
        </m:r>
      </m:oMath>
      <w:r w:rsidRPr="006E6995">
        <w:rPr>
          <w:rFonts w:eastAsiaTheme="minorEastAsia"/>
          <w:lang w:val="en-US"/>
        </w:rPr>
        <w:t xml:space="preserve"> (which is, in essence,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lang w:val="en-US"/>
              </w:rPr>
              <m:t>0</m:t>
            </m:r>
          </m:sub>
        </m:sSub>
      </m:oMath>
      <w:r w:rsidRPr="006E6995">
        <w:rPr>
          <w:rFonts w:eastAsiaTheme="minorEastAsia"/>
          <w:lang w:val="en-US"/>
        </w:rPr>
        <w:t>), does not equal to zero for any of the assets despite coming rather close to it. This shows that the classic beta coefficient cannot be used to describe the expected yields on the Ukrainian stock market precisely enough because there are other significant risk factors. Also it should be noted that the correlation coefficient for all assets is high which indicate high dependence of asset prices on the UX index.</w:t>
      </w:r>
    </w:p>
    <w:p w:rsidR="006E6995" w:rsidRPr="006E6995" w:rsidRDefault="006E6995" w:rsidP="006E6995">
      <w:pPr>
        <w:rPr>
          <w:rFonts w:eastAsiaTheme="minorEastAsia"/>
          <w:lang w:val="en-US"/>
        </w:rPr>
      </w:pPr>
      <w:r w:rsidRPr="006E6995">
        <w:rPr>
          <w:rFonts w:eastAsiaTheme="minorEastAsia"/>
          <w:lang w:val="en-US"/>
        </w:rPr>
        <w:t xml:space="preserve">At the beginning of this section we made assumptions that asset liquidity, distribution asymmetry and kurtosis have some influence on the risk and returns calculations. Now that it has been determined that for the Ukrainian market some </w:t>
      </w:r>
      <w:r w:rsidRPr="006E6995">
        <w:rPr>
          <w:rFonts w:eastAsiaTheme="minorEastAsia"/>
          <w:lang w:val="en-US"/>
        </w:rPr>
        <w:lastRenderedPageBreak/>
        <w:t>additional variables indeed need to be taken into account for those calculations, we shall examine them in greater detail to determine the scale of their impact.</w:t>
      </w:r>
    </w:p>
    <w:p w:rsidR="006E6995" w:rsidRPr="006E6995" w:rsidRDefault="006E6995" w:rsidP="006E6995">
      <w:pPr>
        <w:rPr>
          <w:rFonts w:eastAsiaTheme="minorEastAsia"/>
          <w:lang w:val="en-US"/>
        </w:rPr>
      </w:pPr>
      <w:r w:rsidRPr="006E6995">
        <w:rPr>
          <w:rFonts w:eastAsiaTheme="minorEastAsia"/>
          <w:lang w:val="en-US"/>
        </w:rPr>
        <w:t>To calculate liquidity we choose the method that uses the relative spread (</w:t>
      </w:r>
      <w:r w:rsidRPr="006E6995">
        <w:rPr>
          <w:rFonts w:eastAsiaTheme="minorEastAsia"/>
          <w:i/>
          <w:lang w:val="en-US"/>
        </w:rPr>
        <w:t>RS</w:t>
      </w:r>
      <w:r w:rsidRPr="006E6995">
        <w:rPr>
          <w:rFonts w:eastAsiaTheme="minorEastAsia"/>
          <w:lang w:val="en-US"/>
        </w:rPr>
        <w:t>) of average ask and bid prices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vertAlign w:val="subscript"/>
              </w:rPr>
              <m:t>ask</m:t>
            </m:r>
          </m:sub>
        </m:sSub>
      </m:oMath>
      <w:r w:rsidRPr="006E6995">
        <w:rPr>
          <w:rFonts w:eastAsiaTheme="minorEastAsia"/>
          <w:lang w:val="en-US"/>
        </w:rPr>
        <w:t xml:space="preserve"> and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vertAlign w:val="subscript"/>
              </w:rPr>
              <m:t>bid</m:t>
            </m:r>
          </m:sub>
        </m:sSub>
      </m:oMath>
      <w:r w:rsidRPr="006E6995">
        <w:rPr>
          <w:rFonts w:eastAsiaTheme="minorEastAsia"/>
          <w:lang w:val="en-US"/>
        </w:rPr>
        <w:t>) on each asset over the period of time for which beta has been calculated</w:t>
      </w:r>
      <w:r w:rsidR="00761CD2">
        <w:rPr>
          <w:rFonts w:eastAsiaTheme="minorEastAsia"/>
          <w:lang w:val="en-US"/>
        </w:rPr>
        <w:t> [16]</w:t>
      </w:r>
      <w:r w:rsidRPr="006E6995">
        <w:rPr>
          <w:rFonts w:eastAsiaTheme="minorEastAsia"/>
          <w:lang w:val="en-US"/>
        </w:rPr>
        <w:t>:</w:t>
      </w:r>
    </w:p>
    <w:p w:rsidR="006E6995" w:rsidRPr="006E6995" w:rsidRDefault="006E6995" w:rsidP="006E6995">
      <w:pPr>
        <w:tabs>
          <w:tab w:val="left" w:pos="3686"/>
          <w:tab w:val="right" w:pos="9072"/>
        </w:tabs>
        <w:ind w:firstLine="708"/>
        <w:rPr>
          <w:rFonts w:eastAsiaTheme="minorEastAsia"/>
          <w:lang w:val="en-US"/>
        </w:rPr>
      </w:pPr>
      <w:r w:rsidRPr="006E6995">
        <w:rPr>
          <w:rFonts w:eastAsiaTheme="minorEastAsia"/>
          <w:lang w:val="en-US"/>
        </w:rPr>
        <w:tab/>
      </w:r>
      <m:oMath>
        <m:r>
          <w:rPr>
            <w:rFonts w:ascii="Cambria Math" w:eastAsiaTheme="minorEastAsia" w:hAnsi="Cambria Math"/>
          </w:rPr>
          <m:t>RS</m:t>
        </m:r>
        <m:r>
          <w:rPr>
            <w:rFonts w:ascii="Cambria Math" w:eastAsiaTheme="minorEastAsia" w:hAnsi="Cambria Math"/>
            <w:lang w:val="en-US"/>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ask</m:t>
                </m:r>
              </m:sub>
            </m:sSub>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bid</m:t>
                </m:r>
              </m:sub>
            </m:sSub>
          </m:num>
          <m:den>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ask</m:t>
                    </m:r>
                  </m:sub>
                </m:sSub>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bid</m:t>
                    </m:r>
                  </m:sub>
                </m:sSub>
              </m:num>
              <m:den>
                <m:r>
                  <w:rPr>
                    <w:rFonts w:ascii="Cambria Math" w:eastAsiaTheme="minorEastAsia" w:hAnsi="Cambria Math"/>
                    <w:lang w:val="en-US"/>
                  </w:rPr>
                  <m:t>2</m:t>
                </m:r>
              </m:den>
            </m:f>
          </m:den>
        </m:f>
      </m:oMath>
      <w:r w:rsidRPr="006E6995">
        <w:rPr>
          <w:rFonts w:eastAsiaTheme="minorEastAsia"/>
          <w:lang w:val="en-US"/>
        </w:rPr>
        <w:tab/>
        <w:t>(3)</w:t>
      </w:r>
    </w:p>
    <w:p w:rsidR="006E6995" w:rsidRDefault="006E6995" w:rsidP="006E6995">
      <w:pPr>
        <w:rPr>
          <w:lang w:val="en-US"/>
        </w:rPr>
      </w:pPr>
      <w:r w:rsidRPr="006E6995">
        <w:rPr>
          <w:lang w:val="en-US"/>
        </w:rPr>
        <w:t>The results, presented in Table 2, clearly show that the Ukrainian stock market is characterized by low liquidity. Even for the assets that form the UX index and constitute 90% of its capitalization this value is very low. The impact of this on risk and, therefore, yields estimation has already been described in Section 2. What is more important, however, is that this means that the Ukrainian stock market does not meet one of the core requirements of the CAPM, as one of its assumptions is that the assets are absolutely liquid.</w:t>
      </w:r>
    </w:p>
    <w:p w:rsidR="00024F14" w:rsidRPr="00024F14" w:rsidRDefault="00024F14" w:rsidP="006E6995">
      <w:pPr>
        <w:rPr>
          <w:sz w:val="18"/>
          <w:szCs w:val="18"/>
          <w:lang w:val="en-US"/>
        </w:rPr>
      </w:pPr>
    </w:p>
    <w:p w:rsidR="00024F14" w:rsidRPr="00CB710C" w:rsidRDefault="00024F14" w:rsidP="00024F14">
      <w:pPr>
        <w:pStyle w:val="a5"/>
        <w:jc w:val="center"/>
      </w:pPr>
      <w:bookmarkStart w:id="3" w:name="_Toc309880057"/>
      <w:r>
        <w:rPr>
          <w:b/>
        </w:rPr>
        <w:t xml:space="preserve">Table 2. </w:t>
      </w:r>
      <w:r w:rsidRPr="00CB710C">
        <w:t>Liquidity coefficients of assets included in the UX index</w:t>
      </w:r>
      <w:bookmarkEnd w:id="3"/>
    </w:p>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3"/>
        <w:gridCol w:w="1843"/>
      </w:tblGrid>
      <w:tr w:rsidR="006E6995" w:rsidRPr="006E6995" w:rsidTr="00843CB6">
        <w:tc>
          <w:tcPr>
            <w:tcW w:w="1133" w:type="dxa"/>
            <w:vAlign w:val="center"/>
          </w:tcPr>
          <w:p w:rsidR="006E6995" w:rsidRPr="006E6995" w:rsidRDefault="006E6995" w:rsidP="00761CD2">
            <w:pPr>
              <w:autoSpaceDE w:val="0"/>
              <w:autoSpaceDN w:val="0"/>
              <w:adjustRightInd w:val="0"/>
              <w:spacing w:line="240" w:lineRule="auto"/>
              <w:ind w:firstLine="0"/>
              <w:jc w:val="center"/>
              <w:rPr>
                <w:sz w:val="22"/>
              </w:rPr>
            </w:pPr>
            <w:r w:rsidRPr="006E6995">
              <w:rPr>
                <w:sz w:val="22"/>
              </w:rPr>
              <w:t>Ticker</w:t>
            </w:r>
          </w:p>
        </w:tc>
        <w:tc>
          <w:tcPr>
            <w:tcW w:w="1843" w:type="dxa"/>
            <w:vAlign w:val="center"/>
          </w:tcPr>
          <w:p w:rsidR="006E6995" w:rsidRPr="006E6995" w:rsidRDefault="006E6995" w:rsidP="00761CD2">
            <w:pPr>
              <w:autoSpaceDE w:val="0"/>
              <w:autoSpaceDN w:val="0"/>
              <w:adjustRightInd w:val="0"/>
              <w:spacing w:line="240" w:lineRule="auto"/>
              <w:ind w:firstLine="0"/>
              <w:jc w:val="center"/>
              <w:rPr>
                <w:sz w:val="22"/>
              </w:rPr>
            </w:pPr>
            <w:r w:rsidRPr="006E6995">
              <w:rPr>
                <w:color w:val="000000"/>
                <w:sz w:val="22"/>
              </w:rPr>
              <w:t>Relative Spread</w:t>
            </w:r>
          </w:p>
        </w:tc>
      </w:tr>
      <w:tr w:rsidR="006E6995" w:rsidRPr="006E6995" w:rsidTr="00843CB6">
        <w:tc>
          <w:tcPr>
            <w:tcW w:w="1133" w:type="dxa"/>
            <w:vAlign w:val="center"/>
          </w:tcPr>
          <w:p w:rsidR="006E6995" w:rsidRPr="006E6995" w:rsidRDefault="006E6995" w:rsidP="006E6995">
            <w:pPr>
              <w:spacing w:line="240" w:lineRule="auto"/>
              <w:ind w:firstLine="0"/>
              <w:jc w:val="center"/>
              <w:rPr>
                <w:sz w:val="22"/>
              </w:rPr>
            </w:pPr>
            <w:r w:rsidRPr="006E6995">
              <w:rPr>
                <w:color w:val="000000"/>
                <w:sz w:val="22"/>
              </w:rPr>
              <w:t>UNAF</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0.037490</w:t>
            </w:r>
          </w:p>
        </w:tc>
      </w:tr>
      <w:tr w:rsidR="006E6995" w:rsidRPr="006E6995" w:rsidTr="00843CB6">
        <w:tc>
          <w:tcPr>
            <w:tcW w:w="1133" w:type="dxa"/>
            <w:vAlign w:val="center"/>
          </w:tcPr>
          <w:p w:rsidR="006E6995" w:rsidRPr="006E6995" w:rsidRDefault="006E6995" w:rsidP="006E6995">
            <w:pPr>
              <w:spacing w:line="240" w:lineRule="auto"/>
              <w:ind w:firstLine="0"/>
              <w:jc w:val="center"/>
              <w:rPr>
                <w:sz w:val="22"/>
              </w:rPr>
            </w:pPr>
            <w:r w:rsidRPr="006E6995">
              <w:rPr>
                <w:color w:val="000000"/>
                <w:sz w:val="22"/>
              </w:rPr>
              <w:t>ALMK</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0.037593</w:t>
            </w:r>
          </w:p>
        </w:tc>
      </w:tr>
      <w:tr w:rsidR="006E6995" w:rsidRPr="006E6995" w:rsidTr="00843CB6">
        <w:tc>
          <w:tcPr>
            <w:tcW w:w="1133" w:type="dxa"/>
            <w:vAlign w:val="center"/>
          </w:tcPr>
          <w:p w:rsidR="006E6995" w:rsidRPr="006E6995" w:rsidRDefault="006E6995" w:rsidP="006E6995">
            <w:pPr>
              <w:spacing w:line="240" w:lineRule="auto"/>
              <w:ind w:firstLine="0"/>
              <w:jc w:val="center"/>
              <w:rPr>
                <w:sz w:val="22"/>
              </w:rPr>
            </w:pPr>
            <w:r w:rsidRPr="006E6995">
              <w:rPr>
                <w:color w:val="000000"/>
                <w:sz w:val="22"/>
              </w:rPr>
              <w:t>AZST</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0.036091</w:t>
            </w:r>
          </w:p>
        </w:tc>
      </w:tr>
      <w:tr w:rsidR="006E6995" w:rsidRPr="006E6995" w:rsidTr="00843CB6">
        <w:tc>
          <w:tcPr>
            <w:tcW w:w="1133" w:type="dxa"/>
            <w:vAlign w:val="center"/>
          </w:tcPr>
          <w:p w:rsidR="006E6995" w:rsidRPr="006E6995" w:rsidRDefault="006E6995" w:rsidP="006E6995">
            <w:pPr>
              <w:spacing w:line="240" w:lineRule="auto"/>
              <w:ind w:firstLine="0"/>
              <w:jc w:val="center"/>
              <w:rPr>
                <w:sz w:val="22"/>
              </w:rPr>
            </w:pPr>
            <w:r w:rsidRPr="006E6995">
              <w:rPr>
                <w:color w:val="000000"/>
                <w:sz w:val="22"/>
              </w:rPr>
              <w:t>USCB</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0.032752</w:t>
            </w:r>
          </w:p>
        </w:tc>
      </w:tr>
      <w:tr w:rsidR="006E6995" w:rsidRPr="006E6995" w:rsidTr="00843CB6">
        <w:tc>
          <w:tcPr>
            <w:tcW w:w="1133" w:type="dxa"/>
            <w:vAlign w:val="center"/>
          </w:tcPr>
          <w:p w:rsidR="006E6995" w:rsidRPr="006E6995" w:rsidRDefault="006E6995" w:rsidP="006E6995">
            <w:pPr>
              <w:spacing w:line="240" w:lineRule="auto"/>
              <w:ind w:firstLine="0"/>
              <w:jc w:val="center"/>
              <w:rPr>
                <w:sz w:val="22"/>
              </w:rPr>
            </w:pPr>
            <w:r w:rsidRPr="006E6995">
              <w:rPr>
                <w:color w:val="000000"/>
                <w:sz w:val="22"/>
              </w:rPr>
              <w:t>CEEN</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0.030422</w:t>
            </w:r>
          </w:p>
        </w:tc>
      </w:tr>
      <w:tr w:rsidR="006E6995" w:rsidRPr="006E6995" w:rsidTr="00843CB6">
        <w:tc>
          <w:tcPr>
            <w:tcW w:w="1133" w:type="dxa"/>
            <w:vAlign w:val="center"/>
          </w:tcPr>
          <w:p w:rsidR="006E6995" w:rsidRPr="006E6995" w:rsidRDefault="006E6995" w:rsidP="006E6995">
            <w:pPr>
              <w:spacing w:line="240" w:lineRule="auto"/>
              <w:ind w:firstLine="0"/>
              <w:jc w:val="center"/>
              <w:rPr>
                <w:sz w:val="22"/>
              </w:rPr>
            </w:pPr>
            <w:r w:rsidRPr="006E6995">
              <w:rPr>
                <w:color w:val="000000"/>
                <w:sz w:val="22"/>
              </w:rPr>
              <w:t>MSICH</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0.026591</w:t>
            </w:r>
          </w:p>
        </w:tc>
      </w:tr>
      <w:tr w:rsidR="006E6995" w:rsidRPr="006E6995" w:rsidTr="00843CB6">
        <w:trPr>
          <w:trHeight w:val="267"/>
        </w:trPr>
        <w:tc>
          <w:tcPr>
            <w:tcW w:w="1133" w:type="dxa"/>
            <w:vAlign w:val="center"/>
          </w:tcPr>
          <w:p w:rsidR="006E6995" w:rsidRPr="006E6995" w:rsidRDefault="006E6995" w:rsidP="006E6995">
            <w:pPr>
              <w:spacing w:line="240" w:lineRule="auto"/>
              <w:ind w:firstLine="0"/>
              <w:jc w:val="center"/>
              <w:rPr>
                <w:sz w:val="22"/>
              </w:rPr>
            </w:pPr>
            <w:r w:rsidRPr="006E6995">
              <w:rPr>
                <w:color w:val="000000"/>
                <w:sz w:val="22"/>
              </w:rPr>
              <w:t>ZAEN</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0.026591</w:t>
            </w:r>
          </w:p>
        </w:tc>
      </w:tr>
      <w:tr w:rsidR="006E6995" w:rsidRPr="006E6995" w:rsidTr="00843CB6">
        <w:tc>
          <w:tcPr>
            <w:tcW w:w="113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ENMZ</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0.035152</w:t>
            </w:r>
          </w:p>
        </w:tc>
      </w:tr>
      <w:tr w:rsidR="006E6995" w:rsidRPr="006E6995" w:rsidTr="00843CB6">
        <w:tc>
          <w:tcPr>
            <w:tcW w:w="113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UTLM</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0.026022</w:t>
            </w:r>
          </w:p>
        </w:tc>
      </w:tr>
      <w:tr w:rsidR="006E6995" w:rsidRPr="006E6995" w:rsidTr="00843CB6">
        <w:tc>
          <w:tcPr>
            <w:tcW w:w="113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BAVL</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0.029575</w:t>
            </w:r>
          </w:p>
        </w:tc>
      </w:tr>
      <w:tr w:rsidR="006E6995" w:rsidRPr="006E6995" w:rsidTr="00843CB6">
        <w:tc>
          <w:tcPr>
            <w:tcW w:w="113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KVBZ</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0.032378</w:t>
            </w:r>
          </w:p>
        </w:tc>
      </w:tr>
      <w:tr w:rsidR="006E6995" w:rsidRPr="006E6995" w:rsidTr="00843CB6">
        <w:tc>
          <w:tcPr>
            <w:tcW w:w="113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AVDK</w:t>
            </w:r>
          </w:p>
        </w:tc>
        <w:tc>
          <w:tcPr>
            <w:tcW w:w="1843" w:type="dxa"/>
            <w:vAlign w:val="center"/>
          </w:tcPr>
          <w:p w:rsidR="006E6995" w:rsidRPr="006E6995" w:rsidRDefault="006E6995" w:rsidP="006E6995">
            <w:pPr>
              <w:spacing w:line="240" w:lineRule="auto"/>
              <w:ind w:firstLine="0"/>
              <w:jc w:val="center"/>
              <w:rPr>
                <w:color w:val="000000"/>
                <w:sz w:val="22"/>
              </w:rPr>
            </w:pPr>
            <w:r w:rsidRPr="006E6995">
              <w:rPr>
                <w:color w:val="000000"/>
                <w:sz w:val="22"/>
              </w:rPr>
              <w:t>0.029246</w:t>
            </w:r>
          </w:p>
        </w:tc>
      </w:tr>
    </w:tbl>
    <w:p w:rsidR="00024F14" w:rsidRDefault="00024F14" w:rsidP="006E6995">
      <w:pPr>
        <w:rPr>
          <w:lang w:val="en-US"/>
        </w:rPr>
      </w:pPr>
    </w:p>
    <w:p w:rsidR="006E6995" w:rsidRDefault="006E6995" w:rsidP="006E6995">
      <w:pPr>
        <w:rPr>
          <w:lang w:val="en-US"/>
        </w:rPr>
      </w:pPr>
      <w:r w:rsidRPr="006E6995">
        <w:rPr>
          <w:lang w:val="en-US"/>
        </w:rPr>
        <w:t>A cross-sectional analysis based on beta and liquidity coefficients can be performed in order to determine whether they describe the changes in the expected returns.</w:t>
      </w:r>
    </w:p>
    <w:p w:rsidR="00024F14" w:rsidRDefault="00024F14" w:rsidP="00024F14">
      <w:pPr>
        <w:pStyle w:val="a5"/>
        <w:spacing w:after="0" w:line="360" w:lineRule="auto"/>
        <w:jc w:val="center"/>
        <w:rPr>
          <w:b/>
        </w:rPr>
      </w:pPr>
      <w:bookmarkStart w:id="4" w:name="_Toc309880058"/>
    </w:p>
    <w:p w:rsidR="00024F14" w:rsidRPr="00CB710C" w:rsidRDefault="00024F14" w:rsidP="00024F14">
      <w:pPr>
        <w:pStyle w:val="a5"/>
        <w:spacing w:after="0" w:line="360" w:lineRule="auto"/>
        <w:jc w:val="center"/>
      </w:pPr>
      <w:r w:rsidRPr="00CB710C">
        <w:rPr>
          <w:b/>
        </w:rPr>
        <w:t>Table 3</w:t>
      </w:r>
      <w:r>
        <w:rPr>
          <w:b/>
        </w:rPr>
        <w:t xml:space="preserve">. </w:t>
      </w:r>
      <w:r w:rsidRPr="00CB710C">
        <w:t>Cross-sectional analysis of beta and liquidity coefficient significance</w:t>
      </w:r>
      <w:bookmarkEnd w:id="4"/>
    </w:p>
    <w:tbl>
      <w:tblPr>
        <w:tblW w:w="814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2"/>
        <w:gridCol w:w="1648"/>
        <w:gridCol w:w="1668"/>
        <w:gridCol w:w="1547"/>
        <w:gridCol w:w="1561"/>
      </w:tblGrid>
      <w:tr w:rsidR="006E6995" w:rsidRPr="006E6995" w:rsidTr="00843CB6">
        <w:tc>
          <w:tcPr>
            <w:tcW w:w="1722" w:type="dxa"/>
          </w:tcPr>
          <w:p w:rsidR="006E6995" w:rsidRPr="006E6995" w:rsidRDefault="006E6995" w:rsidP="006E6995">
            <w:pPr>
              <w:autoSpaceDE w:val="0"/>
              <w:autoSpaceDN w:val="0"/>
              <w:adjustRightInd w:val="0"/>
              <w:spacing w:line="240" w:lineRule="auto"/>
              <w:ind w:firstLine="0"/>
              <w:jc w:val="center"/>
              <w:rPr>
                <w:sz w:val="22"/>
              </w:rPr>
            </w:pPr>
            <w:r w:rsidRPr="006E6995">
              <w:rPr>
                <w:sz w:val="22"/>
              </w:rPr>
              <w:t>Coefficient</w:t>
            </w:r>
          </w:p>
        </w:tc>
        <w:tc>
          <w:tcPr>
            <w:tcW w:w="1648" w:type="dxa"/>
          </w:tcPr>
          <w:p w:rsidR="006E6995" w:rsidRPr="006E6995" w:rsidRDefault="00F71825" w:rsidP="006E6995">
            <w:pPr>
              <w:autoSpaceDE w:val="0"/>
              <w:autoSpaceDN w:val="0"/>
              <w:adjustRightInd w:val="0"/>
              <w:spacing w:line="240" w:lineRule="auto"/>
              <w:ind w:firstLine="0"/>
              <w:jc w:val="center"/>
              <w:rPr>
                <w:sz w:val="22"/>
                <w:vertAlign w:val="subscript"/>
              </w:rPr>
            </w:pPr>
            <m:oMathPara>
              <m:oMath>
                <m:sSub>
                  <m:sSubPr>
                    <m:ctrlPr>
                      <w:rPr>
                        <w:rFonts w:ascii="Cambria Math" w:hAnsi="Cambria Math"/>
                        <w:bCs/>
                        <w:i/>
                        <w:sz w:val="22"/>
                      </w:rPr>
                    </m:ctrlPr>
                  </m:sSubPr>
                  <m:e>
                    <m:r>
                      <w:rPr>
                        <w:rFonts w:ascii="Cambria Math" w:hAnsi="Cambria Math"/>
                        <w:sz w:val="22"/>
                      </w:rPr>
                      <m:t>γ</m:t>
                    </m:r>
                  </m:e>
                  <m:sub>
                    <m:r>
                      <w:rPr>
                        <w:rFonts w:ascii="Cambria Math" w:hAnsi="Cambria Math"/>
                        <w:sz w:val="22"/>
                        <w:vertAlign w:val="subscript"/>
                      </w:rPr>
                      <m:t>0</m:t>
                    </m:r>
                  </m:sub>
                </m:sSub>
              </m:oMath>
            </m:oMathPara>
          </w:p>
        </w:tc>
        <w:tc>
          <w:tcPr>
            <w:tcW w:w="1668" w:type="dxa"/>
          </w:tcPr>
          <w:p w:rsidR="006E6995" w:rsidRPr="006E6995" w:rsidRDefault="00F71825" w:rsidP="006E6995">
            <w:pPr>
              <w:autoSpaceDE w:val="0"/>
              <w:autoSpaceDN w:val="0"/>
              <w:adjustRightInd w:val="0"/>
              <w:spacing w:line="240" w:lineRule="auto"/>
              <w:ind w:firstLine="0"/>
              <w:jc w:val="center"/>
              <w:rPr>
                <w:sz w:val="22"/>
                <w:vertAlign w:val="subscript"/>
              </w:rPr>
            </w:pPr>
            <m:oMathPara>
              <m:oMath>
                <m:sSub>
                  <m:sSubPr>
                    <m:ctrlPr>
                      <w:rPr>
                        <w:rFonts w:ascii="Cambria Math" w:hAnsi="Cambria Math"/>
                        <w:bCs/>
                        <w:i/>
                        <w:sz w:val="22"/>
                      </w:rPr>
                    </m:ctrlPr>
                  </m:sSubPr>
                  <m:e>
                    <m:r>
                      <w:rPr>
                        <w:rFonts w:ascii="Cambria Math" w:hAnsi="Cambria Math"/>
                        <w:sz w:val="22"/>
                      </w:rPr>
                      <m:t>γ</m:t>
                    </m:r>
                  </m:e>
                  <m:sub>
                    <m:r>
                      <w:rPr>
                        <w:rFonts w:ascii="Cambria Math" w:hAnsi="Cambria Math"/>
                        <w:sz w:val="22"/>
                        <w:vertAlign w:val="subscript"/>
                      </w:rPr>
                      <m:t>1</m:t>
                    </m:r>
                  </m:sub>
                </m:sSub>
              </m:oMath>
            </m:oMathPara>
          </w:p>
        </w:tc>
        <w:tc>
          <w:tcPr>
            <w:tcW w:w="1547" w:type="dxa"/>
          </w:tcPr>
          <w:p w:rsidR="006E6995" w:rsidRPr="006E6995" w:rsidRDefault="006E6995" w:rsidP="006E6995">
            <w:pPr>
              <w:autoSpaceDE w:val="0"/>
              <w:autoSpaceDN w:val="0"/>
              <w:adjustRightInd w:val="0"/>
              <w:spacing w:line="240" w:lineRule="auto"/>
              <w:ind w:firstLine="0"/>
              <w:jc w:val="center"/>
              <w:rPr>
                <w:sz w:val="22"/>
              </w:rPr>
            </w:pPr>
            <w:r w:rsidRPr="006E6995">
              <w:rPr>
                <w:sz w:val="22"/>
              </w:rPr>
              <w:t>t-statistic</w:t>
            </w:r>
          </w:p>
        </w:tc>
        <w:tc>
          <w:tcPr>
            <w:tcW w:w="1561" w:type="dxa"/>
          </w:tcPr>
          <w:p w:rsidR="006E6995" w:rsidRPr="006E6995" w:rsidRDefault="00F71825" w:rsidP="006E6995">
            <w:pPr>
              <w:autoSpaceDE w:val="0"/>
              <w:autoSpaceDN w:val="0"/>
              <w:adjustRightInd w:val="0"/>
              <w:spacing w:line="240" w:lineRule="auto"/>
              <w:ind w:firstLine="0"/>
              <w:jc w:val="center"/>
              <w:rPr>
                <w:sz w:val="22"/>
              </w:rPr>
            </w:pPr>
            <m:oMathPara>
              <m:oMath>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oMath>
            </m:oMathPara>
          </w:p>
        </w:tc>
      </w:tr>
      <w:tr w:rsidR="006E6995" w:rsidRPr="006E6995" w:rsidTr="00843CB6">
        <w:tc>
          <w:tcPr>
            <w:tcW w:w="1722" w:type="dxa"/>
          </w:tcPr>
          <w:p w:rsidR="006E6995" w:rsidRPr="006E6995" w:rsidRDefault="006E6995" w:rsidP="006E6995">
            <w:pPr>
              <w:autoSpaceDE w:val="0"/>
              <w:autoSpaceDN w:val="0"/>
              <w:adjustRightInd w:val="0"/>
              <w:spacing w:line="240" w:lineRule="auto"/>
              <w:ind w:firstLine="0"/>
              <w:jc w:val="center"/>
              <w:rPr>
                <w:sz w:val="22"/>
              </w:rPr>
            </w:pPr>
            <m:oMathPara>
              <m:oMath>
                <m:r>
                  <w:rPr>
                    <w:rFonts w:ascii="Cambria Math" w:hAnsi="Cambria Math"/>
                    <w:color w:val="000000"/>
                    <w:sz w:val="22"/>
                  </w:rPr>
                  <m:t>β</m:t>
                </m:r>
              </m:oMath>
            </m:oMathPara>
          </w:p>
        </w:tc>
        <w:tc>
          <w:tcPr>
            <w:tcW w:w="1648" w:type="dxa"/>
          </w:tcPr>
          <w:p w:rsidR="006E6995" w:rsidRPr="006E6995" w:rsidRDefault="006E6995" w:rsidP="006E6995">
            <w:pPr>
              <w:spacing w:line="240" w:lineRule="auto"/>
              <w:ind w:firstLine="0"/>
              <w:jc w:val="center"/>
              <w:rPr>
                <w:sz w:val="22"/>
              </w:rPr>
            </w:pPr>
            <w:r w:rsidRPr="006E6995">
              <w:rPr>
                <w:color w:val="000000"/>
                <w:sz w:val="22"/>
              </w:rPr>
              <w:t>0.000956615</w:t>
            </w:r>
          </w:p>
        </w:tc>
        <w:tc>
          <w:tcPr>
            <w:tcW w:w="1668" w:type="dxa"/>
          </w:tcPr>
          <w:p w:rsidR="006E6995" w:rsidRPr="006E6995" w:rsidRDefault="006E6995" w:rsidP="006E6995">
            <w:pPr>
              <w:spacing w:line="240" w:lineRule="auto"/>
              <w:ind w:firstLine="0"/>
              <w:jc w:val="center"/>
              <w:rPr>
                <w:sz w:val="22"/>
              </w:rPr>
            </w:pPr>
            <w:r w:rsidRPr="006E6995">
              <w:rPr>
                <w:color w:val="000000"/>
                <w:sz w:val="22"/>
              </w:rPr>
              <w:t>-0.003475173</w:t>
            </w:r>
          </w:p>
        </w:tc>
        <w:tc>
          <w:tcPr>
            <w:tcW w:w="1547" w:type="dxa"/>
          </w:tcPr>
          <w:p w:rsidR="006E6995" w:rsidRPr="006E6995" w:rsidRDefault="006E6995" w:rsidP="006E6995">
            <w:pPr>
              <w:spacing w:line="240" w:lineRule="auto"/>
              <w:ind w:firstLine="0"/>
              <w:jc w:val="center"/>
              <w:rPr>
                <w:sz w:val="22"/>
              </w:rPr>
            </w:pPr>
            <w:r w:rsidRPr="006E6995">
              <w:rPr>
                <w:color w:val="000000"/>
                <w:sz w:val="22"/>
              </w:rPr>
              <w:t>-0.98293908</w:t>
            </w:r>
          </w:p>
        </w:tc>
        <w:tc>
          <w:tcPr>
            <w:tcW w:w="1561" w:type="dxa"/>
          </w:tcPr>
          <w:p w:rsidR="006E6995" w:rsidRPr="006E6995" w:rsidRDefault="006E6995" w:rsidP="006E6995">
            <w:pPr>
              <w:spacing w:line="240" w:lineRule="auto"/>
              <w:ind w:firstLine="0"/>
              <w:jc w:val="center"/>
              <w:rPr>
                <w:sz w:val="22"/>
              </w:rPr>
            </w:pPr>
            <w:r w:rsidRPr="006E6995">
              <w:rPr>
                <w:color w:val="000000"/>
                <w:sz w:val="22"/>
              </w:rPr>
              <w:t>0.088104534</w:t>
            </w:r>
          </w:p>
        </w:tc>
      </w:tr>
      <w:tr w:rsidR="006E6995" w:rsidRPr="006E6995" w:rsidTr="00843CB6">
        <w:tc>
          <w:tcPr>
            <w:tcW w:w="1722" w:type="dxa"/>
          </w:tcPr>
          <w:p w:rsidR="006E6995" w:rsidRPr="006E6995" w:rsidRDefault="006E6995" w:rsidP="006E6995">
            <w:pPr>
              <w:autoSpaceDE w:val="0"/>
              <w:autoSpaceDN w:val="0"/>
              <w:adjustRightInd w:val="0"/>
              <w:spacing w:line="240" w:lineRule="auto"/>
              <w:ind w:firstLine="0"/>
              <w:jc w:val="center"/>
              <w:rPr>
                <w:color w:val="000000"/>
                <w:sz w:val="22"/>
              </w:rPr>
            </w:pPr>
            <m:oMathPara>
              <m:oMath>
                <m:r>
                  <w:rPr>
                    <w:rFonts w:ascii="Cambria Math" w:hAnsi="Cambria Math"/>
                    <w:color w:val="000000"/>
                    <w:sz w:val="22"/>
                  </w:rPr>
                  <m:t>RS</m:t>
                </m:r>
              </m:oMath>
            </m:oMathPara>
          </w:p>
        </w:tc>
        <w:tc>
          <w:tcPr>
            <w:tcW w:w="1648" w:type="dxa"/>
          </w:tcPr>
          <w:p w:rsidR="006E6995" w:rsidRPr="006E6995" w:rsidRDefault="006E6995" w:rsidP="006E6995">
            <w:pPr>
              <w:spacing w:line="240" w:lineRule="auto"/>
              <w:ind w:firstLine="0"/>
              <w:jc w:val="center"/>
              <w:rPr>
                <w:color w:val="000000"/>
                <w:sz w:val="22"/>
              </w:rPr>
            </w:pPr>
            <w:r w:rsidRPr="006E6995">
              <w:rPr>
                <w:color w:val="000000"/>
                <w:sz w:val="22"/>
              </w:rPr>
              <w:t>-0.003235157</w:t>
            </w:r>
          </w:p>
        </w:tc>
        <w:tc>
          <w:tcPr>
            <w:tcW w:w="1668" w:type="dxa"/>
          </w:tcPr>
          <w:p w:rsidR="006E6995" w:rsidRPr="006E6995" w:rsidRDefault="006E6995" w:rsidP="006E6995">
            <w:pPr>
              <w:spacing w:line="240" w:lineRule="auto"/>
              <w:ind w:firstLine="0"/>
              <w:jc w:val="center"/>
              <w:rPr>
                <w:color w:val="000000"/>
                <w:sz w:val="22"/>
              </w:rPr>
            </w:pPr>
            <w:r w:rsidRPr="006E6995">
              <w:rPr>
                <w:color w:val="000000"/>
                <w:sz w:val="22"/>
              </w:rPr>
              <w:t>0.022950812</w:t>
            </w:r>
          </w:p>
        </w:tc>
        <w:tc>
          <w:tcPr>
            <w:tcW w:w="1547" w:type="dxa"/>
          </w:tcPr>
          <w:p w:rsidR="006E6995" w:rsidRPr="006E6995" w:rsidRDefault="006E6995" w:rsidP="006E6995">
            <w:pPr>
              <w:spacing w:line="240" w:lineRule="auto"/>
              <w:ind w:firstLine="0"/>
              <w:jc w:val="center"/>
              <w:rPr>
                <w:color w:val="000000"/>
                <w:sz w:val="22"/>
              </w:rPr>
            </w:pPr>
            <w:r w:rsidRPr="006E6995">
              <w:rPr>
                <w:color w:val="000000"/>
                <w:sz w:val="22"/>
              </w:rPr>
              <w:t>0.116381783</w:t>
            </w:r>
          </w:p>
        </w:tc>
        <w:tc>
          <w:tcPr>
            <w:tcW w:w="1561" w:type="dxa"/>
          </w:tcPr>
          <w:p w:rsidR="006E6995" w:rsidRPr="006E6995" w:rsidRDefault="006E6995" w:rsidP="006E6995">
            <w:pPr>
              <w:spacing w:line="240" w:lineRule="auto"/>
              <w:ind w:firstLine="0"/>
              <w:jc w:val="center"/>
              <w:rPr>
                <w:color w:val="000000"/>
                <w:sz w:val="22"/>
              </w:rPr>
            </w:pPr>
            <w:r w:rsidRPr="006E6995">
              <w:rPr>
                <w:color w:val="000000"/>
                <w:sz w:val="22"/>
              </w:rPr>
              <w:t>0.00135264</w:t>
            </w:r>
          </w:p>
        </w:tc>
      </w:tr>
    </w:tbl>
    <w:p w:rsidR="006E6995" w:rsidRPr="006E6995" w:rsidRDefault="006E6995" w:rsidP="006E6995">
      <w:pPr>
        <w:rPr>
          <w:rFonts w:eastAsiaTheme="minorEastAsia"/>
          <w:lang w:val="en-US"/>
        </w:rPr>
      </w:pPr>
      <w:r w:rsidRPr="006E6995">
        <w:rPr>
          <w:lang w:val="en-US"/>
        </w:rPr>
        <w:lastRenderedPageBreak/>
        <w:t xml:space="preserve">As can be seen in Table 3, the liquidity coefficient bears more significance, since its t-statistic is higher than that of the beta coefficient, although its correlation </w:t>
      </w:r>
      <m:oMath>
        <m:sSup>
          <m:sSupPr>
            <m:ctrlPr>
              <w:rPr>
                <w:rFonts w:ascii="Cambria Math" w:hAnsi="Cambria Math"/>
                <w:i/>
              </w:rPr>
            </m:ctrlPr>
          </m:sSupPr>
          <m:e>
            <m:r>
              <w:rPr>
                <w:rFonts w:ascii="Cambria Math" w:hAnsi="Cambria Math"/>
              </w:rPr>
              <m:t>r</m:t>
            </m:r>
          </m:e>
          <m:sup>
            <m:r>
              <w:rPr>
                <w:rFonts w:ascii="Cambria Math" w:hAnsi="Cambria Math"/>
                <w:lang w:val="en-US"/>
              </w:rPr>
              <m:t>2</m:t>
            </m:r>
          </m:sup>
        </m:sSup>
      </m:oMath>
      <w:r w:rsidRPr="006E6995">
        <w:rPr>
          <w:rFonts w:eastAsiaTheme="minorEastAsia"/>
          <w:lang w:val="en-US"/>
        </w:rPr>
        <w:t xml:space="preserve"> coefficient is very low. In fact, the liquidity coefficient explains less than 1% of the sample data. However, these results lead us to another conclusion. The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lang w:val="en-US"/>
              </w:rPr>
              <m:t>1</m:t>
            </m:r>
          </m:sub>
        </m:sSub>
      </m:oMath>
      <w:r w:rsidRPr="006E6995">
        <w:rPr>
          <w:rFonts w:eastAsiaTheme="minorEastAsia"/>
          <w:lang w:val="en-US"/>
        </w:rPr>
        <w:t xml:space="preserve"> coefficient appears negative and very close to zero. This once again displays the inconsistency of the CAPM on the Ukrainian stock market as both hypotheses that are supposed to support it were disproved.</w:t>
      </w:r>
    </w:p>
    <w:p w:rsidR="006E6995" w:rsidRPr="006E6995" w:rsidRDefault="006E6995" w:rsidP="006E6995">
      <w:pPr>
        <w:rPr>
          <w:rFonts w:eastAsiaTheme="minorEastAsia"/>
          <w:lang w:val="en-US"/>
        </w:rPr>
      </w:pPr>
      <w:r w:rsidRPr="006E6995">
        <w:rPr>
          <w:rFonts w:eastAsiaTheme="minorEastAsia"/>
          <w:lang w:val="en-US"/>
        </w:rPr>
        <w:t>One last step will be applying the normal law of probability distribution by calculating the asymmetry and excess kurtosis. For a normal distribution they both would equal zero</w:t>
      </w:r>
      <w:r w:rsidR="00761CD2">
        <w:rPr>
          <w:rFonts w:eastAsiaTheme="minorEastAsia"/>
          <w:lang w:val="en-US"/>
        </w:rPr>
        <w:t> [17]</w:t>
      </w:r>
      <w:r w:rsidRPr="006E6995">
        <w:rPr>
          <w:rFonts w:eastAsiaTheme="minorEastAsia"/>
          <w:lang w:val="en-US"/>
        </w:rPr>
        <w:t>. In other cases having a positive asymmetry would tell that higher yields are considered more likely than lower and vice versa. As for the kurtosis, the higher it is, the less risky the asset is considered. Using the following equations to calculate them:</w:t>
      </w:r>
    </w:p>
    <w:p w:rsidR="006E6995" w:rsidRPr="006E6995" w:rsidRDefault="006E6995" w:rsidP="006E6995">
      <w:pPr>
        <w:tabs>
          <w:tab w:val="left" w:pos="2977"/>
          <w:tab w:val="right" w:pos="9072"/>
        </w:tabs>
        <w:ind w:firstLine="708"/>
        <w:rPr>
          <w:rFonts w:eastAsiaTheme="minorEastAsia"/>
          <w:lang w:val="en-US"/>
        </w:rPr>
      </w:pPr>
      <w:r w:rsidRPr="006E6995">
        <w:rPr>
          <w:rFonts w:eastAsiaTheme="minorEastAsia"/>
          <w:lang w:val="en-US"/>
        </w:rPr>
        <w:tab/>
      </w:r>
      <m:oMath>
        <m:r>
          <w:rPr>
            <w:rFonts w:ascii="Cambria Math" w:eastAsiaTheme="minorEastAsia" w:hAnsi="Cambria Math"/>
          </w:rPr>
          <m:t>As</m:t>
        </m:r>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rPr>
              <m:t>n</m:t>
            </m:r>
          </m:num>
          <m:den>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lang w:val="en-US"/>
                  </w:rPr>
                  <m:t>-1</m:t>
                </m:r>
              </m:e>
            </m:d>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lang w:val="en-US"/>
                  </w:rPr>
                  <m:t>-2</m:t>
                </m:r>
              </m:e>
            </m:d>
          </m:den>
        </m:f>
        <m:r>
          <w:rPr>
            <w:rFonts w:ascii="Cambria Math" w:eastAsiaTheme="minorEastAsia" w:hAnsi="Cambria Math"/>
            <w:lang w:val="en-US"/>
          </w:rPr>
          <m:t>×</m:t>
        </m:r>
        <m:nary>
          <m:naryPr>
            <m:chr m:val="∑"/>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r>
                          <w:rPr>
                            <w:rFonts w:ascii="Cambria Math" w:eastAsiaTheme="minorEastAsia" w:hAnsi="Cambria Math"/>
                            <w:lang w:val="en-US"/>
                          </w:rPr>
                          <m:t>-</m:t>
                        </m:r>
                        <m:acc>
                          <m:accPr>
                            <m:chr m:val="̅"/>
                            <m:ctrlPr>
                              <w:rPr>
                                <w:rFonts w:ascii="Cambria Math" w:eastAsiaTheme="minorEastAsia" w:hAnsi="Cambria Math"/>
                                <w:i/>
                              </w:rPr>
                            </m:ctrlPr>
                          </m:accPr>
                          <m:e>
                            <m:r>
                              <w:rPr>
                                <w:rFonts w:ascii="Cambria Math" w:eastAsiaTheme="minorEastAsia" w:hAnsi="Cambria Math"/>
                              </w:rPr>
                              <m:t>R</m:t>
                            </m:r>
                          </m:e>
                        </m:acc>
                      </m:num>
                      <m:den>
                        <m:r>
                          <w:rPr>
                            <w:rFonts w:ascii="Cambria Math" w:eastAsiaTheme="minorEastAsia" w:hAnsi="Cambria Math"/>
                          </w:rPr>
                          <m:t>s</m:t>
                        </m:r>
                      </m:den>
                    </m:f>
                  </m:e>
                </m:d>
              </m:e>
              <m:sup>
                <m:r>
                  <w:rPr>
                    <w:rFonts w:ascii="Cambria Math" w:eastAsiaTheme="minorEastAsia" w:hAnsi="Cambria Math"/>
                    <w:lang w:val="en-US"/>
                  </w:rPr>
                  <m:t>3</m:t>
                </m:r>
              </m:sup>
            </m:sSup>
          </m:e>
        </m:nary>
      </m:oMath>
      <w:r w:rsidRPr="006E6995">
        <w:rPr>
          <w:rFonts w:eastAsiaTheme="minorEastAsia"/>
          <w:lang w:val="en-US"/>
        </w:rPr>
        <w:tab/>
        <w:t>(4)</w:t>
      </w:r>
    </w:p>
    <w:p w:rsidR="006E6995" w:rsidRPr="006E6995" w:rsidRDefault="006E6995" w:rsidP="006E6995">
      <w:pPr>
        <w:tabs>
          <w:tab w:val="left" w:pos="1985"/>
          <w:tab w:val="right" w:pos="9072"/>
        </w:tabs>
        <w:ind w:firstLine="708"/>
        <w:rPr>
          <w:rFonts w:eastAsiaTheme="minorEastAsia"/>
          <w:lang w:val="en-US"/>
        </w:rPr>
      </w:pPr>
      <w:r w:rsidRPr="006E6995">
        <w:rPr>
          <w:rFonts w:eastAsiaTheme="minorEastAsia"/>
          <w:lang w:val="en-US"/>
        </w:rPr>
        <w:tab/>
      </w:r>
      <m:oMath>
        <m:r>
          <w:rPr>
            <w:rFonts w:ascii="Cambria Math" w:eastAsiaTheme="minorEastAsia" w:hAnsi="Cambria Math"/>
          </w:rPr>
          <m:t>Ex</m:t>
        </m:r>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lang w:val="en-US"/>
                  </w:rPr>
                  <m:t>+1</m:t>
                </m:r>
              </m:e>
            </m:d>
          </m:num>
          <m:den>
            <m:r>
              <w:rPr>
                <w:rFonts w:ascii="Cambria Math" w:eastAsiaTheme="minorEastAsia" w:hAnsi="Cambria Math"/>
                <w:lang w:val="en-US"/>
              </w:rPr>
              <m:t>(</m:t>
            </m:r>
            <m:r>
              <w:rPr>
                <w:rFonts w:ascii="Cambria Math" w:eastAsiaTheme="minorEastAsia" w:hAnsi="Cambria Math"/>
              </w:rPr>
              <m:t>n</m:t>
            </m:r>
            <m:r>
              <w:rPr>
                <w:rFonts w:ascii="Cambria Math" w:eastAsiaTheme="minorEastAsia" w:hAnsi="Cambria Math"/>
                <w:lang w:val="en-US"/>
              </w:rPr>
              <m:t>-1)(</m:t>
            </m:r>
            <m:r>
              <w:rPr>
                <w:rFonts w:ascii="Cambria Math" w:eastAsiaTheme="minorEastAsia" w:hAnsi="Cambria Math"/>
              </w:rPr>
              <m:t>n</m:t>
            </m:r>
            <m:r>
              <w:rPr>
                <w:rFonts w:ascii="Cambria Math" w:eastAsiaTheme="minorEastAsia" w:hAnsi="Cambria Math"/>
                <w:lang w:val="en-US"/>
              </w:rPr>
              <m:t>-2)(</m:t>
            </m:r>
            <m:r>
              <w:rPr>
                <w:rFonts w:ascii="Cambria Math" w:eastAsiaTheme="minorEastAsia" w:hAnsi="Cambria Math"/>
              </w:rPr>
              <m:t>n</m:t>
            </m:r>
            <m:r>
              <w:rPr>
                <w:rFonts w:ascii="Cambria Math" w:eastAsiaTheme="minorEastAsia" w:hAnsi="Cambria Math"/>
                <w:lang w:val="en-US"/>
              </w:rPr>
              <m:t>-3)</m:t>
            </m:r>
          </m:den>
        </m:f>
        <m:r>
          <w:rPr>
            <w:rFonts w:ascii="Cambria Math" w:eastAsiaTheme="minorEastAsia" w:hAnsi="Cambria Math"/>
            <w:lang w:val="en-US"/>
          </w:rPr>
          <m:t>×</m:t>
        </m:r>
        <m:nary>
          <m:naryPr>
            <m:chr m:val="∑"/>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r>
                          <w:rPr>
                            <w:rFonts w:ascii="Cambria Math" w:eastAsiaTheme="minorEastAsia" w:hAnsi="Cambria Math"/>
                            <w:lang w:val="en-US"/>
                          </w:rPr>
                          <m:t>-</m:t>
                        </m:r>
                        <m:acc>
                          <m:accPr>
                            <m:chr m:val="̅"/>
                            <m:ctrlPr>
                              <w:rPr>
                                <w:rFonts w:ascii="Cambria Math" w:eastAsiaTheme="minorEastAsia" w:hAnsi="Cambria Math"/>
                                <w:i/>
                              </w:rPr>
                            </m:ctrlPr>
                          </m:accPr>
                          <m:e>
                            <m:r>
                              <w:rPr>
                                <w:rFonts w:ascii="Cambria Math" w:eastAsiaTheme="minorEastAsia" w:hAnsi="Cambria Math"/>
                              </w:rPr>
                              <m:t>R</m:t>
                            </m:r>
                          </m:e>
                        </m:acc>
                      </m:num>
                      <m:den>
                        <m:r>
                          <w:rPr>
                            <w:rFonts w:ascii="Cambria Math" w:eastAsiaTheme="minorEastAsia" w:hAnsi="Cambria Math"/>
                          </w:rPr>
                          <m:t>s</m:t>
                        </m:r>
                      </m:den>
                    </m:f>
                  </m:e>
                </m:d>
              </m:e>
              <m:sup>
                <m:r>
                  <w:rPr>
                    <w:rFonts w:ascii="Cambria Math" w:eastAsiaTheme="minorEastAsia" w:hAnsi="Cambria Math"/>
                    <w:lang w:val="en-US"/>
                  </w:rPr>
                  <m:t>4</m:t>
                </m:r>
              </m:sup>
            </m:sSup>
          </m:e>
        </m:nary>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3</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lang w:val="en-US"/>
                      </w:rPr>
                      <m:t>-1</m:t>
                    </m:r>
                  </m:e>
                </m:d>
              </m:e>
              <m:sup>
                <m:r>
                  <w:rPr>
                    <w:rFonts w:ascii="Cambria Math" w:eastAsiaTheme="minorEastAsia" w:hAnsi="Cambria Math"/>
                    <w:lang w:val="en-US"/>
                  </w:rPr>
                  <m:t>2</m:t>
                </m:r>
              </m:sup>
            </m:sSup>
          </m:num>
          <m:den>
            <m:r>
              <w:rPr>
                <w:rFonts w:ascii="Cambria Math" w:eastAsiaTheme="minorEastAsia" w:hAnsi="Cambria Math"/>
                <w:lang w:val="en-US"/>
              </w:rPr>
              <m:t>(</m:t>
            </m:r>
            <m:r>
              <w:rPr>
                <w:rFonts w:ascii="Cambria Math" w:eastAsiaTheme="minorEastAsia" w:hAnsi="Cambria Math"/>
              </w:rPr>
              <m:t>n</m:t>
            </m:r>
            <m:r>
              <w:rPr>
                <w:rFonts w:ascii="Cambria Math" w:eastAsiaTheme="minorEastAsia" w:hAnsi="Cambria Math"/>
                <w:lang w:val="en-US"/>
              </w:rPr>
              <m:t>-2)(</m:t>
            </m:r>
            <m:r>
              <w:rPr>
                <w:rFonts w:ascii="Cambria Math" w:eastAsiaTheme="minorEastAsia" w:hAnsi="Cambria Math"/>
              </w:rPr>
              <m:t>n</m:t>
            </m:r>
            <m:r>
              <w:rPr>
                <w:rFonts w:ascii="Cambria Math" w:eastAsiaTheme="minorEastAsia" w:hAnsi="Cambria Math"/>
                <w:lang w:val="en-US"/>
              </w:rPr>
              <m:t>-3)</m:t>
            </m:r>
          </m:den>
        </m:f>
      </m:oMath>
      <w:r w:rsidRPr="006E6995">
        <w:rPr>
          <w:rFonts w:eastAsiaTheme="minorEastAsia"/>
          <w:lang w:val="en-US"/>
        </w:rPr>
        <w:tab/>
        <w:t>(5)</w:t>
      </w:r>
    </w:p>
    <w:p w:rsidR="006E6995" w:rsidRDefault="006E6995" w:rsidP="006E6995">
      <w:pPr>
        <w:rPr>
          <w:rFonts w:eastAsiaTheme="minorEastAsia"/>
          <w:lang w:val="en-US"/>
        </w:rPr>
      </w:pPr>
      <w:r w:rsidRPr="006E6995">
        <w:rPr>
          <w:lang w:val="en-US"/>
        </w:rPr>
        <w:t xml:space="preserve">with </w:t>
      </w:r>
      <m:oMath>
        <m:r>
          <w:rPr>
            <w:rFonts w:ascii="Cambria Math" w:hAnsi="Cambria Math"/>
          </w:rPr>
          <m:t>n</m:t>
        </m:r>
      </m:oMath>
      <w:r w:rsidRPr="006E6995">
        <w:rPr>
          <w:rFonts w:eastAsiaTheme="minorEastAsia"/>
          <w:lang w:val="en-US"/>
        </w:rPr>
        <w:t xml:space="preserve"> being the number of observations and </w:t>
      </w:r>
      <m:oMath>
        <m:acc>
          <m:accPr>
            <m:chr m:val="̅"/>
            <m:ctrlPr>
              <w:rPr>
                <w:rFonts w:ascii="Cambria Math" w:eastAsiaTheme="minorEastAsia" w:hAnsi="Cambria Math"/>
                <w:i/>
              </w:rPr>
            </m:ctrlPr>
          </m:accPr>
          <m:e>
            <m:r>
              <w:rPr>
                <w:rFonts w:ascii="Cambria Math" w:eastAsiaTheme="minorEastAsia" w:hAnsi="Cambria Math"/>
              </w:rPr>
              <m:t>R</m:t>
            </m:r>
          </m:e>
        </m:acc>
      </m:oMath>
      <w:r w:rsidRPr="006E6995">
        <w:rPr>
          <w:rFonts w:eastAsiaTheme="minorEastAsia"/>
          <w:lang w:val="en-US"/>
        </w:rPr>
        <w:t xml:space="preserve"> – average asset return we receive the following results shown in Table 4</w:t>
      </w:r>
      <w:r w:rsidR="00DF497B">
        <w:rPr>
          <w:rFonts w:eastAsiaTheme="minorEastAsia"/>
          <w:lang w:val="en-US"/>
        </w:rPr>
        <w:t>.</w:t>
      </w:r>
    </w:p>
    <w:p w:rsidR="00024F14" w:rsidRPr="00024F14" w:rsidRDefault="00024F14" w:rsidP="006E6995">
      <w:pPr>
        <w:rPr>
          <w:rFonts w:eastAsiaTheme="minorEastAsia"/>
          <w:sz w:val="22"/>
          <w:lang w:val="en-US"/>
        </w:rPr>
      </w:pPr>
    </w:p>
    <w:p w:rsidR="00024F14" w:rsidRPr="00CB710C" w:rsidRDefault="00024F14" w:rsidP="00024F14">
      <w:pPr>
        <w:pStyle w:val="a5"/>
        <w:spacing w:after="0" w:line="360" w:lineRule="auto"/>
        <w:jc w:val="center"/>
      </w:pPr>
      <w:bookmarkStart w:id="5" w:name="_Toc309880059"/>
      <w:r w:rsidRPr="00CB710C">
        <w:rPr>
          <w:b/>
        </w:rPr>
        <w:t>Table 4</w:t>
      </w:r>
      <w:r>
        <w:rPr>
          <w:b/>
        </w:rPr>
        <w:t xml:space="preserve">. </w:t>
      </w:r>
      <w:r w:rsidRPr="00CB710C">
        <w:t>Additional statistical coefficients</w:t>
      </w:r>
      <w:bookmarkEnd w:id="5"/>
    </w:p>
    <w:tbl>
      <w:tblPr>
        <w:tblW w:w="6322"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7"/>
        <w:gridCol w:w="2403"/>
        <w:gridCol w:w="1386"/>
        <w:gridCol w:w="1386"/>
      </w:tblGrid>
      <w:tr w:rsidR="006E6995" w:rsidRPr="006E6995" w:rsidTr="00843CB6">
        <w:trPr>
          <w:trHeight w:val="300"/>
        </w:trPr>
        <w:tc>
          <w:tcPr>
            <w:tcW w:w="1147" w:type="dxa"/>
          </w:tcPr>
          <w:p w:rsidR="006E6995" w:rsidRPr="006E6995" w:rsidRDefault="006E6995" w:rsidP="006E6995">
            <w:pPr>
              <w:autoSpaceDE w:val="0"/>
              <w:autoSpaceDN w:val="0"/>
              <w:adjustRightInd w:val="0"/>
              <w:spacing w:line="240" w:lineRule="auto"/>
              <w:ind w:firstLine="0"/>
              <w:jc w:val="center"/>
              <w:rPr>
                <w:sz w:val="22"/>
              </w:rPr>
            </w:pPr>
            <w:r w:rsidRPr="006E6995">
              <w:rPr>
                <w:sz w:val="22"/>
              </w:rPr>
              <w:t>Ticker</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Root-mean square dev.</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Asymmetry</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Kurtosis</w:t>
            </w:r>
          </w:p>
        </w:tc>
      </w:tr>
      <w:tr w:rsidR="006E6995" w:rsidRPr="006E6995" w:rsidTr="00843CB6">
        <w:trPr>
          <w:trHeight w:val="315"/>
        </w:trPr>
        <w:tc>
          <w:tcPr>
            <w:tcW w:w="1147" w:type="dxa"/>
          </w:tcPr>
          <w:p w:rsidR="006E6995" w:rsidRPr="006E6995" w:rsidRDefault="006E6995" w:rsidP="006E6995">
            <w:pPr>
              <w:spacing w:line="240" w:lineRule="auto"/>
              <w:ind w:firstLine="0"/>
              <w:jc w:val="center"/>
              <w:rPr>
                <w:sz w:val="22"/>
              </w:rPr>
            </w:pPr>
            <w:r w:rsidRPr="006E6995">
              <w:rPr>
                <w:color w:val="000000"/>
                <w:sz w:val="22"/>
              </w:rPr>
              <w:t>UNAF</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0.037380485</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0.119161508</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6.593603</w:t>
            </w:r>
          </w:p>
        </w:tc>
      </w:tr>
      <w:tr w:rsidR="006E6995" w:rsidRPr="006E6995" w:rsidTr="00843CB6">
        <w:trPr>
          <w:trHeight w:val="315"/>
        </w:trPr>
        <w:tc>
          <w:tcPr>
            <w:tcW w:w="1147" w:type="dxa"/>
          </w:tcPr>
          <w:p w:rsidR="006E6995" w:rsidRPr="006E6995" w:rsidRDefault="006E6995" w:rsidP="006E6995">
            <w:pPr>
              <w:spacing w:line="240" w:lineRule="auto"/>
              <w:ind w:firstLine="0"/>
              <w:jc w:val="center"/>
              <w:rPr>
                <w:sz w:val="22"/>
              </w:rPr>
            </w:pPr>
            <w:r w:rsidRPr="006E6995">
              <w:rPr>
                <w:color w:val="000000"/>
                <w:sz w:val="22"/>
              </w:rPr>
              <w:t>ALMK</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0.043150909</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1.12795817</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6.268034</w:t>
            </w:r>
          </w:p>
        </w:tc>
      </w:tr>
      <w:tr w:rsidR="006E6995" w:rsidRPr="006E6995" w:rsidTr="00843CB6">
        <w:trPr>
          <w:trHeight w:val="315"/>
        </w:trPr>
        <w:tc>
          <w:tcPr>
            <w:tcW w:w="1147" w:type="dxa"/>
          </w:tcPr>
          <w:p w:rsidR="006E6995" w:rsidRPr="006E6995" w:rsidRDefault="006E6995" w:rsidP="006E6995">
            <w:pPr>
              <w:spacing w:line="240" w:lineRule="auto"/>
              <w:ind w:firstLine="0"/>
              <w:jc w:val="center"/>
              <w:rPr>
                <w:sz w:val="22"/>
              </w:rPr>
            </w:pPr>
            <w:r w:rsidRPr="006E6995">
              <w:rPr>
                <w:color w:val="000000"/>
                <w:sz w:val="22"/>
              </w:rPr>
              <w:t>AZST</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0.034518525</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0.304179385</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2.415931</w:t>
            </w:r>
          </w:p>
        </w:tc>
      </w:tr>
      <w:tr w:rsidR="006E6995" w:rsidRPr="006E6995" w:rsidTr="00843CB6">
        <w:trPr>
          <w:trHeight w:val="315"/>
        </w:trPr>
        <w:tc>
          <w:tcPr>
            <w:tcW w:w="1147" w:type="dxa"/>
          </w:tcPr>
          <w:p w:rsidR="006E6995" w:rsidRPr="006E6995" w:rsidRDefault="006E6995" w:rsidP="006E6995">
            <w:pPr>
              <w:spacing w:line="240" w:lineRule="auto"/>
              <w:ind w:firstLine="0"/>
              <w:jc w:val="center"/>
              <w:rPr>
                <w:sz w:val="22"/>
              </w:rPr>
            </w:pPr>
            <w:r w:rsidRPr="006E6995">
              <w:rPr>
                <w:color w:val="000000"/>
                <w:sz w:val="22"/>
              </w:rPr>
              <w:t>USCB</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0.033634422</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0.018009388</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2.269267</w:t>
            </w:r>
          </w:p>
        </w:tc>
      </w:tr>
      <w:tr w:rsidR="006E6995" w:rsidRPr="006E6995" w:rsidTr="00843CB6">
        <w:trPr>
          <w:trHeight w:val="315"/>
        </w:trPr>
        <w:tc>
          <w:tcPr>
            <w:tcW w:w="1147" w:type="dxa"/>
          </w:tcPr>
          <w:p w:rsidR="006E6995" w:rsidRPr="006E6995" w:rsidRDefault="006E6995" w:rsidP="006E6995">
            <w:pPr>
              <w:spacing w:line="240" w:lineRule="auto"/>
              <w:ind w:firstLine="0"/>
              <w:jc w:val="center"/>
              <w:rPr>
                <w:sz w:val="22"/>
              </w:rPr>
            </w:pPr>
            <w:r w:rsidRPr="006E6995">
              <w:rPr>
                <w:color w:val="000000"/>
                <w:sz w:val="22"/>
              </w:rPr>
              <w:t>CEEN</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0.035108518</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0.248449695</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2.180433</w:t>
            </w:r>
          </w:p>
        </w:tc>
      </w:tr>
      <w:tr w:rsidR="006E6995" w:rsidRPr="006E6995" w:rsidTr="00843CB6">
        <w:trPr>
          <w:trHeight w:val="315"/>
        </w:trPr>
        <w:tc>
          <w:tcPr>
            <w:tcW w:w="1147" w:type="dxa"/>
          </w:tcPr>
          <w:p w:rsidR="006E6995" w:rsidRPr="006E6995" w:rsidRDefault="006E6995" w:rsidP="006E6995">
            <w:pPr>
              <w:spacing w:line="240" w:lineRule="auto"/>
              <w:ind w:firstLine="0"/>
              <w:jc w:val="center"/>
              <w:rPr>
                <w:sz w:val="22"/>
              </w:rPr>
            </w:pPr>
            <w:r w:rsidRPr="006E6995">
              <w:rPr>
                <w:color w:val="000000"/>
                <w:sz w:val="22"/>
              </w:rPr>
              <w:t>MSICH</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0.035489854</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0.133085215</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2.799755</w:t>
            </w:r>
          </w:p>
        </w:tc>
      </w:tr>
      <w:tr w:rsidR="006E6995" w:rsidRPr="006E6995" w:rsidTr="00843CB6">
        <w:trPr>
          <w:trHeight w:val="300"/>
        </w:trPr>
        <w:tc>
          <w:tcPr>
            <w:tcW w:w="1147" w:type="dxa"/>
          </w:tcPr>
          <w:p w:rsidR="006E6995" w:rsidRPr="006E6995" w:rsidRDefault="006E6995" w:rsidP="006E6995">
            <w:pPr>
              <w:spacing w:line="240" w:lineRule="auto"/>
              <w:ind w:firstLine="0"/>
              <w:jc w:val="center"/>
              <w:rPr>
                <w:sz w:val="22"/>
              </w:rPr>
            </w:pPr>
            <w:r w:rsidRPr="006E6995">
              <w:rPr>
                <w:color w:val="000000"/>
                <w:sz w:val="22"/>
              </w:rPr>
              <w:t>ZAEN</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0.052902329</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3.024165298</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29.77586</w:t>
            </w:r>
          </w:p>
        </w:tc>
      </w:tr>
      <w:tr w:rsidR="006E6995" w:rsidRPr="006E6995" w:rsidTr="00843CB6">
        <w:trPr>
          <w:trHeight w:val="300"/>
        </w:trPr>
        <w:tc>
          <w:tcPr>
            <w:tcW w:w="1147" w:type="dxa"/>
          </w:tcPr>
          <w:p w:rsidR="006E6995" w:rsidRPr="006E6995" w:rsidRDefault="006E6995" w:rsidP="006E6995">
            <w:pPr>
              <w:spacing w:line="240" w:lineRule="auto"/>
              <w:ind w:firstLine="0"/>
              <w:jc w:val="center"/>
              <w:rPr>
                <w:color w:val="000000"/>
                <w:sz w:val="22"/>
              </w:rPr>
            </w:pPr>
            <w:r w:rsidRPr="006E6995">
              <w:rPr>
                <w:color w:val="000000"/>
                <w:sz w:val="22"/>
              </w:rPr>
              <w:t>ENMZ</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0.040226266</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0.937452096</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8.364822</w:t>
            </w:r>
          </w:p>
        </w:tc>
      </w:tr>
      <w:tr w:rsidR="006E6995" w:rsidRPr="006E6995" w:rsidTr="00843CB6">
        <w:trPr>
          <w:trHeight w:val="300"/>
        </w:trPr>
        <w:tc>
          <w:tcPr>
            <w:tcW w:w="1147" w:type="dxa"/>
          </w:tcPr>
          <w:p w:rsidR="006E6995" w:rsidRPr="006E6995" w:rsidRDefault="006E6995" w:rsidP="006E6995">
            <w:pPr>
              <w:spacing w:line="240" w:lineRule="auto"/>
              <w:ind w:firstLine="0"/>
              <w:jc w:val="center"/>
              <w:rPr>
                <w:color w:val="000000"/>
                <w:sz w:val="22"/>
              </w:rPr>
            </w:pPr>
            <w:r w:rsidRPr="006E6995">
              <w:rPr>
                <w:color w:val="000000"/>
                <w:sz w:val="22"/>
              </w:rPr>
              <w:t>UTLM</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0.029192653</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-1.04208687</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5.418051</w:t>
            </w:r>
          </w:p>
        </w:tc>
      </w:tr>
      <w:tr w:rsidR="006E6995" w:rsidRPr="006E6995" w:rsidTr="00843CB6">
        <w:trPr>
          <w:trHeight w:val="300"/>
        </w:trPr>
        <w:tc>
          <w:tcPr>
            <w:tcW w:w="1147" w:type="dxa"/>
          </w:tcPr>
          <w:p w:rsidR="006E6995" w:rsidRPr="006E6995" w:rsidRDefault="006E6995" w:rsidP="006E6995">
            <w:pPr>
              <w:spacing w:line="240" w:lineRule="auto"/>
              <w:ind w:firstLine="0"/>
              <w:jc w:val="center"/>
              <w:rPr>
                <w:color w:val="000000"/>
                <w:sz w:val="22"/>
              </w:rPr>
            </w:pPr>
            <w:r w:rsidRPr="006E6995">
              <w:rPr>
                <w:color w:val="000000"/>
                <w:sz w:val="22"/>
              </w:rPr>
              <w:t>BAVL</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0.028485104</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-0.34360573</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2.068904</w:t>
            </w:r>
          </w:p>
        </w:tc>
      </w:tr>
      <w:tr w:rsidR="006E6995" w:rsidRPr="006E6995" w:rsidTr="00843CB6">
        <w:trPr>
          <w:trHeight w:val="300"/>
        </w:trPr>
        <w:tc>
          <w:tcPr>
            <w:tcW w:w="1147" w:type="dxa"/>
          </w:tcPr>
          <w:p w:rsidR="006E6995" w:rsidRPr="006E6995" w:rsidRDefault="006E6995" w:rsidP="006E6995">
            <w:pPr>
              <w:spacing w:line="240" w:lineRule="auto"/>
              <w:ind w:firstLine="0"/>
              <w:jc w:val="center"/>
              <w:rPr>
                <w:color w:val="000000"/>
                <w:sz w:val="22"/>
              </w:rPr>
            </w:pPr>
            <w:r w:rsidRPr="006E6995">
              <w:rPr>
                <w:color w:val="000000"/>
                <w:sz w:val="22"/>
              </w:rPr>
              <w:t>KVBZ</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0.030720933</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0.796441055</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5.064090</w:t>
            </w:r>
          </w:p>
        </w:tc>
      </w:tr>
      <w:tr w:rsidR="006E6995" w:rsidRPr="006E6995" w:rsidTr="00843CB6">
        <w:trPr>
          <w:trHeight w:val="300"/>
        </w:trPr>
        <w:tc>
          <w:tcPr>
            <w:tcW w:w="1147" w:type="dxa"/>
          </w:tcPr>
          <w:p w:rsidR="006E6995" w:rsidRPr="006E6995" w:rsidRDefault="006E6995" w:rsidP="006E6995">
            <w:pPr>
              <w:spacing w:line="240" w:lineRule="auto"/>
              <w:ind w:firstLine="0"/>
              <w:jc w:val="center"/>
              <w:rPr>
                <w:color w:val="000000"/>
                <w:sz w:val="22"/>
              </w:rPr>
            </w:pPr>
            <w:r w:rsidRPr="006E6995">
              <w:rPr>
                <w:color w:val="000000"/>
                <w:sz w:val="22"/>
              </w:rPr>
              <w:t>AVDK</w:t>
            </w:r>
          </w:p>
        </w:tc>
        <w:tc>
          <w:tcPr>
            <w:tcW w:w="2403"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0.034029474</w:t>
            </w:r>
          </w:p>
        </w:tc>
        <w:tc>
          <w:tcPr>
            <w:tcW w:w="1386"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-0.14974052</w:t>
            </w:r>
          </w:p>
        </w:tc>
        <w:tc>
          <w:tcPr>
            <w:tcW w:w="1386" w:type="dxa"/>
          </w:tcPr>
          <w:p w:rsidR="006E6995" w:rsidRPr="006E6995" w:rsidRDefault="006E6995" w:rsidP="006E6995">
            <w:pPr>
              <w:spacing w:line="240" w:lineRule="auto"/>
              <w:ind w:firstLine="0"/>
              <w:jc w:val="center"/>
              <w:rPr>
                <w:color w:val="000000"/>
                <w:sz w:val="22"/>
              </w:rPr>
            </w:pPr>
            <w:r w:rsidRPr="006E6995">
              <w:rPr>
                <w:color w:val="000000"/>
                <w:sz w:val="22"/>
              </w:rPr>
              <w:t>3.275902</w:t>
            </w:r>
          </w:p>
        </w:tc>
      </w:tr>
    </w:tbl>
    <w:p w:rsidR="00024F14" w:rsidRDefault="00024F14" w:rsidP="006E6995">
      <w:pPr>
        <w:rPr>
          <w:lang w:val="en-US"/>
        </w:rPr>
      </w:pPr>
    </w:p>
    <w:p w:rsidR="006E6995" w:rsidRPr="006E6995" w:rsidRDefault="006E6995" w:rsidP="006E6995">
      <w:pPr>
        <w:rPr>
          <w:lang w:val="en-US"/>
        </w:rPr>
      </w:pPr>
      <w:r w:rsidRPr="006E6995">
        <w:rPr>
          <w:lang w:val="en-US"/>
        </w:rPr>
        <w:lastRenderedPageBreak/>
        <w:t>Once again we turn back to the initial assumptions of the CAPM. As it only takes into account the mean-variance and the returns variance</w:t>
      </w:r>
      <w:r w:rsidR="00DE6593">
        <w:rPr>
          <w:lang w:val="en-US"/>
        </w:rPr>
        <w:t> [14]</w:t>
      </w:r>
      <w:r w:rsidRPr="006E6995">
        <w:rPr>
          <w:lang w:val="en-US"/>
        </w:rPr>
        <w:t>, higher order moments are irrelevant to it. This would mean that any deviation from the mean value would be perceived equally by the investors; however, calculations showed that this is not true: there is a tendency to a positive skewness and the distribution is asymmetrical. The CAPM’s limitations and reserving to only observing the first and second order moments can only be reasonable in case of a normal distribution, which, as it has been shown, is not the case. The Ukrainian stock market is characterized by high volatility and bias compared to the normal distribution. Given that, characteristics of returns distribution play an important role for investors, and they are measured by higher order moments. This provides us with need for a model that takes those into account.</w:t>
      </w:r>
    </w:p>
    <w:p w:rsidR="006E6995" w:rsidRPr="00CB710C" w:rsidRDefault="006E6995" w:rsidP="006E6995">
      <w:pPr>
        <w:pStyle w:val="1"/>
      </w:pPr>
      <w:bookmarkStart w:id="6" w:name="_Toc309880084"/>
      <w:r w:rsidRPr="00CB710C">
        <w:t>An Alternative Model: the D-CAPM</w:t>
      </w:r>
      <w:bookmarkEnd w:id="6"/>
    </w:p>
    <w:p w:rsidR="006E6995" w:rsidRDefault="006E6995" w:rsidP="006E6995">
      <w:pPr>
        <w:rPr>
          <w:lang w:val="en-US"/>
        </w:rPr>
      </w:pPr>
      <w:r w:rsidRPr="006E6995">
        <w:rPr>
          <w:lang w:val="en-US"/>
        </w:rPr>
        <w:t>The Downside Capital Asset Pricing Model was introduced by Javier Estrada in 2002 as a modification to Markowitz’s classic CAPM. While the latter uses yields dispersion as the asset risk measure making no difference between upside and downside deviation, the D-CAPM uses semicovariance instead. This allows discarding some of the classic CAPM’s assumptions, such as the normal distribution of returns and that investors’ behaviour is determined by expected returns and asset returns dispersion</w:t>
      </w:r>
      <w:r w:rsidR="00DE6593">
        <w:rPr>
          <w:lang w:val="en-US"/>
        </w:rPr>
        <w:t> [18]</w:t>
      </w:r>
      <w:r w:rsidRPr="006E6995">
        <w:rPr>
          <w:lang w:val="en-US"/>
        </w:rPr>
        <w:t xml:space="preserve">. As it was shown in previous sections, this is not true. Standard deviation can only be used in case of symmetrical yield distribution; and it can serve as a measure of risk only when it is a normal distribution. Also, investors tend to avoid risk on the downside, whereas the possibility of bigger returns than expected earlier is rarely a turn-off for them; as a result of this logical conclusion the model only incorporates downside risk. Because investing in developing markets is very risky for a western investor, </w:t>
      </w:r>
      <w:r>
        <w:rPr>
          <w:lang w:val="en-US"/>
        </w:rPr>
        <w:t>he</w:t>
      </w:r>
      <w:r w:rsidRPr="006E6995">
        <w:rPr>
          <w:lang w:val="en-US"/>
        </w:rPr>
        <w:t xml:space="preserve"> </w:t>
      </w:r>
      <w:r>
        <w:rPr>
          <w:lang w:val="en-US"/>
        </w:rPr>
        <w:t>tries</w:t>
      </w:r>
      <w:r w:rsidRPr="006E6995">
        <w:rPr>
          <w:lang w:val="en-US"/>
        </w:rPr>
        <w:t xml:space="preserve"> </w:t>
      </w:r>
      <w:r>
        <w:rPr>
          <w:lang w:val="en-US"/>
        </w:rPr>
        <w:t>to</w:t>
      </w:r>
      <w:r w:rsidRPr="006E6995">
        <w:rPr>
          <w:lang w:val="en-US"/>
        </w:rPr>
        <w:t xml:space="preserve"> </w:t>
      </w:r>
      <w:r>
        <w:rPr>
          <w:lang w:val="en-US"/>
        </w:rPr>
        <w:t>primarily</w:t>
      </w:r>
      <w:r w:rsidRPr="006E6995">
        <w:rPr>
          <w:lang w:val="en-US"/>
        </w:rPr>
        <w:t xml:space="preserve"> </w:t>
      </w:r>
      <w:r>
        <w:rPr>
          <w:lang w:val="en-US"/>
        </w:rPr>
        <w:t>avoid</w:t>
      </w:r>
      <w:r w:rsidRPr="006E6995">
        <w:rPr>
          <w:lang w:val="en-US"/>
        </w:rPr>
        <w:t xml:space="preserve"> </w:t>
      </w:r>
      <w:r>
        <w:rPr>
          <w:lang w:val="en-US"/>
        </w:rPr>
        <w:t>the</w:t>
      </w:r>
      <w:r w:rsidRPr="006E6995">
        <w:rPr>
          <w:lang w:val="en-US"/>
        </w:rPr>
        <w:t xml:space="preserve"> </w:t>
      </w:r>
      <w:r>
        <w:rPr>
          <w:lang w:val="en-US"/>
        </w:rPr>
        <w:t>risk</w:t>
      </w:r>
      <w:r w:rsidRPr="006E6995">
        <w:rPr>
          <w:lang w:val="en-US"/>
        </w:rPr>
        <w:t xml:space="preserve"> </w:t>
      </w:r>
      <w:r>
        <w:rPr>
          <w:lang w:val="en-US"/>
        </w:rPr>
        <w:t>of</w:t>
      </w:r>
      <w:r w:rsidRPr="006E6995">
        <w:rPr>
          <w:lang w:val="en-US"/>
        </w:rPr>
        <w:t xml:space="preserve"> </w:t>
      </w:r>
      <w:r>
        <w:rPr>
          <w:lang w:val="en-US"/>
        </w:rPr>
        <w:t>losing</w:t>
      </w:r>
      <w:r w:rsidRPr="006E6995">
        <w:rPr>
          <w:lang w:val="en-US"/>
        </w:rPr>
        <w:t xml:space="preserve"> </w:t>
      </w:r>
      <w:r>
        <w:rPr>
          <w:lang w:val="en-US"/>
        </w:rPr>
        <w:t>the initial value of his investments, or avoids decreasing of this value below a predefined target level. Because</w:t>
      </w:r>
      <w:r w:rsidRPr="00BD5F65">
        <w:rPr>
          <w:lang w:val="en-US"/>
        </w:rPr>
        <w:t xml:space="preserve"> </w:t>
      </w:r>
      <w:r>
        <w:rPr>
          <w:lang w:val="en-US"/>
        </w:rPr>
        <w:t>of</w:t>
      </w:r>
      <w:r w:rsidRPr="00BD5F65">
        <w:rPr>
          <w:lang w:val="en-US"/>
        </w:rPr>
        <w:t xml:space="preserve"> </w:t>
      </w:r>
      <w:r>
        <w:rPr>
          <w:lang w:val="en-US"/>
        </w:rPr>
        <w:t>this</w:t>
      </w:r>
      <w:r w:rsidRPr="00BD5F65">
        <w:rPr>
          <w:lang w:val="en-US"/>
        </w:rPr>
        <w:t xml:space="preserve"> </w:t>
      </w:r>
      <w:r>
        <w:rPr>
          <w:lang w:val="en-US"/>
        </w:rPr>
        <w:t>using</w:t>
      </w:r>
      <w:r w:rsidRPr="00BD5F65">
        <w:rPr>
          <w:lang w:val="en-US"/>
        </w:rPr>
        <w:t xml:space="preserve"> </w:t>
      </w:r>
      <w:r>
        <w:rPr>
          <w:lang w:val="en-US"/>
        </w:rPr>
        <w:t>the</w:t>
      </w:r>
      <w:r w:rsidRPr="00BD5F65">
        <w:rPr>
          <w:lang w:val="en-US"/>
        </w:rPr>
        <w:t xml:space="preserve"> </w:t>
      </w:r>
      <w:r>
        <w:rPr>
          <w:lang w:val="en-US"/>
        </w:rPr>
        <w:t>semidispersion</w:t>
      </w:r>
      <w:r w:rsidRPr="00BD5F65">
        <w:rPr>
          <w:lang w:val="en-US"/>
        </w:rPr>
        <w:t xml:space="preserve"> </w:t>
      </w:r>
      <w:r>
        <w:rPr>
          <w:lang w:val="en-US"/>
        </w:rPr>
        <w:t>and</w:t>
      </w:r>
      <w:r w:rsidRPr="00BD5F65">
        <w:rPr>
          <w:lang w:val="en-US"/>
        </w:rPr>
        <w:t xml:space="preserve">, </w:t>
      </w:r>
      <w:r>
        <w:rPr>
          <w:lang w:val="en-US"/>
        </w:rPr>
        <w:t>consequently, standard semideviation is reasonable.</w:t>
      </w:r>
    </w:p>
    <w:p w:rsidR="006E6995" w:rsidRPr="006E6995" w:rsidRDefault="006E6995" w:rsidP="006E6995">
      <w:pPr>
        <w:rPr>
          <w:lang w:val="en-US"/>
        </w:rPr>
      </w:pPr>
      <w:r w:rsidRPr="006E6995">
        <w:rPr>
          <w:lang w:val="en-US"/>
        </w:rPr>
        <w:lastRenderedPageBreak/>
        <w:t>The semicovariance (</w:t>
      </w:r>
      <m:oMath>
        <m:sSub>
          <m:sSubPr>
            <m:ctrlPr>
              <w:rPr>
                <w:rFonts w:ascii="Cambria Math" w:hAnsi="Cambria Math"/>
                <w:i/>
              </w:rPr>
            </m:ctrlPr>
          </m:sSubPr>
          <m:e>
            <m:r>
              <w:rPr>
                <w:rFonts w:ascii="Cambria Math" w:hAnsi="Cambria Math"/>
              </w:rPr>
              <m:t>Σ</m:t>
            </m:r>
          </m:e>
          <m:sub>
            <m:r>
              <w:rPr>
                <w:rFonts w:ascii="Cambria Math" w:hAnsi="Cambria Math"/>
              </w:rPr>
              <m:t>iM</m:t>
            </m:r>
          </m:sub>
        </m:sSub>
      </m:oMath>
      <w:r w:rsidRPr="006E6995">
        <w:rPr>
          <w:lang w:val="en-US"/>
        </w:rPr>
        <w:t>) used in the D-CAPM is the analogue of the classic model’s covariance</w:t>
      </w:r>
      <w:r w:rsidR="00DE6593">
        <w:rPr>
          <w:lang w:val="en-US"/>
        </w:rPr>
        <w:t> [18]</w:t>
      </w:r>
      <w:r w:rsidRPr="006E6995">
        <w:rPr>
          <w:lang w:val="en-US"/>
        </w:rPr>
        <w:t>:</w:t>
      </w:r>
    </w:p>
    <w:p w:rsidR="006E6995" w:rsidRPr="006E6995" w:rsidRDefault="006E6995" w:rsidP="006E6995">
      <w:pPr>
        <w:tabs>
          <w:tab w:val="left" w:pos="1985"/>
          <w:tab w:val="right" w:pos="9072"/>
        </w:tabs>
        <w:ind w:firstLine="708"/>
        <w:rPr>
          <w:rFonts w:eastAsiaTheme="minorEastAsia"/>
          <w:lang w:val="en-US"/>
        </w:rPr>
      </w:pPr>
      <w:r w:rsidRPr="006E6995">
        <w:rPr>
          <w:rFonts w:eastAsiaTheme="minorEastAsia"/>
          <w:lang w:val="en-US"/>
        </w:rPr>
        <w:tab/>
      </w:r>
      <m:oMath>
        <m:sSub>
          <m:sSubPr>
            <m:ctrlPr>
              <w:rPr>
                <w:rFonts w:ascii="Cambria Math" w:hAnsi="Cambria Math"/>
                <w:i/>
              </w:rPr>
            </m:ctrlPr>
          </m:sSubPr>
          <m:e>
            <m:r>
              <w:rPr>
                <w:rFonts w:ascii="Cambria Math" w:hAnsi="Cambria Math"/>
              </w:rPr>
              <m:t>Σ</m:t>
            </m:r>
          </m:e>
          <m:sub>
            <m:r>
              <w:rPr>
                <w:rFonts w:ascii="Cambria Math" w:hAnsi="Cambria Math"/>
              </w:rPr>
              <m:t>iM</m:t>
            </m:r>
          </m:sub>
        </m:sSub>
        <m:r>
          <w:rPr>
            <w:rFonts w:ascii="Cambria Math" w:hAnsi="Cambria Math"/>
            <w:lang w:val="en-US"/>
          </w:rPr>
          <m:t>=</m:t>
        </m:r>
        <m:r>
          <w:rPr>
            <w:rFonts w:ascii="Cambria Math" w:hAnsi="Cambria Math"/>
          </w:rPr>
          <m:t>E</m:t>
        </m:r>
        <m:d>
          <m:dPr>
            <m:begChr m:val="{"/>
            <m:endChr m:val="}"/>
            <m:ctrlPr>
              <w:rPr>
                <w:rFonts w:ascii="Cambria Math" w:hAnsi="Cambria Math"/>
                <w:i/>
              </w:rPr>
            </m:ctrlPr>
          </m:dPr>
          <m:e>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μ</m:t>
                        </m:r>
                      </m:e>
                      <m:sub>
                        <m:r>
                          <w:rPr>
                            <w:rFonts w:ascii="Cambria Math" w:hAnsi="Cambria Math"/>
                          </w:rPr>
                          <m:t>i</m:t>
                        </m:r>
                      </m:sub>
                    </m:sSub>
                  </m:e>
                </m:d>
                <m:r>
                  <w:rPr>
                    <w:rFonts w:ascii="Cambria Math" w:hAnsi="Cambria Math"/>
                    <w:lang w:val="en-US"/>
                  </w:rPr>
                  <m:t>,0</m:t>
                </m:r>
              </m:e>
            </m:d>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lang w:val="en-US"/>
                      </w:rPr>
                      <m:t>-</m:t>
                    </m:r>
                    <m:sSub>
                      <m:sSubPr>
                        <m:ctrlPr>
                          <w:rPr>
                            <w:rFonts w:ascii="Cambria Math" w:hAnsi="Cambria Math"/>
                            <w:i/>
                          </w:rPr>
                        </m:ctrlPr>
                      </m:sSubPr>
                      <m:e>
                        <m:r>
                          <w:rPr>
                            <w:rFonts w:ascii="Cambria Math" w:hAnsi="Cambria Math"/>
                          </w:rPr>
                          <m:t>μ</m:t>
                        </m:r>
                      </m:e>
                      <m:sub>
                        <m:r>
                          <w:rPr>
                            <w:rFonts w:ascii="Cambria Math" w:hAnsi="Cambria Math"/>
                          </w:rPr>
                          <m:t>M</m:t>
                        </m:r>
                      </m:sub>
                    </m:sSub>
                  </m:e>
                </m:d>
                <m:r>
                  <w:rPr>
                    <w:rFonts w:ascii="Cambria Math" w:hAnsi="Cambria Math"/>
                    <w:lang w:val="en-US"/>
                  </w:rPr>
                  <m:t>,0</m:t>
                </m:r>
              </m:e>
            </m:d>
          </m:e>
        </m:d>
      </m:oMath>
      <w:r w:rsidRPr="006E6995">
        <w:rPr>
          <w:rFonts w:eastAsiaTheme="minorEastAsia"/>
          <w:lang w:val="en-US"/>
        </w:rPr>
        <w:tab/>
        <w:t>(6)</w:t>
      </w:r>
    </w:p>
    <w:p w:rsidR="006E6995" w:rsidRPr="006E6995" w:rsidRDefault="006E6995" w:rsidP="006E6995">
      <w:pPr>
        <w:rPr>
          <w:rFonts w:eastAsiaTheme="minorEastAsia"/>
          <w:lang w:val="en-US"/>
        </w:rPr>
      </w:pPr>
      <w:r w:rsidRPr="006E6995">
        <w:rPr>
          <w:lang w:val="en-US"/>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rsidRPr="006E6995">
        <w:rPr>
          <w:rFonts w:eastAsiaTheme="minorEastAsia"/>
          <w:lang w:val="en-US"/>
        </w:rPr>
        <w:t xml:space="preserve"> and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m:t>
            </m:r>
          </m:sub>
        </m:sSub>
      </m:oMath>
      <w:r w:rsidRPr="006E6995">
        <w:rPr>
          <w:rFonts w:eastAsiaTheme="minorEastAsia"/>
          <w:lang w:val="en-US"/>
        </w:rPr>
        <w:t xml:space="preserve"> is the mean of returns of the investor’s portfolio and market portfolio respectively. This indicator is used when calculating the modified beta coefficient by dividing it by semivariance of the market portfolio</w:t>
      </w:r>
      <w:r w:rsidR="00DE6593">
        <w:rPr>
          <w:rFonts w:eastAsiaTheme="minorEastAsia"/>
          <w:lang w:val="en-US"/>
        </w:rPr>
        <w:t> [18]</w:t>
      </w:r>
      <w:r w:rsidRPr="006E6995">
        <w:rPr>
          <w:rFonts w:eastAsiaTheme="minorEastAsia"/>
          <w:lang w:val="en-US"/>
        </w:rPr>
        <w:t>:</w:t>
      </w:r>
    </w:p>
    <w:p w:rsidR="006E6995" w:rsidRDefault="006E6995" w:rsidP="006E6995">
      <w:pPr>
        <w:tabs>
          <w:tab w:val="left" w:pos="1985"/>
          <w:tab w:val="right" w:pos="9072"/>
        </w:tabs>
        <w:spacing w:after="1080"/>
        <w:rPr>
          <w:rFonts w:eastAsiaTheme="minorEastAsia"/>
          <w:lang w:val="en-US"/>
        </w:rPr>
      </w:pPr>
      <w:r w:rsidRPr="006E6995">
        <w:rPr>
          <w:rFonts w:eastAsiaTheme="minorEastAsia"/>
          <w:lang w:val="en-US"/>
        </w:rPr>
        <w:tab/>
      </w:r>
      <m:oMath>
        <m:sSubSup>
          <m:sSubSupPr>
            <m:ctrlPr>
              <w:rPr>
                <w:rFonts w:ascii="Cambria Math" w:hAnsi="Cambria Math"/>
                <w:i/>
              </w:rPr>
            </m:ctrlPr>
          </m:sSubSupPr>
          <m:e>
            <m:r>
              <w:rPr>
                <w:rFonts w:ascii="Cambria Math" w:hAnsi="Cambria Math"/>
              </w:rPr>
              <m:t>β</m:t>
            </m:r>
          </m:e>
          <m:sub>
            <m:r>
              <w:rPr>
                <w:rFonts w:ascii="Cambria Math" w:hAnsi="Cambria Math"/>
              </w:rPr>
              <m:t>i</m:t>
            </m:r>
          </m:sub>
          <m:sup>
            <m:r>
              <w:rPr>
                <w:rFonts w:ascii="Cambria Math" w:hAnsi="Cambria Math"/>
              </w:rPr>
              <m:t>D</m:t>
            </m:r>
          </m:sup>
        </m:sSubSup>
        <m:r>
          <w:rPr>
            <w:rFonts w:ascii="Cambria Math" w:hAnsi="Cambria Math"/>
            <w:lang w:val="en-US"/>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iM</m:t>
                </m:r>
              </m:sub>
            </m:sSub>
            <m:ctrlPr>
              <w:rPr>
                <w:rFonts w:ascii="Cambria Math" w:eastAsiaTheme="minorEastAsia" w:hAnsi="Cambria Math"/>
                <w:i/>
              </w:rPr>
            </m:ctrlPr>
          </m:num>
          <m:den>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M</m:t>
                </m:r>
              </m:sub>
              <m:sup>
                <m:r>
                  <w:rPr>
                    <w:rFonts w:ascii="Cambria Math" w:eastAsiaTheme="minorEastAsia" w:hAnsi="Cambria Math"/>
                    <w:lang w:val="en-US"/>
                  </w:rPr>
                  <m:t>2</m:t>
                </m:r>
              </m:sup>
            </m:sSubSup>
          </m:den>
        </m:f>
        <m:r>
          <w:rPr>
            <w:rFonts w:ascii="Cambria Math" w:hAnsi="Cambria Math"/>
            <w:lang w:val="en-US"/>
          </w:rPr>
          <m:t>=</m:t>
        </m:r>
        <m:f>
          <m:fPr>
            <m:ctrlPr>
              <w:rPr>
                <w:rFonts w:ascii="Cambria Math" w:hAnsi="Cambria Math"/>
                <w:i/>
              </w:rPr>
            </m:ctrlPr>
          </m:fPr>
          <m:num>
            <m:r>
              <w:rPr>
                <w:rFonts w:ascii="Cambria Math" w:hAnsi="Cambria Math"/>
              </w:rPr>
              <m:t>E</m:t>
            </m:r>
            <m:d>
              <m:dPr>
                <m:begChr m:val="{"/>
                <m:endChr m:val="}"/>
                <m:ctrlPr>
                  <w:rPr>
                    <w:rFonts w:ascii="Cambria Math" w:hAnsi="Cambria Math"/>
                    <w:i/>
                  </w:rPr>
                </m:ctrlPr>
              </m:dPr>
              <m:e>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μ</m:t>
                            </m:r>
                          </m:e>
                          <m:sub>
                            <m:r>
                              <w:rPr>
                                <w:rFonts w:ascii="Cambria Math" w:hAnsi="Cambria Math"/>
                              </w:rPr>
                              <m:t>i</m:t>
                            </m:r>
                          </m:sub>
                        </m:sSub>
                      </m:e>
                    </m:d>
                    <m:r>
                      <w:rPr>
                        <w:rFonts w:ascii="Cambria Math" w:hAnsi="Cambria Math"/>
                        <w:lang w:val="en-US"/>
                      </w:rPr>
                      <m:t>,0</m:t>
                    </m:r>
                  </m:e>
                </m:d>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lang w:val="en-US"/>
                          </w:rPr>
                          <m:t>-</m:t>
                        </m:r>
                        <m:sSub>
                          <m:sSubPr>
                            <m:ctrlPr>
                              <w:rPr>
                                <w:rFonts w:ascii="Cambria Math" w:hAnsi="Cambria Math"/>
                                <w:i/>
                              </w:rPr>
                            </m:ctrlPr>
                          </m:sSubPr>
                          <m:e>
                            <m:r>
                              <w:rPr>
                                <w:rFonts w:ascii="Cambria Math" w:hAnsi="Cambria Math"/>
                              </w:rPr>
                              <m:t>μ</m:t>
                            </m:r>
                          </m:e>
                          <m:sub>
                            <m:r>
                              <w:rPr>
                                <w:rFonts w:ascii="Cambria Math" w:hAnsi="Cambria Math"/>
                              </w:rPr>
                              <m:t>M</m:t>
                            </m:r>
                          </m:sub>
                        </m:sSub>
                      </m:e>
                    </m:d>
                    <m:r>
                      <w:rPr>
                        <w:rFonts w:ascii="Cambria Math" w:hAnsi="Cambria Math"/>
                        <w:lang w:val="en-US"/>
                      </w:rPr>
                      <m:t>,0</m:t>
                    </m:r>
                  </m:e>
                </m:d>
              </m:e>
            </m:d>
            <m:ctrlPr>
              <w:rPr>
                <w:rFonts w:ascii="Cambria Math" w:eastAsiaTheme="minorEastAsia" w:hAnsi="Cambria Math"/>
                <w:i/>
              </w:rPr>
            </m:ctrlPr>
          </m:num>
          <m:den>
            <m:r>
              <w:rPr>
                <w:rFonts w:ascii="Cambria Math" w:eastAsiaTheme="minorEastAsia" w:hAnsi="Cambria Math"/>
              </w:rPr>
              <m:t>E</m:t>
            </m:r>
            <m:d>
              <m:dPr>
                <m:begChr m:val="{"/>
                <m:endChr m:val="}"/>
                <m:ctrlPr>
                  <w:rPr>
                    <w:rFonts w:ascii="Cambria Math" w:eastAsiaTheme="minorEastAsia" w:hAnsi="Cambria Math"/>
                    <w:i/>
                  </w:rPr>
                </m:ctrlPr>
              </m:dPr>
              <m:e>
                <m:r>
                  <w:rPr>
                    <w:rFonts w:ascii="Cambria Math" w:eastAsiaTheme="minorEastAsia" w:hAnsi="Cambria Math"/>
                  </w:rPr>
                  <m:t>Min</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M</m:t>
                                </m:r>
                              </m:sub>
                            </m:sSub>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m:t>
                                </m:r>
                              </m:sub>
                            </m:sSub>
                          </m:e>
                        </m:d>
                        <m:r>
                          <w:rPr>
                            <w:rFonts w:ascii="Cambria Math" w:eastAsiaTheme="minorEastAsia" w:hAnsi="Cambria Math"/>
                            <w:lang w:val="en-US"/>
                          </w:rPr>
                          <m:t>,0</m:t>
                        </m:r>
                      </m:e>
                    </m:d>
                  </m:e>
                  <m:sup>
                    <m:r>
                      <w:rPr>
                        <w:rFonts w:ascii="Cambria Math" w:eastAsiaTheme="minorEastAsia" w:hAnsi="Cambria Math"/>
                        <w:lang w:val="en-US"/>
                      </w:rPr>
                      <m:t>2</m:t>
                    </m:r>
                  </m:sup>
                </m:sSup>
              </m:e>
            </m:d>
          </m:den>
        </m:f>
      </m:oMath>
      <w:r w:rsidRPr="006E6995">
        <w:rPr>
          <w:rFonts w:eastAsiaTheme="minorEastAsia"/>
          <w:lang w:val="en-US"/>
        </w:rPr>
        <w:tab/>
        <w:t>(7)</w:t>
      </w:r>
    </w:p>
    <w:p w:rsidR="00024F14" w:rsidRDefault="00024F14" w:rsidP="00024F14">
      <w:pPr>
        <w:pStyle w:val="a5"/>
        <w:spacing w:after="0" w:line="360" w:lineRule="auto"/>
        <w:jc w:val="center"/>
      </w:pPr>
      <w:bookmarkStart w:id="7" w:name="_Toc309880060"/>
      <w:r w:rsidRPr="00CB710C">
        <w:rPr>
          <w:b/>
        </w:rPr>
        <w:t xml:space="preserve">Table </w:t>
      </w:r>
      <w:r>
        <w:rPr>
          <w:b/>
        </w:rPr>
        <w:t xml:space="preserve">5. </w:t>
      </w:r>
      <w:r>
        <w:t>Results of regression of mean of returns on risk factors for each given asset</w:t>
      </w:r>
      <w:bookmarkEnd w:id="7"/>
    </w:p>
    <w:tbl>
      <w:tblPr>
        <w:tblStyle w:val="ad"/>
        <w:tblW w:w="8611" w:type="dxa"/>
        <w:tblInd w:w="534" w:type="dxa"/>
        <w:tblLayout w:type="fixed"/>
        <w:tblLook w:val="04A0"/>
      </w:tblPr>
      <w:tblGrid>
        <w:gridCol w:w="1101"/>
        <w:gridCol w:w="1559"/>
        <w:gridCol w:w="1596"/>
        <w:gridCol w:w="1560"/>
        <w:gridCol w:w="1559"/>
        <w:gridCol w:w="1236"/>
      </w:tblGrid>
      <w:tr w:rsidR="006E6995" w:rsidRPr="006E6995" w:rsidTr="00DE6593">
        <w:trPr>
          <w:trHeight w:val="300"/>
        </w:trPr>
        <w:tc>
          <w:tcPr>
            <w:tcW w:w="1101" w:type="dxa"/>
            <w:noWrap/>
            <w:hideMark/>
          </w:tcPr>
          <w:p w:rsidR="006E6995" w:rsidRPr="006E6995" w:rsidRDefault="006E6995" w:rsidP="006E6995">
            <w:pPr>
              <w:spacing w:line="240" w:lineRule="auto"/>
              <w:ind w:firstLine="0"/>
              <w:jc w:val="center"/>
              <w:rPr>
                <w:bCs/>
                <w:sz w:val="22"/>
                <w:lang w:val="en-US"/>
              </w:rPr>
            </w:pPr>
            <w:r w:rsidRPr="006E6995">
              <w:rPr>
                <w:bCs/>
                <w:sz w:val="22"/>
                <w:lang w:val="en-US"/>
              </w:rPr>
              <w:t>Ticker</w:t>
            </w:r>
          </w:p>
        </w:tc>
        <w:tc>
          <w:tcPr>
            <w:tcW w:w="1559" w:type="dxa"/>
            <w:noWrap/>
            <w:hideMark/>
          </w:tcPr>
          <w:p w:rsidR="006E6995" w:rsidRPr="006E6995" w:rsidRDefault="006E6995" w:rsidP="006E6995">
            <w:pPr>
              <w:spacing w:line="240" w:lineRule="auto"/>
              <w:ind w:firstLine="0"/>
              <w:jc w:val="center"/>
              <w:rPr>
                <w:bCs/>
                <w:sz w:val="22"/>
                <w:lang w:val="en-US"/>
              </w:rPr>
            </w:pPr>
            <m:oMathPara>
              <m:oMath>
                <m:r>
                  <w:rPr>
                    <w:rFonts w:ascii="Cambria Math" w:hAnsi="Cambria Math"/>
                    <w:sz w:val="22"/>
                    <w:lang w:val="en-US"/>
                  </w:rPr>
                  <m:t>β</m:t>
                </m:r>
              </m:oMath>
            </m:oMathPara>
          </w:p>
        </w:tc>
        <w:tc>
          <w:tcPr>
            <w:tcW w:w="1596" w:type="dxa"/>
            <w:noWrap/>
            <w:hideMark/>
          </w:tcPr>
          <w:p w:rsidR="006E6995" w:rsidRPr="006E6995" w:rsidRDefault="00F71825" w:rsidP="006E6995">
            <w:pPr>
              <w:spacing w:line="240" w:lineRule="auto"/>
              <w:ind w:firstLine="0"/>
              <w:jc w:val="center"/>
              <w:rPr>
                <w:bCs/>
                <w:sz w:val="22"/>
                <w:lang w:val="en-US"/>
              </w:rPr>
            </w:pPr>
            <m:oMathPara>
              <m:oMath>
                <m:sSup>
                  <m:sSupPr>
                    <m:ctrlPr>
                      <w:rPr>
                        <w:rFonts w:ascii="Cambria Math" w:hAnsi="Cambria Math"/>
                        <w:bCs/>
                        <w:i/>
                        <w:sz w:val="22"/>
                        <w:lang w:val="en-US"/>
                      </w:rPr>
                    </m:ctrlPr>
                  </m:sSupPr>
                  <m:e>
                    <m:r>
                      <w:rPr>
                        <w:rFonts w:ascii="Cambria Math" w:hAnsi="Cambria Math"/>
                        <w:sz w:val="22"/>
                        <w:lang w:val="en-US"/>
                      </w:rPr>
                      <m:t>β</m:t>
                    </m:r>
                  </m:e>
                  <m:sup>
                    <m:r>
                      <w:rPr>
                        <w:rFonts w:ascii="Cambria Math" w:hAnsi="Cambria Math"/>
                        <w:sz w:val="22"/>
                        <w:lang w:val="en-US"/>
                      </w:rPr>
                      <m:t>D</m:t>
                    </m:r>
                  </m:sup>
                </m:sSup>
              </m:oMath>
            </m:oMathPara>
          </w:p>
        </w:tc>
        <w:tc>
          <w:tcPr>
            <w:tcW w:w="1560" w:type="dxa"/>
            <w:noWrap/>
            <w:hideMark/>
          </w:tcPr>
          <w:p w:rsidR="006E6995" w:rsidRPr="006E6995" w:rsidRDefault="006E6995" w:rsidP="006E6995">
            <w:pPr>
              <w:spacing w:line="240" w:lineRule="auto"/>
              <w:ind w:firstLine="0"/>
              <w:jc w:val="center"/>
              <w:rPr>
                <w:bCs/>
                <w:sz w:val="22"/>
                <w:lang w:val="en-US"/>
              </w:rPr>
            </w:pPr>
            <w:r w:rsidRPr="006E6995">
              <w:rPr>
                <w:bCs/>
                <w:sz w:val="22"/>
                <w:lang w:val="en-US"/>
              </w:rPr>
              <w:t>SD</w:t>
            </w:r>
          </w:p>
        </w:tc>
        <w:tc>
          <w:tcPr>
            <w:tcW w:w="1559" w:type="dxa"/>
            <w:noWrap/>
            <w:hideMark/>
          </w:tcPr>
          <w:p w:rsidR="006E6995" w:rsidRPr="006E6995" w:rsidRDefault="006E6995" w:rsidP="006E6995">
            <w:pPr>
              <w:spacing w:line="240" w:lineRule="auto"/>
              <w:ind w:firstLine="0"/>
              <w:jc w:val="center"/>
              <w:rPr>
                <w:bCs/>
                <w:sz w:val="22"/>
                <w:lang w:val="en-US"/>
              </w:rPr>
            </w:pPr>
            <w:r w:rsidRPr="006E6995">
              <w:rPr>
                <w:bCs/>
                <w:sz w:val="22"/>
                <w:lang w:val="en-US"/>
              </w:rPr>
              <w:t>Sk</w:t>
            </w:r>
          </w:p>
        </w:tc>
        <w:tc>
          <w:tcPr>
            <w:tcW w:w="1236" w:type="dxa"/>
            <w:noWrap/>
            <w:hideMark/>
          </w:tcPr>
          <w:p w:rsidR="006E6995" w:rsidRPr="006E6995" w:rsidRDefault="00F71825" w:rsidP="006E6995">
            <w:pPr>
              <w:spacing w:line="240" w:lineRule="auto"/>
              <w:ind w:firstLine="0"/>
              <w:jc w:val="center"/>
              <w:rPr>
                <w:bCs/>
                <w:sz w:val="22"/>
                <w:lang w:val="en-US"/>
              </w:rPr>
            </w:pPr>
            <m:oMathPara>
              <m:oMath>
                <m:sSub>
                  <m:sSubPr>
                    <m:ctrlPr>
                      <w:rPr>
                        <w:rFonts w:ascii="Cambria Math" w:hAnsi="Cambria Math"/>
                        <w:bCs/>
                        <w:i/>
                        <w:sz w:val="22"/>
                      </w:rPr>
                    </m:ctrlPr>
                  </m:sSubPr>
                  <m:e>
                    <m:r>
                      <w:rPr>
                        <w:rFonts w:ascii="Cambria Math" w:hAnsi="Cambria Math"/>
                        <w:sz w:val="22"/>
                      </w:rPr>
                      <m:t>Σ</m:t>
                    </m:r>
                  </m:e>
                  <m:sub>
                    <m:r>
                      <w:rPr>
                        <w:rFonts w:ascii="Cambria Math" w:hAnsi="Cambria Math"/>
                        <w:sz w:val="22"/>
                        <w:lang w:val="en-US"/>
                      </w:rPr>
                      <m:t>i</m:t>
                    </m:r>
                  </m:sub>
                </m:sSub>
                <m:r>
                  <w:rPr>
                    <w:rFonts w:ascii="Cambria Math" w:hAnsi="Cambria Math"/>
                    <w:sz w:val="22"/>
                    <w:lang w:val="en-US"/>
                  </w:rPr>
                  <m:t xml:space="preserve"> </m:t>
                </m:r>
              </m:oMath>
            </m:oMathPara>
          </w:p>
        </w:tc>
      </w:tr>
      <w:tr w:rsidR="006E6995" w:rsidRPr="006E6995" w:rsidTr="00DE6593">
        <w:trPr>
          <w:trHeight w:val="315"/>
        </w:trPr>
        <w:tc>
          <w:tcPr>
            <w:tcW w:w="1101" w:type="dxa"/>
            <w:noWrap/>
            <w:hideMark/>
          </w:tcPr>
          <w:p w:rsidR="006E6995" w:rsidRPr="006E6995" w:rsidRDefault="006E6995" w:rsidP="006E6995">
            <w:pPr>
              <w:spacing w:line="240" w:lineRule="auto"/>
              <w:ind w:firstLine="0"/>
              <w:jc w:val="center"/>
              <w:rPr>
                <w:sz w:val="22"/>
              </w:rPr>
            </w:pPr>
            <w:r w:rsidRPr="006E6995">
              <w:rPr>
                <w:color w:val="000000"/>
                <w:sz w:val="22"/>
              </w:rPr>
              <w:t>UNAF</w:t>
            </w:r>
          </w:p>
        </w:tc>
        <w:tc>
          <w:tcPr>
            <w:tcW w:w="1559" w:type="dxa"/>
            <w:noWrap/>
            <w:hideMark/>
          </w:tcPr>
          <w:p w:rsidR="006E6995" w:rsidRPr="006E6995" w:rsidRDefault="006E6995" w:rsidP="006E6995">
            <w:pPr>
              <w:spacing w:line="240" w:lineRule="auto"/>
              <w:ind w:firstLine="0"/>
              <w:jc w:val="center"/>
              <w:rPr>
                <w:sz w:val="22"/>
              </w:rPr>
            </w:pPr>
            <w:r w:rsidRPr="006E6995">
              <w:rPr>
                <w:sz w:val="22"/>
              </w:rPr>
              <w:t>0.917213969</w:t>
            </w:r>
          </w:p>
        </w:tc>
        <w:tc>
          <w:tcPr>
            <w:tcW w:w="1596" w:type="dxa"/>
            <w:noWrap/>
            <w:hideMark/>
          </w:tcPr>
          <w:p w:rsidR="006E6995" w:rsidRPr="006E6995" w:rsidRDefault="006E6995" w:rsidP="006E6995">
            <w:pPr>
              <w:spacing w:line="240" w:lineRule="auto"/>
              <w:ind w:firstLine="0"/>
              <w:jc w:val="center"/>
              <w:rPr>
                <w:sz w:val="22"/>
              </w:rPr>
            </w:pPr>
            <w:r w:rsidRPr="006E6995">
              <w:rPr>
                <w:sz w:val="22"/>
              </w:rPr>
              <w:t>1.233870005</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0.037380485</w:t>
            </w:r>
          </w:p>
        </w:tc>
        <w:tc>
          <w:tcPr>
            <w:tcW w:w="1559" w:type="dxa"/>
            <w:noWrap/>
            <w:hideMark/>
          </w:tcPr>
          <w:p w:rsidR="006E6995" w:rsidRPr="006E6995" w:rsidRDefault="006E6995" w:rsidP="006E6995">
            <w:pPr>
              <w:spacing w:line="240" w:lineRule="auto"/>
              <w:ind w:firstLine="0"/>
              <w:jc w:val="center"/>
              <w:rPr>
                <w:sz w:val="22"/>
              </w:rPr>
            </w:pPr>
            <w:r w:rsidRPr="006E6995">
              <w:rPr>
                <w:sz w:val="22"/>
              </w:rPr>
              <w:t>0.119161508</w:t>
            </w:r>
          </w:p>
        </w:tc>
        <w:tc>
          <w:tcPr>
            <w:tcW w:w="1236" w:type="dxa"/>
            <w:noWrap/>
            <w:hideMark/>
          </w:tcPr>
          <w:p w:rsidR="006E6995" w:rsidRPr="006E6995" w:rsidRDefault="006E6995" w:rsidP="006E6995">
            <w:pPr>
              <w:spacing w:line="240" w:lineRule="auto"/>
              <w:ind w:firstLine="0"/>
              <w:jc w:val="center"/>
              <w:rPr>
                <w:sz w:val="22"/>
              </w:rPr>
            </w:pPr>
            <w:r w:rsidRPr="006E6995">
              <w:rPr>
                <w:sz w:val="22"/>
              </w:rPr>
              <w:t>0.961386</w:t>
            </w:r>
          </w:p>
        </w:tc>
      </w:tr>
      <w:tr w:rsidR="006E6995" w:rsidRPr="006E6995" w:rsidTr="00DE6593">
        <w:trPr>
          <w:trHeight w:val="315"/>
        </w:trPr>
        <w:tc>
          <w:tcPr>
            <w:tcW w:w="1101" w:type="dxa"/>
            <w:noWrap/>
            <w:hideMark/>
          </w:tcPr>
          <w:p w:rsidR="006E6995" w:rsidRPr="006E6995" w:rsidRDefault="006E6995" w:rsidP="006E6995">
            <w:pPr>
              <w:spacing w:line="240" w:lineRule="auto"/>
              <w:ind w:firstLine="0"/>
              <w:jc w:val="center"/>
              <w:rPr>
                <w:sz w:val="22"/>
              </w:rPr>
            </w:pPr>
            <w:r w:rsidRPr="006E6995">
              <w:rPr>
                <w:color w:val="000000"/>
                <w:sz w:val="22"/>
              </w:rPr>
              <w:t>ALMK</w:t>
            </w:r>
          </w:p>
        </w:tc>
        <w:tc>
          <w:tcPr>
            <w:tcW w:w="1559" w:type="dxa"/>
            <w:noWrap/>
            <w:hideMark/>
          </w:tcPr>
          <w:p w:rsidR="006E6995" w:rsidRPr="006E6995" w:rsidRDefault="006E6995" w:rsidP="006E6995">
            <w:pPr>
              <w:spacing w:line="240" w:lineRule="auto"/>
              <w:ind w:firstLine="0"/>
              <w:jc w:val="center"/>
              <w:rPr>
                <w:sz w:val="22"/>
              </w:rPr>
            </w:pPr>
            <w:r w:rsidRPr="006E6995">
              <w:rPr>
                <w:sz w:val="22"/>
              </w:rPr>
              <w:t>1.326353686</w:t>
            </w:r>
          </w:p>
        </w:tc>
        <w:tc>
          <w:tcPr>
            <w:tcW w:w="1596" w:type="dxa"/>
            <w:noWrap/>
            <w:hideMark/>
          </w:tcPr>
          <w:p w:rsidR="006E6995" w:rsidRPr="006E6995" w:rsidRDefault="006E6995" w:rsidP="006E6995">
            <w:pPr>
              <w:spacing w:line="240" w:lineRule="auto"/>
              <w:ind w:firstLine="0"/>
              <w:jc w:val="center"/>
              <w:rPr>
                <w:sz w:val="22"/>
              </w:rPr>
            </w:pPr>
            <w:r w:rsidRPr="006E6995">
              <w:rPr>
                <w:sz w:val="22"/>
              </w:rPr>
              <w:t>1.291727444</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0.043150909</w:t>
            </w:r>
          </w:p>
        </w:tc>
        <w:tc>
          <w:tcPr>
            <w:tcW w:w="1559" w:type="dxa"/>
            <w:noWrap/>
            <w:hideMark/>
          </w:tcPr>
          <w:p w:rsidR="006E6995" w:rsidRPr="006E6995" w:rsidRDefault="006E6995" w:rsidP="006E6995">
            <w:pPr>
              <w:spacing w:line="240" w:lineRule="auto"/>
              <w:ind w:firstLine="0"/>
              <w:jc w:val="center"/>
              <w:rPr>
                <w:sz w:val="22"/>
                <w:lang w:val="en-US"/>
              </w:rPr>
            </w:pPr>
            <w:r w:rsidRPr="006E6995">
              <w:rPr>
                <w:sz w:val="22"/>
              </w:rPr>
              <w:t>1.12795817</w:t>
            </w:r>
            <w:r w:rsidRPr="006E6995">
              <w:rPr>
                <w:sz w:val="22"/>
                <w:lang w:val="en-US"/>
              </w:rPr>
              <w:t>0</w:t>
            </w:r>
          </w:p>
        </w:tc>
        <w:tc>
          <w:tcPr>
            <w:tcW w:w="1236" w:type="dxa"/>
            <w:noWrap/>
            <w:hideMark/>
          </w:tcPr>
          <w:p w:rsidR="006E6995" w:rsidRPr="006E6995" w:rsidRDefault="006E6995" w:rsidP="006E6995">
            <w:pPr>
              <w:spacing w:line="240" w:lineRule="auto"/>
              <w:ind w:firstLine="0"/>
              <w:jc w:val="center"/>
              <w:rPr>
                <w:sz w:val="22"/>
              </w:rPr>
            </w:pPr>
            <w:r w:rsidRPr="006E6995">
              <w:rPr>
                <w:sz w:val="22"/>
              </w:rPr>
              <w:t>0.377127</w:t>
            </w:r>
          </w:p>
        </w:tc>
      </w:tr>
      <w:tr w:rsidR="006E6995" w:rsidRPr="006E6995" w:rsidTr="00DE6593">
        <w:trPr>
          <w:trHeight w:val="315"/>
        </w:trPr>
        <w:tc>
          <w:tcPr>
            <w:tcW w:w="1101" w:type="dxa"/>
            <w:noWrap/>
            <w:hideMark/>
          </w:tcPr>
          <w:p w:rsidR="006E6995" w:rsidRPr="006E6995" w:rsidRDefault="006E6995" w:rsidP="006E6995">
            <w:pPr>
              <w:spacing w:line="240" w:lineRule="auto"/>
              <w:ind w:firstLine="0"/>
              <w:jc w:val="center"/>
              <w:rPr>
                <w:sz w:val="22"/>
              </w:rPr>
            </w:pPr>
            <w:r w:rsidRPr="006E6995">
              <w:rPr>
                <w:color w:val="000000"/>
                <w:sz w:val="22"/>
              </w:rPr>
              <w:t>AZST</w:t>
            </w:r>
          </w:p>
        </w:tc>
        <w:tc>
          <w:tcPr>
            <w:tcW w:w="1559" w:type="dxa"/>
            <w:noWrap/>
            <w:hideMark/>
          </w:tcPr>
          <w:p w:rsidR="006E6995" w:rsidRPr="006E6995" w:rsidRDefault="006E6995" w:rsidP="006E6995">
            <w:pPr>
              <w:spacing w:line="240" w:lineRule="auto"/>
              <w:ind w:firstLine="0"/>
              <w:jc w:val="center"/>
              <w:rPr>
                <w:sz w:val="22"/>
              </w:rPr>
            </w:pPr>
            <w:r w:rsidRPr="006E6995">
              <w:rPr>
                <w:sz w:val="22"/>
              </w:rPr>
              <w:t>1.128369588</w:t>
            </w:r>
          </w:p>
        </w:tc>
        <w:tc>
          <w:tcPr>
            <w:tcW w:w="1596" w:type="dxa"/>
            <w:noWrap/>
            <w:hideMark/>
          </w:tcPr>
          <w:p w:rsidR="006E6995" w:rsidRPr="006E6995" w:rsidRDefault="006E6995" w:rsidP="006E6995">
            <w:pPr>
              <w:spacing w:line="240" w:lineRule="auto"/>
              <w:ind w:firstLine="0"/>
              <w:jc w:val="center"/>
              <w:rPr>
                <w:sz w:val="22"/>
                <w:lang w:val="en-US"/>
              </w:rPr>
            </w:pPr>
            <w:r w:rsidRPr="006E6995">
              <w:rPr>
                <w:sz w:val="22"/>
              </w:rPr>
              <w:t>1.05963496</w:t>
            </w:r>
            <w:r w:rsidRPr="006E6995">
              <w:rPr>
                <w:sz w:val="22"/>
                <w:lang w:val="en-US"/>
              </w:rPr>
              <w:t>0</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0.034518525</w:t>
            </w:r>
          </w:p>
        </w:tc>
        <w:tc>
          <w:tcPr>
            <w:tcW w:w="1559" w:type="dxa"/>
            <w:noWrap/>
            <w:hideMark/>
          </w:tcPr>
          <w:p w:rsidR="006E6995" w:rsidRPr="006E6995" w:rsidRDefault="006E6995" w:rsidP="006E6995">
            <w:pPr>
              <w:spacing w:line="240" w:lineRule="auto"/>
              <w:ind w:firstLine="0"/>
              <w:jc w:val="center"/>
              <w:rPr>
                <w:sz w:val="22"/>
              </w:rPr>
            </w:pPr>
            <w:r w:rsidRPr="006E6995">
              <w:rPr>
                <w:sz w:val="22"/>
              </w:rPr>
              <w:t>0.304179385</w:t>
            </w:r>
          </w:p>
        </w:tc>
        <w:tc>
          <w:tcPr>
            <w:tcW w:w="1236" w:type="dxa"/>
            <w:noWrap/>
            <w:hideMark/>
          </w:tcPr>
          <w:p w:rsidR="006E6995" w:rsidRPr="006E6995" w:rsidRDefault="006E6995" w:rsidP="006E6995">
            <w:pPr>
              <w:spacing w:line="240" w:lineRule="auto"/>
              <w:ind w:firstLine="0"/>
              <w:jc w:val="center"/>
              <w:rPr>
                <w:sz w:val="22"/>
              </w:rPr>
            </w:pPr>
            <w:r w:rsidRPr="006E6995">
              <w:rPr>
                <w:sz w:val="22"/>
              </w:rPr>
              <w:t>0.318187</w:t>
            </w:r>
          </w:p>
        </w:tc>
      </w:tr>
      <w:tr w:rsidR="006E6995" w:rsidRPr="006E6995" w:rsidTr="00DE6593">
        <w:trPr>
          <w:trHeight w:val="315"/>
        </w:trPr>
        <w:tc>
          <w:tcPr>
            <w:tcW w:w="1101" w:type="dxa"/>
            <w:noWrap/>
            <w:hideMark/>
          </w:tcPr>
          <w:p w:rsidR="006E6995" w:rsidRPr="006E6995" w:rsidRDefault="006E6995" w:rsidP="006E6995">
            <w:pPr>
              <w:spacing w:line="240" w:lineRule="auto"/>
              <w:ind w:firstLine="0"/>
              <w:jc w:val="center"/>
              <w:rPr>
                <w:sz w:val="22"/>
              </w:rPr>
            </w:pPr>
            <w:r w:rsidRPr="006E6995">
              <w:rPr>
                <w:color w:val="000000"/>
                <w:sz w:val="22"/>
              </w:rPr>
              <w:t>USCB</w:t>
            </w:r>
          </w:p>
        </w:tc>
        <w:tc>
          <w:tcPr>
            <w:tcW w:w="1559" w:type="dxa"/>
            <w:noWrap/>
            <w:hideMark/>
          </w:tcPr>
          <w:p w:rsidR="006E6995" w:rsidRPr="006E6995" w:rsidRDefault="006E6995" w:rsidP="006E6995">
            <w:pPr>
              <w:spacing w:line="240" w:lineRule="auto"/>
              <w:ind w:firstLine="0"/>
              <w:jc w:val="center"/>
              <w:rPr>
                <w:sz w:val="22"/>
              </w:rPr>
            </w:pPr>
            <w:r w:rsidRPr="006E6995">
              <w:rPr>
                <w:sz w:val="22"/>
              </w:rPr>
              <w:t>1.091228924</w:t>
            </w:r>
          </w:p>
        </w:tc>
        <w:tc>
          <w:tcPr>
            <w:tcW w:w="1596" w:type="dxa"/>
            <w:noWrap/>
            <w:hideMark/>
          </w:tcPr>
          <w:p w:rsidR="006E6995" w:rsidRPr="006E6995" w:rsidRDefault="006E6995" w:rsidP="006E6995">
            <w:pPr>
              <w:spacing w:line="240" w:lineRule="auto"/>
              <w:ind w:firstLine="0"/>
              <w:jc w:val="center"/>
              <w:rPr>
                <w:sz w:val="22"/>
              </w:rPr>
            </w:pPr>
            <w:r w:rsidRPr="006E6995">
              <w:rPr>
                <w:sz w:val="22"/>
              </w:rPr>
              <w:t>1.091676864</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0.033634422</w:t>
            </w:r>
          </w:p>
        </w:tc>
        <w:tc>
          <w:tcPr>
            <w:tcW w:w="1559" w:type="dxa"/>
            <w:noWrap/>
            <w:hideMark/>
          </w:tcPr>
          <w:p w:rsidR="006E6995" w:rsidRPr="006E6995" w:rsidRDefault="006E6995" w:rsidP="006E6995">
            <w:pPr>
              <w:spacing w:line="240" w:lineRule="auto"/>
              <w:ind w:firstLine="0"/>
              <w:jc w:val="center"/>
              <w:rPr>
                <w:sz w:val="22"/>
              </w:rPr>
            </w:pPr>
            <w:r w:rsidRPr="006E6995">
              <w:rPr>
                <w:sz w:val="22"/>
              </w:rPr>
              <w:t>0.018009388</w:t>
            </w:r>
          </w:p>
        </w:tc>
        <w:tc>
          <w:tcPr>
            <w:tcW w:w="1236" w:type="dxa"/>
            <w:noWrap/>
            <w:hideMark/>
          </w:tcPr>
          <w:p w:rsidR="006E6995" w:rsidRPr="006E6995" w:rsidRDefault="006E6995" w:rsidP="006E6995">
            <w:pPr>
              <w:spacing w:line="240" w:lineRule="auto"/>
              <w:ind w:firstLine="0"/>
              <w:jc w:val="center"/>
              <w:rPr>
                <w:sz w:val="22"/>
                <w:lang w:val="en-US"/>
              </w:rPr>
            </w:pPr>
            <w:r w:rsidRPr="006E6995">
              <w:rPr>
                <w:sz w:val="22"/>
              </w:rPr>
              <w:t>0.32764</w:t>
            </w:r>
            <w:r w:rsidRPr="006E6995">
              <w:rPr>
                <w:sz w:val="22"/>
                <w:lang w:val="en-US"/>
              </w:rPr>
              <w:t>0</w:t>
            </w:r>
          </w:p>
        </w:tc>
      </w:tr>
      <w:tr w:rsidR="006E6995" w:rsidRPr="006E6995" w:rsidTr="00DE6593">
        <w:trPr>
          <w:trHeight w:val="315"/>
        </w:trPr>
        <w:tc>
          <w:tcPr>
            <w:tcW w:w="1101" w:type="dxa"/>
            <w:noWrap/>
            <w:hideMark/>
          </w:tcPr>
          <w:p w:rsidR="006E6995" w:rsidRPr="006E6995" w:rsidRDefault="006E6995" w:rsidP="006E6995">
            <w:pPr>
              <w:spacing w:line="240" w:lineRule="auto"/>
              <w:ind w:firstLine="0"/>
              <w:jc w:val="center"/>
              <w:rPr>
                <w:sz w:val="22"/>
              </w:rPr>
            </w:pPr>
            <w:r w:rsidRPr="006E6995">
              <w:rPr>
                <w:color w:val="000000"/>
                <w:sz w:val="22"/>
              </w:rPr>
              <w:t>CEEN</w:t>
            </w:r>
          </w:p>
        </w:tc>
        <w:tc>
          <w:tcPr>
            <w:tcW w:w="1559" w:type="dxa"/>
            <w:noWrap/>
            <w:hideMark/>
          </w:tcPr>
          <w:p w:rsidR="006E6995" w:rsidRPr="006E6995" w:rsidRDefault="006E6995" w:rsidP="006E6995">
            <w:pPr>
              <w:spacing w:line="240" w:lineRule="auto"/>
              <w:ind w:firstLine="0"/>
              <w:jc w:val="center"/>
              <w:rPr>
                <w:sz w:val="22"/>
              </w:rPr>
            </w:pPr>
            <w:r w:rsidRPr="006E6995">
              <w:rPr>
                <w:sz w:val="22"/>
              </w:rPr>
              <w:t>1.173369683</w:t>
            </w:r>
          </w:p>
        </w:tc>
        <w:tc>
          <w:tcPr>
            <w:tcW w:w="1596" w:type="dxa"/>
            <w:noWrap/>
            <w:hideMark/>
          </w:tcPr>
          <w:p w:rsidR="006E6995" w:rsidRPr="006E6995" w:rsidRDefault="006E6995" w:rsidP="006E6995">
            <w:pPr>
              <w:spacing w:line="240" w:lineRule="auto"/>
              <w:ind w:firstLine="0"/>
              <w:jc w:val="center"/>
              <w:rPr>
                <w:sz w:val="22"/>
              </w:rPr>
            </w:pPr>
            <w:r w:rsidRPr="006E6995">
              <w:rPr>
                <w:sz w:val="22"/>
              </w:rPr>
              <w:t>1.125540978</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0.035108518</w:t>
            </w:r>
          </w:p>
        </w:tc>
        <w:tc>
          <w:tcPr>
            <w:tcW w:w="1559" w:type="dxa"/>
            <w:noWrap/>
            <w:hideMark/>
          </w:tcPr>
          <w:p w:rsidR="006E6995" w:rsidRPr="006E6995" w:rsidRDefault="006E6995" w:rsidP="006E6995">
            <w:pPr>
              <w:spacing w:line="240" w:lineRule="auto"/>
              <w:ind w:firstLine="0"/>
              <w:jc w:val="center"/>
              <w:rPr>
                <w:sz w:val="22"/>
              </w:rPr>
            </w:pPr>
            <w:r w:rsidRPr="006E6995">
              <w:rPr>
                <w:sz w:val="22"/>
              </w:rPr>
              <w:t>0.248449695</w:t>
            </w:r>
          </w:p>
        </w:tc>
        <w:tc>
          <w:tcPr>
            <w:tcW w:w="1236" w:type="dxa"/>
            <w:noWrap/>
            <w:hideMark/>
          </w:tcPr>
          <w:p w:rsidR="006E6995" w:rsidRPr="006E6995" w:rsidRDefault="006E6995" w:rsidP="006E6995">
            <w:pPr>
              <w:spacing w:line="240" w:lineRule="auto"/>
              <w:ind w:firstLine="0"/>
              <w:jc w:val="center"/>
              <w:rPr>
                <w:sz w:val="22"/>
              </w:rPr>
            </w:pPr>
            <w:r w:rsidRPr="006E6995">
              <w:rPr>
                <w:sz w:val="22"/>
              </w:rPr>
              <w:t>0.329422</w:t>
            </w:r>
          </w:p>
        </w:tc>
      </w:tr>
      <w:tr w:rsidR="006E6995" w:rsidRPr="006E6995" w:rsidTr="00DE6593">
        <w:trPr>
          <w:trHeight w:val="315"/>
        </w:trPr>
        <w:tc>
          <w:tcPr>
            <w:tcW w:w="1101" w:type="dxa"/>
            <w:noWrap/>
            <w:hideMark/>
          </w:tcPr>
          <w:p w:rsidR="006E6995" w:rsidRPr="006E6995" w:rsidRDefault="006E6995" w:rsidP="006E6995">
            <w:pPr>
              <w:spacing w:line="240" w:lineRule="auto"/>
              <w:ind w:firstLine="0"/>
              <w:jc w:val="center"/>
              <w:rPr>
                <w:sz w:val="22"/>
              </w:rPr>
            </w:pPr>
            <w:r w:rsidRPr="006E6995">
              <w:rPr>
                <w:color w:val="000000"/>
                <w:sz w:val="22"/>
              </w:rPr>
              <w:t>MSICH</w:t>
            </w:r>
          </w:p>
        </w:tc>
        <w:tc>
          <w:tcPr>
            <w:tcW w:w="1559" w:type="dxa"/>
            <w:noWrap/>
            <w:hideMark/>
          </w:tcPr>
          <w:p w:rsidR="006E6995" w:rsidRPr="006E6995" w:rsidRDefault="006E6995" w:rsidP="006E6995">
            <w:pPr>
              <w:spacing w:line="240" w:lineRule="auto"/>
              <w:ind w:firstLine="0"/>
              <w:jc w:val="center"/>
              <w:rPr>
                <w:sz w:val="22"/>
              </w:rPr>
            </w:pPr>
            <w:r w:rsidRPr="006E6995">
              <w:rPr>
                <w:sz w:val="22"/>
              </w:rPr>
              <w:t>1.086889364</w:t>
            </w:r>
          </w:p>
        </w:tc>
        <w:tc>
          <w:tcPr>
            <w:tcW w:w="1596" w:type="dxa"/>
            <w:noWrap/>
            <w:hideMark/>
          </w:tcPr>
          <w:p w:rsidR="006E6995" w:rsidRPr="006E6995" w:rsidRDefault="006E6995" w:rsidP="006E6995">
            <w:pPr>
              <w:spacing w:line="240" w:lineRule="auto"/>
              <w:ind w:firstLine="0"/>
              <w:jc w:val="center"/>
              <w:rPr>
                <w:sz w:val="22"/>
              </w:rPr>
            </w:pPr>
            <w:r w:rsidRPr="006E6995">
              <w:rPr>
                <w:sz w:val="22"/>
              </w:rPr>
              <w:t>1.133527942</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0.035489854</w:t>
            </w:r>
          </w:p>
        </w:tc>
        <w:tc>
          <w:tcPr>
            <w:tcW w:w="1559" w:type="dxa"/>
            <w:noWrap/>
            <w:hideMark/>
          </w:tcPr>
          <w:p w:rsidR="006E6995" w:rsidRPr="006E6995" w:rsidRDefault="006E6995" w:rsidP="006E6995">
            <w:pPr>
              <w:spacing w:line="240" w:lineRule="auto"/>
              <w:ind w:firstLine="0"/>
              <w:jc w:val="center"/>
              <w:rPr>
                <w:sz w:val="22"/>
              </w:rPr>
            </w:pPr>
            <w:r w:rsidRPr="006E6995">
              <w:rPr>
                <w:sz w:val="22"/>
              </w:rPr>
              <w:t>0.133085215</w:t>
            </w:r>
          </w:p>
        </w:tc>
        <w:tc>
          <w:tcPr>
            <w:tcW w:w="1236" w:type="dxa"/>
            <w:noWrap/>
            <w:hideMark/>
          </w:tcPr>
          <w:p w:rsidR="006E6995" w:rsidRPr="006E6995" w:rsidRDefault="006E6995" w:rsidP="006E6995">
            <w:pPr>
              <w:spacing w:line="240" w:lineRule="auto"/>
              <w:ind w:firstLine="0"/>
              <w:jc w:val="center"/>
              <w:rPr>
                <w:sz w:val="22"/>
              </w:rPr>
            </w:pPr>
            <w:r w:rsidRPr="006E6995">
              <w:rPr>
                <w:sz w:val="22"/>
              </w:rPr>
              <w:t>0.331009</w:t>
            </w:r>
          </w:p>
        </w:tc>
      </w:tr>
      <w:tr w:rsidR="006E6995" w:rsidRPr="006E6995" w:rsidTr="00DE6593">
        <w:trPr>
          <w:trHeight w:val="300"/>
        </w:trPr>
        <w:tc>
          <w:tcPr>
            <w:tcW w:w="1101" w:type="dxa"/>
            <w:noWrap/>
            <w:hideMark/>
          </w:tcPr>
          <w:p w:rsidR="006E6995" w:rsidRPr="006E6995" w:rsidRDefault="006E6995" w:rsidP="006E6995">
            <w:pPr>
              <w:spacing w:line="240" w:lineRule="auto"/>
              <w:ind w:firstLine="0"/>
              <w:jc w:val="center"/>
              <w:rPr>
                <w:sz w:val="22"/>
              </w:rPr>
            </w:pPr>
            <w:r w:rsidRPr="006E6995">
              <w:rPr>
                <w:color w:val="000000"/>
                <w:sz w:val="22"/>
              </w:rPr>
              <w:t>ZAEN</w:t>
            </w:r>
          </w:p>
        </w:tc>
        <w:tc>
          <w:tcPr>
            <w:tcW w:w="1559" w:type="dxa"/>
            <w:noWrap/>
            <w:hideMark/>
          </w:tcPr>
          <w:p w:rsidR="006E6995" w:rsidRPr="006E6995" w:rsidRDefault="006E6995" w:rsidP="006E6995">
            <w:pPr>
              <w:spacing w:line="240" w:lineRule="auto"/>
              <w:ind w:firstLine="0"/>
              <w:jc w:val="center"/>
              <w:rPr>
                <w:sz w:val="22"/>
              </w:rPr>
            </w:pPr>
            <w:r w:rsidRPr="006E6995">
              <w:rPr>
                <w:sz w:val="22"/>
              </w:rPr>
              <w:t>0.644549372</w:t>
            </w:r>
          </w:p>
        </w:tc>
        <w:tc>
          <w:tcPr>
            <w:tcW w:w="1596" w:type="dxa"/>
            <w:noWrap/>
            <w:hideMark/>
          </w:tcPr>
          <w:p w:rsidR="006E6995" w:rsidRPr="006E6995" w:rsidRDefault="006E6995" w:rsidP="006E6995">
            <w:pPr>
              <w:spacing w:line="240" w:lineRule="auto"/>
              <w:ind w:firstLine="0"/>
              <w:jc w:val="center"/>
              <w:rPr>
                <w:sz w:val="22"/>
                <w:lang w:val="en-US"/>
              </w:rPr>
            </w:pPr>
            <w:r w:rsidRPr="006E6995">
              <w:rPr>
                <w:sz w:val="22"/>
              </w:rPr>
              <w:t>0.90061525</w:t>
            </w:r>
            <w:r w:rsidRPr="006E6995">
              <w:rPr>
                <w:sz w:val="22"/>
                <w:lang w:val="en-US"/>
              </w:rPr>
              <w:t>0</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0.052902329</w:t>
            </w:r>
          </w:p>
        </w:tc>
        <w:tc>
          <w:tcPr>
            <w:tcW w:w="1559" w:type="dxa"/>
            <w:noWrap/>
            <w:hideMark/>
          </w:tcPr>
          <w:p w:rsidR="006E6995" w:rsidRPr="006E6995" w:rsidRDefault="006E6995" w:rsidP="006E6995">
            <w:pPr>
              <w:spacing w:line="240" w:lineRule="auto"/>
              <w:ind w:firstLine="0"/>
              <w:jc w:val="center"/>
              <w:rPr>
                <w:sz w:val="22"/>
              </w:rPr>
            </w:pPr>
            <w:r w:rsidRPr="006E6995">
              <w:rPr>
                <w:sz w:val="22"/>
              </w:rPr>
              <w:t>3.024165298</w:t>
            </w:r>
          </w:p>
        </w:tc>
        <w:tc>
          <w:tcPr>
            <w:tcW w:w="1236" w:type="dxa"/>
            <w:noWrap/>
            <w:hideMark/>
          </w:tcPr>
          <w:p w:rsidR="006E6995" w:rsidRPr="006E6995" w:rsidRDefault="006E6995" w:rsidP="006E6995">
            <w:pPr>
              <w:spacing w:line="240" w:lineRule="auto"/>
              <w:ind w:firstLine="0"/>
              <w:jc w:val="center"/>
              <w:rPr>
                <w:sz w:val="22"/>
              </w:rPr>
            </w:pPr>
            <w:r w:rsidRPr="006E6995">
              <w:rPr>
                <w:sz w:val="22"/>
              </w:rPr>
              <w:t>0.423866</w:t>
            </w:r>
          </w:p>
        </w:tc>
      </w:tr>
      <w:tr w:rsidR="006E6995" w:rsidRPr="006E6995" w:rsidTr="00DE6593">
        <w:trPr>
          <w:trHeight w:val="300"/>
        </w:trPr>
        <w:tc>
          <w:tcPr>
            <w:tcW w:w="1101"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ENMZ</w:t>
            </w:r>
          </w:p>
        </w:tc>
        <w:tc>
          <w:tcPr>
            <w:tcW w:w="1559" w:type="dxa"/>
            <w:noWrap/>
            <w:hideMark/>
          </w:tcPr>
          <w:p w:rsidR="006E6995" w:rsidRPr="006E6995" w:rsidRDefault="006E6995" w:rsidP="006E6995">
            <w:pPr>
              <w:spacing w:line="240" w:lineRule="auto"/>
              <w:ind w:firstLine="0"/>
              <w:jc w:val="center"/>
              <w:rPr>
                <w:sz w:val="22"/>
              </w:rPr>
            </w:pPr>
            <w:r w:rsidRPr="006E6995">
              <w:rPr>
                <w:sz w:val="22"/>
              </w:rPr>
              <w:t>1.280685146</w:t>
            </w:r>
          </w:p>
        </w:tc>
        <w:tc>
          <w:tcPr>
            <w:tcW w:w="1596" w:type="dxa"/>
            <w:noWrap/>
            <w:hideMark/>
          </w:tcPr>
          <w:p w:rsidR="006E6995" w:rsidRPr="006E6995" w:rsidRDefault="006E6995" w:rsidP="006E6995">
            <w:pPr>
              <w:spacing w:line="240" w:lineRule="auto"/>
              <w:ind w:firstLine="0"/>
              <w:jc w:val="center"/>
              <w:rPr>
                <w:sz w:val="22"/>
                <w:lang w:val="en-US"/>
              </w:rPr>
            </w:pPr>
            <w:r w:rsidRPr="006E6995">
              <w:rPr>
                <w:sz w:val="22"/>
              </w:rPr>
              <w:t>1.19218301</w:t>
            </w:r>
            <w:r w:rsidRPr="006E6995">
              <w:rPr>
                <w:sz w:val="22"/>
                <w:lang w:val="en-US"/>
              </w:rPr>
              <w:t>0</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0.040226266</w:t>
            </w:r>
          </w:p>
        </w:tc>
        <w:tc>
          <w:tcPr>
            <w:tcW w:w="1559" w:type="dxa"/>
            <w:noWrap/>
            <w:hideMark/>
          </w:tcPr>
          <w:p w:rsidR="006E6995" w:rsidRPr="006E6995" w:rsidRDefault="006E6995" w:rsidP="006E6995">
            <w:pPr>
              <w:spacing w:line="240" w:lineRule="auto"/>
              <w:ind w:firstLine="0"/>
              <w:jc w:val="center"/>
              <w:rPr>
                <w:sz w:val="22"/>
              </w:rPr>
            </w:pPr>
            <w:r w:rsidRPr="006E6995">
              <w:rPr>
                <w:sz w:val="22"/>
              </w:rPr>
              <w:t>0.937452096</w:t>
            </w:r>
          </w:p>
        </w:tc>
        <w:tc>
          <w:tcPr>
            <w:tcW w:w="1236" w:type="dxa"/>
            <w:noWrap/>
            <w:hideMark/>
          </w:tcPr>
          <w:p w:rsidR="006E6995" w:rsidRPr="006E6995" w:rsidRDefault="006E6995" w:rsidP="006E6995">
            <w:pPr>
              <w:spacing w:line="240" w:lineRule="auto"/>
              <w:ind w:firstLine="0"/>
              <w:jc w:val="center"/>
              <w:rPr>
                <w:sz w:val="22"/>
              </w:rPr>
            </w:pPr>
            <w:r w:rsidRPr="006E6995">
              <w:rPr>
                <w:sz w:val="22"/>
              </w:rPr>
              <w:t>0.361262</w:t>
            </w:r>
          </w:p>
        </w:tc>
      </w:tr>
      <w:tr w:rsidR="006E6995" w:rsidRPr="006E6995" w:rsidTr="00DE6593">
        <w:trPr>
          <w:trHeight w:val="300"/>
        </w:trPr>
        <w:tc>
          <w:tcPr>
            <w:tcW w:w="1101"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UTLM</w:t>
            </w:r>
          </w:p>
        </w:tc>
        <w:tc>
          <w:tcPr>
            <w:tcW w:w="1559" w:type="dxa"/>
            <w:noWrap/>
            <w:hideMark/>
          </w:tcPr>
          <w:p w:rsidR="006E6995" w:rsidRPr="006E6995" w:rsidRDefault="006E6995" w:rsidP="006E6995">
            <w:pPr>
              <w:spacing w:line="240" w:lineRule="auto"/>
              <w:ind w:firstLine="0"/>
              <w:jc w:val="center"/>
              <w:rPr>
                <w:sz w:val="22"/>
              </w:rPr>
            </w:pPr>
            <w:r w:rsidRPr="006E6995">
              <w:rPr>
                <w:sz w:val="22"/>
              </w:rPr>
              <w:t>0.677542629</w:t>
            </w:r>
          </w:p>
        </w:tc>
        <w:tc>
          <w:tcPr>
            <w:tcW w:w="1596" w:type="dxa"/>
            <w:noWrap/>
            <w:hideMark/>
          </w:tcPr>
          <w:p w:rsidR="006E6995" w:rsidRPr="006E6995" w:rsidRDefault="006E6995" w:rsidP="006E6995">
            <w:pPr>
              <w:spacing w:line="240" w:lineRule="auto"/>
              <w:ind w:firstLine="0"/>
              <w:jc w:val="center"/>
              <w:rPr>
                <w:sz w:val="22"/>
              </w:rPr>
            </w:pPr>
            <w:r w:rsidRPr="006E6995">
              <w:rPr>
                <w:sz w:val="22"/>
              </w:rPr>
              <w:t>0.759514605</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0.029192653</w:t>
            </w:r>
          </w:p>
        </w:tc>
        <w:tc>
          <w:tcPr>
            <w:tcW w:w="1559" w:type="dxa"/>
            <w:noWrap/>
            <w:hideMark/>
          </w:tcPr>
          <w:p w:rsidR="006E6995" w:rsidRPr="006E6995" w:rsidRDefault="006E6995" w:rsidP="006E6995">
            <w:pPr>
              <w:spacing w:line="240" w:lineRule="auto"/>
              <w:ind w:firstLine="0"/>
              <w:jc w:val="center"/>
              <w:rPr>
                <w:sz w:val="22"/>
                <w:lang w:val="en-US"/>
              </w:rPr>
            </w:pPr>
            <w:r w:rsidRPr="006E6995">
              <w:rPr>
                <w:sz w:val="22"/>
              </w:rPr>
              <w:t>-1.04208687</w:t>
            </w:r>
            <w:r w:rsidRPr="006E6995">
              <w:rPr>
                <w:sz w:val="22"/>
                <w:lang w:val="en-US"/>
              </w:rPr>
              <w:t>0</w:t>
            </w:r>
          </w:p>
        </w:tc>
        <w:tc>
          <w:tcPr>
            <w:tcW w:w="1236" w:type="dxa"/>
            <w:noWrap/>
            <w:hideMark/>
          </w:tcPr>
          <w:p w:rsidR="006E6995" w:rsidRPr="006E6995" w:rsidRDefault="006E6995" w:rsidP="006E6995">
            <w:pPr>
              <w:spacing w:line="240" w:lineRule="auto"/>
              <w:ind w:firstLine="0"/>
              <w:jc w:val="center"/>
              <w:rPr>
                <w:sz w:val="22"/>
                <w:lang w:val="en-US"/>
              </w:rPr>
            </w:pPr>
            <w:r w:rsidRPr="006E6995">
              <w:rPr>
                <w:sz w:val="22"/>
              </w:rPr>
              <w:t>0.30238</w:t>
            </w:r>
            <w:r w:rsidRPr="006E6995">
              <w:rPr>
                <w:sz w:val="22"/>
                <w:lang w:val="en-US"/>
              </w:rPr>
              <w:t>0</w:t>
            </w:r>
          </w:p>
        </w:tc>
      </w:tr>
      <w:tr w:rsidR="006E6995" w:rsidRPr="006E6995" w:rsidTr="00DE6593">
        <w:trPr>
          <w:trHeight w:val="300"/>
        </w:trPr>
        <w:tc>
          <w:tcPr>
            <w:tcW w:w="1101"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BAVL</w:t>
            </w:r>
          </w:p>
        </w:tc>
        <w:tc>
          <w:tcPr>
            <w:tcW w:w="1559" w:type="dxa"/>
            <w:noWrap/>
            <w:hideMark/>
          </w:tcPr>
          <w:p w:rsidR="006E6995" w:rsidRPr="006E6995" w:rsidRDefault="006E6995" w:rsidP="006E6995">
            <w:pPr>
              <w:spacing w:line="240" w:lineRule="auto"/>
              <w:ind w:firstLine="0"/>
              <w:jc w:val="center"/>
              <w:rPr>
                <w:sz w:val="22"/>
              </w:rPr>
            </w:pPr>
            <w:r w:rsidRPr="006E6995">
              <w:rPr>
                <w:sz w:val="22"/>
              </w:rPr>
              <w:t>0.888154794</w:t>
            </w:r>
          </w:p>
        </w:tc>
        <w:tc>
          <w:tcPr>
            <w:tcW w:w="1596" w:type="dxa"/>
            <w:noWrap/>
            <w:hideMark/>
          </w:tcPr>
          <w:p w:rsidR="006E6995" w:rsidRPr="006E6995" w:rsidRDefault="006E6995" w:rsidP="006E6995">
            <w:pPr>
              <w:spacing w:line="240" w:lineRule="auto"/>
              <w:ind w:firstLine="0"/>
              <w:jc w:val="center"/>
              <w:rPr>
                <w:sz w:val="22"/>
              </w:rPr>
            </w:pPr>
            <w:r w:rsidRPr="006E6995">
              <w:rPr>
                <w:sz w:val="22"/>
              </w:rPr>
              <w:t>0.937062298</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0.028485104</w:t>
            </w:r>
          </w:p>
        </w:tc>
        <w:tc>
          <w:tcPr>
            <w:tcW w:w="1559" w:type="dxa"/>
            <w:noWrap/>
            <w:hideMark/>
          </w:tcPr>
          <w:p w:rsidR="006E6995" w:rsidRPr="006E6995" w:rsidRDefault="006E6995" w:rsidP="006E6995">
            <w:pPr>
              <w:spacing w:line="240" w:lineRule="auto"/>
              <w:ind w:firstLine="0"/>
              <w:jc w:val="center"/>
              <w:rPr>
                <w:sz w:val="22"/>
              </w:rPr>
            </w:pPr>
            <w:r w:rsidRPr="006E6995">
              <w:rPr>
                <w:sz w:val="22"/>
              </w:rPr>
              <w:t>-0.343605736</w:t>
            </w:r>
          </w:p>
        </w:tc>
        <w:tc>
          <w:tcPr>
            <w:tcW w:w="1236" w:type="dxa"/>
            <w:noWrap/>
            <w:hideMark/>
          </w:tcPr>
          <w:p w:rsidR="006E6995" w:rsidRPr="006E6995" w:rsidRDefault="006E6995" w:rsidP="006E6995">
            <w:pPr>
              <w:spacing w:line="240" w:lineRule="auto"/>
              <w:ind w:firstLine="0"/>
              <w:jc w:val="center"/>
              <w:rPr>
                <w:sz w:val="22"/>
              </w:rPr>
            </w:pPr>
            <w:r w:rsidRPr="006E6995">
              <w:rPr>
                <w:sz w:val="22"/>
              </w:rPr>
              <w:t>0.288223</w:t>
            </w:r>
          </w:p>
        </w:tc>
      </w:tr>
      <w:tr w:rsidR="006E6995" w:rsidRPr="006E6995" w:rsidTr="00DE6593">
        <w:trPr>
          <w:trHeight w:val="300"/>
        </w:trPr>
        <w:tc>
          <w:tcPr>
            <w:tcW w:w="1101"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KVBZ</w:t>
            </w:r>
          </w:p>
        </w:tc>
        <w:tc>
          <w:tcPr>
            <w:tcW w:w="1559" w:type="dxa"/>
            <w:noWrap/>
            <w:hideMark/>
          </w:tcPr>
          <w:p w:rsidR="006E6995" w:rsidRPr="006E6995" w:rsidRDefault="006E6995" w:rsidP="006E6995">
            <w:pPr>
              <w:spacing w:line="240" w:lineRule="auto"/>
              <w:ind w:firstLine="0"/>
              <w:jc w:val="center"/>
              <w:rPr>
                <w:sz w:val="22"/>
              </w:rPr>
            </w:pPr>
            <w:r w:rsidRPr="006E6995">
              <w:rPr>
                <w:sz w:val="22"/>
              </w:rPr>
              <w:t>0.746757125</w:t>
            </w:r>
          </w:p>
        </w:tc>
        <w:tc>
          <w:tcPr>
            <w:tcW w:w="1596" w:type="dxa"/>
            <w:noWrap/>
            <w:hideMark/>
          </w:tcPr>
          <w:p w:rsidR="006E6995" w:rsidRPr="006E6995" w:rsidRDefault="006E6995" w:rsidP="006E6995">
            <w:pPr>
              <w:spacing w:line="240" w:lineRule="auto"/>
              <w:ind w:firstLine="0"/>
              <w:jc w:val="center"/>
              <w:rPr>
                <w:sz w:val="22"/>
              </w:rPr>
            </w:pPr>
            <w:r w:rsidRPr="006E6995">
              <w:rPr>
                <w:sz w:val="22"/>
              </w:rPr>
              <w:t>0.743441742</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0.030720933</w:t>
            </w:r>
          </w:p>
        </w:tc>
        <w:tc>
          <w:tcPr>
            <w:tcW w:w="1559" w:type="dxa"/>
            <w:noWrap/>
            <w:hideMark/>
          </w:tcPr>
          <w:p w:rsidR="006E6995" w:rsidRPr="006E6995" w:rsidRDefault="006E6995" w:rsidP="006E6995">
            <w:pPr>
              <w:spacing w:line="240" w:lineRule="auto"/>
              <w:ind w:firstLine="0"/>
              <w:jc w:val="center"/>
              <w:rPr>
                <w:sz w:val="22"/>
              </w:rPr>
            </w:pPr>
            <w:r w:rsidRPr="006E6995">
              <w:rPr>
                <w:sz w:val="22"/>
              </w:rPr>
              <w:t>0.796441055</w:t>
            </w:r>
          </w:p>
        </w:tc>
        <w:tc>
          <w:tcPr>
            <w:tcW w:w="1236" w:type="dxa"/>
            <w:noWrap/>
            <w:hideMark/>
          </w:tcPr>
          <w:p w:rsidR="006E6995" w:rsidRPr="006E6995" w:rsidRDefault="006E6995" w:rsidP="006E6995">
            <w:pPr>
              <w:spacing w:line="240" w:lineRule="auto"/>
              <w:ind w:firstLine="0"/>
              <w:jc w:val="center"/>
              <w:rPr>
                <w:sz w:val="22"/>
              </w:rPr>
            </w:pPr>
            <w:r w:rsidRPr="006E6995">
              <w:rPr>
                <w:sz w:val="22"/>
              </w:rPr>
              <w:t>0.277808</w:t>
            </w:r>
          </w:p>
        </w:tc>
      </w:tr>
      <w:tr w:rsidR="006E6995" w:rsidRPr="006E6995" w:rsidTr="00DE6593">
        <w:trPr>
          <w:trHeight w:val="300"/>
        </w:trPr>
        <w:tc>
          <w:tcPr>
            <w:tcW w:w="1101" w:type="dxa"/>
            <w:noWrap/>
            <w:hideMark/>
          </w:tcPr>
          <w:p w:rsidR="006E6995" w:rsidRPr="006E6995" w:rsidRDefault="006E6995" w:rsidP="006E6995">
            <w:pPr>
              <w:spacing w:line="240" w:lineRule="auto"/>
              <w:ind w:firstLine="0"/>
              <w:jc w:val="center"/>
              <w:rPr>
                <w:color w:val="000000"/>
                <w:sz w:val="22"/>
              </w:rPr>
            </w:pPr>
            <w:r w:rsidRPr="006E6995">
              <w:rPr>
                <w:color w:val="000000"/>
                <w:sz w:val="22"/>
              </w:rPr>
              <w:t>AVDK</w:t>
            </w:r>
          </w:p>
        </w:tc>
        <w:tc>
          <w:tcPr>
            <w:tcW w:w="1559" w:type="dxa"/>
            <w:noWrap/>
            <w:hideMark/>
          </w:tcPr>
          <w:p w:rsidR="006E6995" w:rsidRPr="006E6995" w:rsidRDefault="006E6995" w:rsidP="006E6995">
            <w:pPr>
              <w:spacing w:line="240" w:lineRule="auto"/>
              <w:ind w:firstLine="0"/>
              <w:jc w:val="center"/>
              <w:rPr>
                <w:sz w:val="22"/>
              </w:rPr>
            </w:pPr>
            <w:r w:rsidRPr="006E6995">
              <w:rPr>
                <w:sz w:val="22"/>
              </w:rPr>
              <w:t>1.004393685</w:t>
            </w:r>
          </w:p>
        </w:tc>
        <w:tc>
          <w:tcPr>
            <w:tcW w:w="1596" w:type="dxa"/>
            <w:noWrap/>
            <w:hideMark/>
          </w:tcPr>
          <w:p w:rsidR="006E6995" w:rsidRPr="006E6995" w:rsidRDefault="006E6995" w:rsidP="006E6995">
            <w:pPr>
              <w:spacing w:line="240" w:lineRule="auto"/>
              <w:ind w:firstLine="0"/>
              <w:jc w:val="center"/>
              <w:rPr>
                <w:sz w:val="22"/>
              </w:rPr>
            </w:pPr>
            <w:r w:rsidRPr="006E6995">
              <w:rPr>
                <w:sz w:val="22"/>
              </w:rPr>
              <w:t>1.095173579</w:t>
            </w:r>
          </w:p>
        </w:tc>
        <w:tc>
          <w:tcPr>
            <w:tcW w:w="1560" w:type="dxa"/>
            <w:noWrap/>
            <w:hideMark/>
          </w:tcPr>
          <w:p w:rsidR="006E6995" w:rsidRPr="006E6995" w:rsidRDefault="006E6995" w:rsidP="006E6995">
            <w:pPr>
              <w:spacing w:line="240" w:lineRule="auto"/>
              <w:ind w:firstLine="0"/>
              <w:jc w:val="center"/>
              <w:rPr>
                <w:sz w:val="22"/>
              </w:rPr>
            </w:pPr>
            <w:r w:rsidRPr="006E6995">
              <w:rPr>
                <w:sz w:val="22"/>
              </w:rPr>
              <w:t>0.034029474</w:t>
            </w:r>
          </w:p>
        </w:tc>
        <w:tc>
          <w:tcPr>
            <w:tcW w:w="1559" w:type="dxa"/>
            <w:noWrap/>
            <w:hideMark/>
          </w:tcPr>
          <w:p w:rsidR="006E6995" w:rsidRPr="006E6995" w:rsidRDefault="006E6995" w:rsidP="006E6995">
            <w:pPr>
              <w:spacing w:line="240" w:lineRule="auto"/>
              <w:ind w:firstLine="0"/>
              <w:jc w:val="center"/>
              <w:rPr>
                <w:sz w:val="22"/>
                <w:lang w:val="en-US"/>
              </w:rPr>
            </w:pPr>
            <w:r w:rsidRPr="006E6995">
              <w:rPr>
                <w:sz w:val="22"/>
              </w:rPr>
              <w:t>-0.14974052</w:t>
            </w:r>
            <w:r w:rsidRPr="006E6995">
              <w:rPr>
                <w:sz w:val="22"/>
                <w:lang w:val="en-US"/>
              </w:rPr>
              <w:t>0</w:t>
            </w:r>
          </w:p>
        </w:tc>
        <w:tc>
          <w:tcPr>
            <w:tcW w:w="1236" w:type="dxa"/>
            <w:noWrap/>
            <w:hideMark/>
          </w:tcPr>
          <w:p w:rsidR="006E6995" w:rsidRPr="006E6995" w:rsidRDefault="006E6995" w:rsidP="006E6995">
            <w:pPr>
              <w:spacing w:line="240" w:lineRule="auto"/>
              <w:ind w:firstLine="0"/>
              <w:jc w:val="center"/>
              <w:rPr>
                <w:sz w:val="22"/>
              </w:rPr>
            </w:pPr>
            <w:r w:rsidRPr="006E6995">
              <w:rPr>
                <w:sz w:val="22"/>
              </w:rPr>
              <w:t>0.333998</w:t>
            </w:r>
          </w:p>
        </w:tc>
      </w:tr>
    </w:tbl>
    <w:p w:rsidR="00024F14" w:rsidRDefault="00024F14" w:rsidP="006E6995">
      <w:pPr>
        <w:rPr>
          <w:lang w:val="en-US"/>
        </w:rPr>
      </w:pPr>
    </w:p>
    <w:p w:rsidR="006E6995" w:rsidRPr="006E6995" w:rsidRDefault="006E6995" w:rsidP="006E6995">
      <w:pPr>
        <w:rPr>
          <w:lang w:val="en-US"/>
        </w:rPr>
      </w:pPr>
      <w:r w:rsidRPr="006E6995">
        <w:rPr>
          <w:lang w:val="en-US"/>
        </w:rPr>
        <w:t>In order to test the model on the Ukrainian market, additional risk indicators have been taken into account: yield standard deviation (SD), yield asymmetry (Sk), standard beta coefficient and standard semideviation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sidRPr="006E6995">
        <w:rPr>
          <w:lang w:val="en-US"/>
        </w:rPr>
        <w:t>)</w:t>
      </w:r>
      <w:r w:rsidR="00DE6593">
        <w:rPr>
          <w:lang w:val="en-US"/>
        </w:rPr>
        <w:t> [19]</w:t>
      </w:r>
      <w:r w:rsidRPr="006E6995">
        <w:rPr>
          <w:lang w:val="en-US"/>
        </w:rPr>
        <w:t>:</w:t>
      </w:r>
    </w:p>
    <w:p w:rsidR="006E6995" w:rsidRPr="00DE6593" w:rsidRDefault="006E6995" w:rsidP="006E6995">
      <w:pPr>
        <w:tabs>
          <w:tab w:val="left" w:pos="2835"/>
          <w:tab w:val="right" w:pos="8789"/>
        </w:tabs>
        <w:rPr>
          <w:lang w:val="en-US"/>
        </w:rPr>
      </w:pPr>
      <w:r w:rsidRPr="006E6995">
        <w:rPr>
          <w:rFonts w:eastAsiaTheme="minorEastAsia"/>
          <w:lang w:val="en-US"/>
        </w:rPr>
        <w:tab/>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i</m:t>
            </m:r>
          </m:sub>
        </m:sSub>
        <m:r>
          <w:rPr>
            <w:rFonts w:ascii="Cambria Math" w:eastAsiaTheme="minorEastAsia" w:hAnsi="Cambria Math"/>
            <w:lang w:val="en-US"/>
          </w:rPr>
          <m:t>=</m:t>
        </m:r>
        <m:rad>
          <m:radPr>
            <m:degHide m:val="on"/>
            <m:ctrlPr>
              <w:rPr>
                <w:rFonts w:ascii="Cambria Math" w:eastAsiaTheme="minorEastAsia" w:hAnsi="Cambria Math"/>
                <w:i/>
              </w:rPr>
            </m:ctrlPr>
          </m:radPr>
          <m:deg/>
          <m:e>
            <m:r>
              <w:rPr>
                <w:rFonts w:ascii="Cambria Math" w:eastAsiaTheme="minorEastAsia" w:hAnsi="Cambria Math"/>
              </w:rPr>
              <m:t>E</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r>
                              <w:rPr>
                                <w:rFonts w:ascii="Cambria Math" w:eastAsiaTheme="minorEastAsia" w:hAnsi="Cambria Math"/>
                                <w:lang w:val="en-US"/>
                              </w:rPr>
                              <m:t>-</m:t>
                            </m:r>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m:t>
                                </m:r>
                              </m:sub>
                            </m:sSub>
                          </m:e>
                        </m:d>
                      </m:e>
                      <m:sup>
                        <m:r>
                          <w:rPr>
                            <w:rFonts w:ascii="Cambria Math" w:eastAsiaTheme="minorEastAsia" w:hAnsi="Cambria Math"/>
                            <w:lang w:val="en-US"/>
                          </w:rPr>
                          <m:t>-</m:t>
                        </m:r>
                      </m:sup>
                    </m:sSup>
                  </m:e>
                </m:d>
              </m:e>
              <m:sup>
                <m:r>
                  <w:rPr>
                    <w:rFonts w:ascii="Cambria Math" w:eastAsiaTheme="minorEastAsia" w:hAnsi="Cambria Math"/>
                    <w:lang w:val="en-US"/>
                  </w:rPr>
                  <m:t>2</m:t>
                </m:r>
              </m:sup>
            </m:sSup>
          </m:e>
        </m:rad>
      </m:oMath>
      <w:r w:rsidRPr="00EE1E30">
        <w:rPr>
          <w:rFonts w:eastAsiaTheme="minorEastAsia"/>
          <w:lang w:val="en-US"/>
        </w:rPr>
        <w:tab/>
      </w:r>
      <w:r w:rsidRPr="00DE6593">
        <w:rPr>
          <w:rFonts w:eastAsiaTheme="minorEastAsia"/>
          <w:lang w:val="en-US"/>
        </w:rPr>
        <w:t>(8)</w:t>
      </w:r>
    </w:p>
    <w:p w:rsidR="006E6995" w:rsidRDefault="006E6995" w:rsidP="006E6995">
      <w:pPr>
        <w:rPr>
          <w:lang w:val="en-US"/>
        </w:rPr>
      </w:pPr>
      <w:r w:rsidRPr="006E6995">
        <w:rPr>
          <w:lang w:val="en-US"/>
        </w:rPr>
        <w:t>Based on data from section 3, for every risk factor a regression of mean of returns on each of them was made (table 5). After that, cross-sectional analysis was performed for each factor. Results show that only the semivariance has relatively high significance value. However, it is also clear that the modified downside beta coefficient has higher significance value than the classic beta.</w:t>
      </w:r>
    </w:p>
    <w:p w:rsidR="00024F14" w:rsidRDefault="00024F14" w:rsidP="006E6995">
      <w:pPr>
        <w:rPr>
          <w:lang w:val="en-US"/>
        </w:rPr>
      </w:pPr>
    </w:p>
    <w:p w:rsidR="00024F14" w:rsidRDefault="00024F14" w:rsidP="00024F14">
      <w:pPr>
        <w:pStyle w:val="a5"/>
        <w:jc w:val="center"/>
        <w:rPr>
          <w:b/>
        </w:rPr>
      </w:pPr>
      <w:bookmarkStart w:id="8" w:name="_Toc309880061"/>
    </w:p>
    <w:p w:rsidR="00024F14" w:rsidRPr="00CB710C" w:rsidRDefault="00024F14" w:rsidP="00024F14">
      <w:pPr>
        <w:pStyle w:val="a5"/>
        <w:spacing w:after="0" w:line="360" w:lineRule="auto"/>
        <w:jc w:val="center"/>
      </w:pPr>
      <w:r w:rsidRPr="00CB710C">
        <w:rPr>
          <w:b/>
        </w:rPr>
        <w:lastRenderedPageBreak/>
        <w:t xml:space="preserve">Table </w:t>
      </w:r>
      <w:r>
        <w:rPr>
          <w:b/>
        </w:rPr>
        <w:t xml:space="preserve">6. </w:t>
      </w:r>
      <w:r>
        <w:t>Results of cross-sectional analysis</w:t>
      </w:r>
      <w:bookmarkEnd w:id="8"/>
    </w:p>
    <w:tbl>
      <w:tblPr>
        <w:tblStyle w:val="ad"/>
        <w:tblW w:w="7604" w:type="dxa"/>
        <w:tblInd w:w="959" w:type="dxa"/>
        <w:tblLook w:val="04A0"/>
      </w:tblPr>
      <w:tblGrid>
        <w:gridCol w:w="2060"/>
        <w:gridCol w:w="1116"/>
        <w:gridCol w:w="1596"/>
        <w:gridCol w:w="1236"/>
        <w:gridCol w:w="1596"/>
      </w:tblGrid>
      <w:tr w:rsidR="00DE6593" w:rsidRPr="006E6995" w:rsidTr="00DE6593">
        <w:trPr>
          <w:trHeight w:val="300"/>
        </w:trPr>
        <w:tc>
          <w:tcPr>
            <w:tcW w:w="2060" w:type="dxa"/>
            <w:noWrap/>
            <w:hideMark/>
          </w:tcPr>
          <w:p w:rsidR="00DE6593" w:rsidRPr="006E6995" w:rsidRDefault="00DE6593" w:rsidP="00843CB6">
            <w:pPr>
              <w:spacing w:line="240" w:lineRule="auto"/>
              <w:ind w:firstLine="0"/>
              <w:jc w:val="center"/>
              <w:rPr>
                <w:bCs/>
                <w:sz w:val="22"/>
                <w:lang w:val="en-US"/>
              </w:rPr>
            </w:pPr>
            <w:r w:rsidRPr="006E6995">
              <w:rPr>
                <w:bCs/>
                <w:sz w:val="22"/>
                <w:lang w:val="en-US"/>
              </w:rPr>
              <w:t>Risk factor</w:t>
            </w:r>
          </w:p>
        </w:tc>
        <w:tc>
          <w:tcPr>
            <w:tcW w:w="1116" w:type="dxa"/>
            <w:noWrap/>
            <w:hideMark/>
          </w:tcPr>
          <w:p w:rsidR="00DE6593" w:rsidRPr="006E6995" w:rsidRDefault="00F71825" w:rsidP="00843CB6">
            <w:pPr>
              <w:spacing w:line="240" w:lineRule="auto"/>
              <w:ind w:firstLine="0"/>
              <w:jc w:val="center"/>
              <w:rPr>
                <w:bCs/>
                <w:sz w:val="22"/>
              </w:rPr>
            </w:pPr>
            <m:oMathPara>
              <m:oMath>
                <m:sSub>
                  <m:sSubPr>
                    <m:ctrlPr>
                      <w:rPr>
                        <w:rFonts w:ascii="Cambria Math" w:hAnsi="Cambria Math"/>
                        <w:bCs/>
                        <w:i/>
                        <w:sz w:val="22"/>
                      </w:rPr>
                    </m:ctrlPr>
                  </m:sSubPr>
                  <m:e>
                    <m:r>
                      <w:rPr>
                        <w:rFonts w:ascii="Cambria Math" w:hAnsi="Cambria Math"/>
                        <w:sz w:val="22"/>
                      </w:rPr>
                      <m:t>γ</m:t>
                    </m:r>
                  </m:e>
                  <m:sub>
                    <m:r>
                      <w:rPr>
                        <w:rFonts w:ascii="Cambria Math" w:hAnsi="Cambria Math"/>
                        <w:sz w:val="22"/>
                        <w:vertAlign w:val="subscript"/>
                      </w:rPr>
                      <m:t>0</m:t>
                    </m:r>
                  </m:sub>
                </m:sSub>
              </m:oMath>
            </m:oMathPara>
          </w:p>
        </w:tc>
        <w:tc>
          <w:tcPr>
            <w:tcW w:w="1596" w:type="dxa"/>
            <w:noWrap/>
            <w:hideMark/>
          </w:tcPr>
          <w:p w:rsidR="00DE6593" w:rsidRPr="006E6995" w:rsidRDefault="00F71825" w:rsidP="00843CB6">
            <w:pPr>
              <w:spacing w:line="240" w:lineRule="auto"/>
              <w:ind w:firstLine="0"/>
              <w:jc w:val="center"/>
              <w:rPr>
                <w:bCs/>
                <w:sz w:val="22"/>
              </w:rPr>
            </w:pPr>
            <m:oMathPara>
              <m:oMath>
                <m:sSub>
                  <m:sSubPr>
                    <m:ctrlPr>
                      <w:rPr>
                        <w:rFonts w:ascii="Cambria Math" w:hAnsi="Cambria Math"/>
                        <w:bCs/>
                        <w:i/>
                        <w:sz w:val="22"/>
                      </w:rPr>
                    </m:ctrlPr>
                  </m:sSubPr>
                  <m:e>
                    <m:r>
                      <w:rPr>
                        <w:rFonts w:ascii="Cambria Math" w:hAnsi="Cambria Math"/>
                        <w:sz w:val="22"/>
                      </w:rPr>
                      <m:t>γ</m:t>
                    </m:r>
                  </m:e>
                  <m:sub>
                    <m:r>
                      <w:rPr>
                        <w:rFonts w:ascii="Cambria Math" w:hAnsi="Cambria Math"/>
                        <w:sz w:val="22"/>
                        <w:vertAlign w:val="subscript"/>
                      </w:rPr>
                      <m:t>1</m:t>
                    </m:r>
                  </m:sub>
                </m:sSub>
              </m:oMath>
            </m:oMathPara>
          </w:p>
        </w:tc>
        <w:tc>
          <w:tcPr>
            <w:tcW w:w="1236" w:type="dxa"/>
            <w:noWrap/>
            <w:hideMark/>
          </w:tcPr>
          <w:p w:rsidR="00DE6593" w:rsidRPr="006E6995" w:rsidRDefault="00DE6593" w:rsidP="00843CB6">
            <w:pPr>
              <w:spacing w:line="240" w:lineRule="auto"/>
              <w:ind w:firstLine="0"/>
              <w:jc w:val="center"/>
              <w:rPr>
                <w:bCs/>
                <w:sz w:val="22"/>
                <w:lang w:val="en-US"/>
              </w:rPr>
            </w:pPr>
            <w:r w:rsidRPr="006E6995">
              <w:rPr>
                <w:bCs/>
                <w:sz w:val="22"/>
              </w:rPr>
              <w:t>t-</w:t>
            </w:r>
            <w:r w:rsidRPr="006E6995">
              <w:rPr>
                <w:bCs/>
                <w:sz w:val="22"/>
                <w:lang w:val="en-US"/>
              </w:rPr>
              <w:t>statistic</w:t>
            </w:r>
          </w:p>
        </w:tc>
        <w:tc>
          <w:tcPr>
            <w:tcW w:w="1596" w:type="dxa"/>
            <w:noWrap/>
            <w:hideMark/>
          </w:tcPr>
          <w:p w:rsidR="00DE6593" w:rsidRPr="006E6995" w:rsidRDefault="00F71825" w:rsidP="00843CB6">
            <w:pPr>
              <w:spacing w:line="240" w:lineRule="auto"/>
              <w:ind w:firstLine="0"/>
              <w:jc w:val="center"/>
              <w:rPr>
                <w:bCs/>
                <w:sz w:val="22"/>
              </w:rPr>
            </w:pPr>
            <m:oMathPara>
              <m:oMath>
                <m:sSup>
                  <m:sSupPr>
                    <m:ctrlPr>
                      <w:rPr>
                        <w:rFonts w:ascii="Cambria Math" w:hAnsi="Cambria Math"/>
                        <w:bCs/>
                        <w:i/>
                        <w:sz w:val="22"/>
                      </w:rPr>
                    </m:ctrlPr>
                  </m:sSupPr>
                  <m:e>
                    <m:r>
                      <w:rPr>
                        <w:rFonts w:ascii="Cambria Math" w:hAnsi="Cambria Math"/>
                        <w:sz w:val="22"/>
                      </w:rPr>
                      <m:t>r</m:t>
                    </m:r>
                  </m:e>
                  <m:sup>
                    <m:r>
                      <w:rPr>
                        <w:rFonts w:ascii="Cambria Math" w:hAnsi="Cambria Math"/>
                        <w:sz w:val="22"/>
                      </w:rPr>
                      <m:t>2</m:t>
                    </m:r>
                  </m:sup>
                </m:sSup>
              </m:oMath>
            </m:oMathPara>
          </w:p>
        </w:tc>
      </w:tr>
      <w:tr w:rsidR="00DE6593" w:rsidRPr="006E6995" w:rsidTr="00DE6593">
        <w:trPr>
          <w:trHeight w:val="315"/>
        </w:trPr>
        <w:tc>
          <w:tcPr>
            <w:tcW w:w="2060" w:type="dxa"/>
            <w:noWrap/>
            <w:hideMark/>
          </w:tcPr>
          <w:p w:rsidR="00DE6593" w:rsidRPr="006E6995" w:rsidRDefault="00DE6593" w:rsidP="00843CB6">
            <w:pPr>
              <w:spacing w:line="240" w:lineRule="auto"/>
              <w:ind w:firstLine="0"/>
              <w:jc w:val="center"/>
              <w:rPr>
                <w:bCs/>
                <w:sz w:val="22"/>
                <w:lang w:val="en-US"/>
              </w:rPr>
            </w:pPr>
            <m:oMathPara>
              <m:oMath>
                <m:r>
                  <w:rPr>
                    <w:rFonts w:ascii="Cambria Math" w:hAnsi="Cambria Math"/>
                    <w:sz w:val="22"/>
                    <w:lang w:val="en-US"/>
                  </w:rPr>
                  <m:t>β</m:t>
                </m:r>
              </m:oMath>
            </m:oMathPara>
          </w:p>
        </w:tc>
        <w:tc>
          <w:tcPr>
            <w:tcW w:w="1116" w:type="dxa"/>
            <w:noWrap/>
            <w:hideMark/>
          </w:tcPr>
          <w:p w:rsidR="00DE6593" w:rsidRPr="006E6995" w:rsidRDefault="00DE6593" w:rsidP="00843CB6">
            <w:pPr>
              <w:spacing w:line="240" w:lineRule="auto"/>
              <w:ind w:firstLine="0"/>
              <w:jc w:val="center"/>
              <w:rPr>
                <w:sz w:val="22"/>
                <w:lang w:val="en-US"/>
              </w:rPr>
            </w:pPr>
            <w:r w:rsidRPr="006E6995">
              <w:rPr>
                <w:sz w:val="22"/>
              </w:rPr>
              <w:t>0.0009</w:t>
            </w:r>
            <w:r w:rsidRPr="006E6995">
              <w:rPr>
                <w:sz w:val="22"/>
                <w:lang w:val="en-US"/>
              </w:rPr>
              <w:t>6</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-0.003475173</w:t>
            </w:r>
          </w:p>
        </w:tc>
        <w:tc>
          <w:tcPr>
            <w:tcW w:w="1236" w:type="dxa"/>
            <w:noWrap/>
            <w:hideMark/>
          </w:tcPr>
          <w:p w:rsidR="00DE6593" w:rsidRPr="006E6995" w:rsidRDefault="00DE6593" w:rsidP="00843CB6">
            <w:pPr>
              <w:spacing w:line="240" w:lineRule="auto"/>
              <w:ind w:firstLine="0"/>
              <w:jc w:val="center"/>
              <w:rPr>
                <w:sz w:val="22"/>
              </w:rPr>
            </w:pPr>
            <w:r w:rsidRPr="006E6995">
              <w:rPr>
                <w:sz w:val="22"/>
              </w:rPr>
              <w:t>-0.98294</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0.088104534</w:t>
            </w:r>
          </w:p>
        </w:tc>
      </w:tr>
      <w:tr w:rsidR="00DE6593" w:rsidRPr="006E6995" w:rsidTr="00DE6593">
        <w:trPr>
          <w:trHeight w:val="315"/>
        </w:trPr>
        <w:tc>
          <w:tcPr>
            <w:tcW w:w="2060" w:type="dxa"/>
            <w:noWrap/>
            <w:hideMark/>
          </w:tcPr>
          <w:p w:rsidR="00DE6593" w:rsidRPr="006E6995" w:rsidRDefault="00F71825" w:rsidP="00843CB6">
            <w:pPr>
              <w:spacing w:line="240" w:lineRule="auto"/>
              <w:ind w:firstLine="0"/>
              <w:jc w:val="center"/>
              <w:rPr>
                <w:bCs/>
                <w:sz w:val="22"/>
                <w:lang w:val="en-US"/>
              </w:rPr>
            </w:pPr>
            <m:oMathPara>
              <m:oMath>
                <m:sSup>
                  <m:sSupPr>
                    <m:ctrlPr>
                      <w:rPr>
                        <w:rFonts w:ascii="Cambria Math" w:hAnsi="Cambria Math"/>
                        <w:bCs/>
                        <w:i/>
                        <w:sz w:val="22"/>
                        <w:lang w:val="en-US"/>
                      </w:rPr>
                    </m:ctrlPr>
                  </m:sSupPr>
                  <m:e>
                    <m:r>
                      <w:rPr>
                        <w:rFonts w:ascii="Cambria Math" w:hAnsi="Cambria Math"/>
                        <w:sz w:val="22"/>
                        <w:lang w:val="en-US"/>
                      </w:rPr>
                      <m:t>β</m:t>
                    </m:r>
                  </m:e>
                  <m:sup>
                    <m:r>
                      <w:rPr>
                        <w:rFonts w:ascii="Cambria Math" w:hAnsi="Cambria Math"/>
                        <w:sz w:val="22"/>
                        <w:lang w:val="en-US"/>
                      </w:rPr>
                      <m:t>D</m:t>
                    </m:r>
                  </m:sup>
                </m:sSup>
              </m:oMath>
            </m:oMathPara>
          </w:p>
        </w:tc>
        <w:tc>
          <w:tcPr>
            <w:tcW w:w="1116" w:type="dxa"/>
            <w:noWrap/>
            <w:hideMark/>
          </w:tcPr>
          <w:p w:rsidR="00DE6593" w:rsidRPr="006E6995" w:rsidRDefault="00DE6593" w:rsidP="00843CB6">
            <w:pPr>
              <w:spacing w:line="240" w:lineRule="auto"/>
              <w:ind w:firstLine="0"/>
              <w:jc w:val="center"/>
              <w:rPr>
                <w:sz w:val="22"/>
              </w:rPr>
            </w:pPr>
            <w:r w:rsidRPr="006E6995">
              <w:rPr>
                <w:sz w:val="22"/>
              </w:rPr>
              <w:t>-0.00259</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0.0000806340</w:t>
            </w:r>
          </w:p>
        </w:tc>
        <w:tc>
          <w:tcPr>
            <w:tcW w:w="1236" w:type="dxa"/>
            <w:noWrap/>
            <w:hideMark/>
          </w:tcPr>
          <w:p w:rsidR="00DE6593" w:rsidRPr="006E6995" w:rsidRDefault="00DE6593" w:rsidP="00843CB6">
            <w:pPr>
              <w:spacing w:line="240" w:lineRule="auto"/>
              <w:ind w:firstLine="0"/>
              <w:jc w:val="center"/>
              <w:rPr>
                <w:sz w:val="22"/>
                <w:lang w:val="en-US"/>
              </w:rPr>
            </w:pPr>
            <w:r w:rsidRPr="006E6995">
              <w:rPr>
                <w:sz w:val="22"/>
              </w:rPr>
              <w:t>0.0170</w:t>
            </w:r>
            <w:r w:rsidRPr="006E6995">
              <w:rPr>
                <w:sz w:val="22"/>
                <w:lang w:val="en-US"/>
              </w:rPr>
              <w:t>1</w:t>
            </w:r>
          </w:p>
        </w:tc>
        <w:tc>
          <w:tcPr>
            <w:tcW w:w="1596" w:type="dxa"/>
            <w:noWrap/>
            <w:hideMark/>
          </w:tcPr>
          <w:p w:rsidR="00DE6593" w:rsidRPr="006E6995" w:rsidRDefault="00DE6593" w:rsidP="00843CB6">
            <w:pPr>
              <w:spacing w:line="240" w:lineRule="auto"/>
              <w:ind w:firstLine="0"/>
              <w:jc w:val="center"/>
              <w:rPr>
                <w:sz w:val="22"/>
                <w:lang w:val="en-US"/>
              </w:rPr>
            </w:pPr>
            <w:r w:rsidRPr="006E6995">
              <w:rPr>
                <w:sz w:val="22"/>
              </w:rPr>
              <w:t>0.000028922</w:t>
            </w:r>
          </w:p>
        </w:tc>
      </w:tr>
      <w:tr w:rsidR="00DE6593" w:rsidRPr="006E6995" w:rsidTr="00DE6593">
        <w:trPr>
          <w:trHeight w:val="315"/>
        </w:trPr>
        <w:tc>
          <w:tcPr>
            <w:tcW w:w="2060" w:type="dxa"/>
            <w:noWrap/>
            <w:hideMark/>
          </w:tcPr>
          <w:p w:rsidR="00DE6593" w:rsidRPr="006E6995" w:rsidRDefault="00DE6593" w:rsidP="00843CB6">
            <w:pPr>
              <w:spacing w:line="240" w:lineRule="auto"/>
              <w:ind w:firstLine="0"/>
              <w:jc w:val="center"/>
              <w:rPr>
                <w:bCs/>
                <w:sz w:val="22"/>
                <w:lang w:val="en-US"/>
              </w:rPr>
            </w:pPr>
            <w:r w:rsidRPr="006E6995">
              <w:rPr>
                <w:bCs/>
                <w:sz w:val="22"/>
                <w:lang w:val="en-US"/>
              </w:rPr>
              <w:t>SD</w:t>
            </w:r>
          </w:p>
        </w:tc>
        <w:tc>
          <w:tcPr>
            <w:tcW w:w="1116" w:type="dxa"/>
            <w:noWrap/>
            <w:hideMark/>
          </w:tcPr>
          <w:p w:rsidR="00DE6593" w:rsidRPr="006E6995" w:rsidRDefault="00DE6593" w:rsidP="00843CB6">
            <w:pPr>
              <w:spacing w:line="240" w:lineRule="auto"/>
              <w:ind w:firstLine="0"/>
              <w:jc w:val="center"/>
              <w:rPr>
                <w:sz w:val="22"/>
              </w:rPr>
            </w:pPr>
            <w:r w:rsidRPr="006E6995">
              <w:rPr>
                <w:sz w:val="22"/>
              </w:rPr>
              <w:t>-0.00211</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-0.011099158</w:t>
            </w:r>
          </w:p>
        </w:tc>
        <w:tc>
          <w:tcPr>
            <w:tcW w:w="1236" w:type="dxa"/>
            <w:noWrap/>
            <w:hideMark/>
          </w:tcPr>
          <w:p w:rsidR="00DE6593" w:rsidRPr="006E6995" w:rsidRDefault="00DE6593" w:rsidP="00843CB6">
            <w:pPr>
              <w:spacing w:line="240" w:lineRule="auto"/>
              <w:ind w:firstLine="0"/>
              <w:jc w:val="center"/>
              <w:rPr>
                <w:sz w:val="22"/>
              </w:rPr>
            </w:pPr>
            <w:r w:rsidRPr="006E6995">
              <w:rPr>
                <w:sz w:val="22"/>
              </w:rPr>
              <w:t>-0.08944</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0.000799303</w:t>
            </w:r>
          </w:p>
        </w:tc>
      </w:tr>
      <w:tr w:rsidR="00DE6593" w:rsidRPr="006E6995" w:rsidTr="00DE6593">
        <w:trPr>
          <w:trHeight w:val="315"/>
        </w:trPr>
        <w:tc>
          <w:tcPr>
            <w:tcW w:w="2060" w:type="dxa"/>
            <w:noWrap/>
            <w:hideMark/>
          </w:tcPr>
          <w:p w:rsidR="00DE6593" w:rsidRPr="006E6995" w:rsidRDefault="00DE6593" w:rsidP="00843CB6">
            <w:pPr>
              <w:spacing w:line="240" w:lineRule="auto"/>
              <w:ind w:firstLine="0"/>
              <w:jc w:val="center"/>
              <w:rPr>
                <w:sz w:val="22"/>
                <w:lang w:val="en-US"/>
              </w:rPr>
            </w:pPr>
            <w:r w:rsidRPr="006E6995">
              <w:rPr>
                <w:sz w:val="22"/>
                <w:lang w:val="en-US"/>
              </w:rPr>
              <w:t>Sk</w:t>
            </w:r>
          </w:p>
        </w:tc>
        <w:tc>
          <w:tcPr>
            <w:tcW w:w="1116" w:type="dxa"/>
            <w:noWrap/>
            <w:hideMark/>
          </w:tcPr>
          <w:p w:rsidR="00DE6593" w:rsidRPr="006E6995" w:rsidRDefault="00DE6593" w:rsidP="00843CB6">
            <w:pPr>
              <w:spacing w:line="240" w:lineRule="auto"/>
              <w:ind w:firstLine="0"/>
              <w:jc w:val="center"/>
              <w:rPr>
                <w:sz w:val="22"/>
                <w:lang w:val="en-US"/>
              </w:rPr>
            </w:pPr>
            <w:r w:rsidRPr="006E6995">
              <w:rPr>
                <w:sz w:val="22"/>
              </w:rPr>
              <w:t>-0.0024</w:t>
            </w:r>
            <w:r w:rsidRPr="006E6995">
              <w:rPr>
                <w:sz w:val="22"/>
                <w:lang w:val="en-US"/>
              </w:rPr>
              <w:t>0</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-0.000253389</w:t>
            </w:r>
          </w:p>
        </w:tc>
        <w:tc>
          <w:tcPr>
            <w:tcW w:w="1236" w:type="dxa"/>
            <w:noWrap/>
            <w:hideMark/>
          </w:tcPr>
          <w:p w:rsidR="00DE6593" w:rsidRPr="006E6995" w:rsidRDefault="00DE6593" w:rsidP="00843CB6">
            <w:pPr>
              <w:spacing w:line="240" w:lineRule="auto"/>
              <w:ind w:firstLine="0"/>
              <w:jc w:val="center"/>
              <w:rPr>
                <w:sz w:val="22"/>
              </w:rPr>
            </w:pPr>
            <w:r w:rsidRPr="006E6995">
              <w:rPr>
                <w:sz w:val="22"/>
              </w:rPr>
              <w:t>-0.30592</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0.009271976</w:t>
            </w:r>
          </w:p>
        </w:tc>
      </w:tr>
      <w:tr w:rsidR="00DE6593" w:rsidRPr="006E6995" w:rsidTr="00DE6593">
        <w:trPr>
          <w:trHeight w:val="315"/>
        </w:trPr>
        <w:tc>
          <w:tcPr>
            <w:tcW w:w="2060" w:type="dxa"/>
            <w:noWrap/>
            <w:hideMark/>
          </w:tcPr>
          <w:p w:rsidR="00DE6593" w:rsidRPr="006E6995" w:rsidRDefault="00F71825" w:rsidP="00843CB6">
            <w:pPr>
              <w:spacing w:line="240" w:lineRule="auto"/>
              <w:ind w:firstLine="0"/>
              <w:jc w:val="center"/>
              <w:rPr>
                <w:bCs/>
                <w:sz w:val="22"/>
                <w:lang w:val="en-US"/>
              </w:rPr>
            </w:pPr>
            <m:oMathPara>
              <m:oMath>
                <m:sSub>
                  <m:sSubPr>
                    <m:ctrlPr>
                      <w:rPr>
                        <w:rFonts w:ascii="Cambria Math" w:hAnsi="Cambria Math"/>
                        <w:bCs/>
                        <w:i/>
                        <w:sz w:val="22"/>
                      </w:rPr>
                    </m:ctrlPr>
                  </m:sSubPr>
                  <m:e>
                    <m:r>
                      <w:rPr>
                        <w:rFonts w:ascii="Cambria Math" w:hAnsi="Cambria Math"/>
                        <w:sz w:val="22"/>
                      </w:rPr>
                      <m:t>Σ</m:t>
                    </m:r>
                  </m:e>
                  <m:sub>
                    <m:r>
                      <w:rPr>
                        <w:rFonts w:ascii="Cambria Math" w:hAnsi="Cambria Math"/>
                        <w:sz w:val="22"/>
                        <w:lang w:val="en-US"/>
                      </w:rPr>
                      <m:t>i</m:t>
                    </m:r>
                  </m:sub>
                </m:sSub>
                <m:r>
                  <w:rPr>
                    <w:rFonts w:ascii="Cambria Math" w:hAnsi="Cambria Math"/>
                    <w:sz w:val="22"/>
                    <w:lang w:val="en-US"/>
                  </w:rPr>
                  <m:t xml:space="preserve"> </m:t>
                </m:r>
              </m:oMath>
            </m:oMathPara>
          </w:p>
        </w:tc>
        <w:tc>
          <w:tcPr>
            <w:tcW w:w="1116" w:type="dxa"/>
            <w:noWrap/>
            <w:hideMark/>
          </w:tcPr>
          <w:p w:rsidR="00DE6593" w:rsidRPr="006E6995" w:rsidRDefault="00DE6593" w:rsidP="00843CB6">
            <w:pPr>
              <w:spacing w:line="240" w:lineRule="auto"/>
              <w:ind w:firstLine="0"/>
              <w:jc w:val="center"/>
              <w:rPr>
                <w:sz w:val="22"/>
              </w:rPr>
            </w:pPr>
            <w:r w:rsidRPr="006E6995">
              <w:rPr>
                <w:sz w:val="22"/>
              </w:rPr>
              <w:t>-0.00582</w:t>
            </w:r>
          </w:p>
        </w:tc>
        <w:tc>
          <w:tcPr>
            <w:tcW w:w="1596" w:type="dxa"/>
            <w:noWrap/>
            <w:hideMark/>
          </w:tcPr>
          <w:p w:rsidR="00DE6593" w:rsidRPr="006E6995" w:rsidRDefault="00DE6593" w:rsidP="00843CB6">
            <w:pPr>
              <w:spacing w:line="240" w:lineRule="auto"/>
              <w:ind w:firstLine="0"/>
              <w:jc w:val="center"/>
              <w:rPr>
                <w:sz w:val="22"/>
              </w:rPr>
            </w:pPr>
            <w:r w:rsidRPr="006E6995">
              <w:rPr>
                <w:sz w:val="22"/>
              </w:rPr>
              <w:t>0.00857439</w:t>
            </w:r>
          </w:p>
        </w:tc>
        <w:tc>
          <w:tcPr>
            <w:tcW w:w="1236" w:type="dxa"/>
            <w:noWrap/>
            <w:hideMark/>
          </w:tcPr>
          <w:p w:rsidR="00DE6593" w:rsidRPr="006E6995" w:rsidRDefault="00DE6593" w:rsidP="00843CB6">
            <w:pPr>
              <w:spacing w:line="240" w:lineRule="auto"/>
              <w:ind w:firstLine="0"/>
              <w:jc w:val="center"/>
              <w:rPr>
                <w:sz w:val="22"/>
              </w:rPr>
            </w:pPr>
            <w:r w:rsidRPr="006E6995">
              <w:rPr>
                <w:sz w:val="22"/>
              </w:rPr>
              <w:t>2.37933</w:t>
            </w:r>
          </w:p>
        </w:tc>
        <w:tc>
          <w:tcPr>
            <w:tcW w:w="1596" w:type="dxa"/>
            <w:noWrap/>
            <w:hideMark/>
          </w:tcPr>
          <w:p w:rsidR="00DE6593" w:rsidRPr="006E6995" w:rsidRDefault="00DE6593" w:rsidP="00843CB6">
            <w:pPr>
              <w:spacing w:line="240" w:lineRule="auto"/>
              <w:ind w:firstLine="0"/>
              <w:jc w:val="center"/>
              <w:rPr>
                <w:sz w:val="22"/>
              </w:rPr>
            </w:pPr>
            <w:r w:rsidRPr="006E6995">
              <w:rPr>
                <w:sz w:val="22"/>
              </w:rPr>
              <w:t>0.361480563</w:t>
            </w:r>
          </w:p>
        </w:tc>
      </w:tr>
    </w:tbl>
    <w:p w:rsidR="006E6995" w:rsidRDefault="006E6995" w:rsidP="006E6995">
      <w:pPr>
        <w:pStyle w:val="1"/>
      </w:pPr>
      <w:bookmarkStart w:id="9" w:name="_Toc309880085"/>
      <w:r>
        <w:t>Conclusions</w:t>
      </w:r>
      <w:bookmarkEnd w:id="9"/>
    </w:p>
    <w:p w:rsidR="006E6995" w:rsidRPr="006E6995" w:rsidRDefault="006E6995" w:rsidP="006E6995">
      <w:pPr>
        <w:rPr>
          <w:lang w:val="en-US"/>
        </w:rPr>
      </w:pPr>
      <w:r w:rsidRPr="006E6995">
        <w:rPr>
          <w:lang w:val="en-US"/>
        </w:rPr>
        <w:t>The examination of conditions in which the Ukrainian stock market operates already showed a large array of problems that would prevent implementing the CAPM to calculate expected returns and approximate risks for investors. Being an emerging market, Ukraine faces a number of difficulties absent on mature and developed markets. Political and social factors also contribute to those problems introducing additional risk components that further complicate risk and yield estimation. Recent crises also added some uncertainty that makes a lot of aspects rather unpredictable. Given all this, theoretically using the CAPM is already unjustified.</w:t>
      </w:r>
    </w:p>
    <w:p w:rsidR="006E6995" w:rsidRPr="006E6995" w:rsidRDefault="006E6995" w:rsidP="006E6995">
      <w:pPr>
        <w:rPr>
          <w:lang w:val="en-US"/>
        </w:rPr>
      </w:pPr>
      <w:r w:rsidRPr="006E6995">
        <w:rPr>
          <w:lang w:val="en-US"/>
        </w:rPr>
        <w:t>Empirical tests further proved this suspicion. They showed that the factors that the model does not take into account bear significance, in particular, the stock liquidity. Furthermore, the beta coefficient does not have as much significance. Therefore, the model is not adequate, as its key element – the beta coefficient that it is basically built around – has less significant influence on expected returns than additional elements. In general, though, the correlation between liquidity and returns is very low and at times might see random at all. This is largely a result of aforementioned problems of the Ukrainian stock market, the “country risk” for which the CAPM does not account. Testing also failed to support the assumptions of the CAPM that the returns distribution is a normal and symmetrical one which are required for it to work properly.</w:t>
      </w:r>
    </w:p>
    <w:p w:rsidR="006E6995" w:rsidRPr="006E6995" w:rsidRDefault="006E6995" w:rsidP="006E6995">
      <w:pPr>
        <w:rPr>
          <w:lang w:val="en-US"/>
        </w:rPr>
      </w:pPr>
      <w:r w:rsidRPr="006E6995">
        <w:rPr>
          <w:lang w:val="en-US"/>
        </w:rPr>
        <w:t xml:space="preserve">In theory the D-CAPM seemed a reasonable alternative for the situation. Its downside beta coefficient accounted for all the factors the CAPM missed, particularly the asymmetry of returns distribution. Performed tests showed that it is indeed more suitable for Ukrainian market conditions, albeit barely. The semideviation coefficient </w:t>
      </w:r>
      <w:r w:rsidRPr="006E6995">
        <w:rPr>
          <w:lang w:val="en-US"/>
        </w:rPr>
        <w:lastRenderedPageBreak/>
        <w:t>that is used in the D-CAPM had the highest significance which shows us that the model is usable at least to some level of reliability. The downside beta coefficient, though very close to zero, still is positive and bears higher significance than the classic CAPM’s beta coefficient, which also proves the supremacy of the D-CAPM over the Sharpe-Lintner CAPM in Ukraine.</w:t>
      </w:r>
    </w:p>
    <w:p w:rsidR="006E6995" w:rsidRDefault="006E6995" w:rsidP="006E6995">
      <w:pPr>
        <w:rPr>
          <w:lang w:val="en-US"/>
        </w:rPr>
      </w:pPr>
      <w:r w:rsidRPr="006E6995">
        <w:rPr>
          <w:lang w:val="en-US"/>
        </w:rPr>
        <w:t>It is clear, however, that neither of the models is anywhere close to perfect. There are too many variables in the market which are impossibly hard to calculate and compose into a single model that estimates risks with high precision. Nevertheless, this paper has taken some steps in the direction of dealing with this problem, although the current situation gives reasons to believe that market conditions might dramatically change at any moment which will likely further complicate any such attempts to develop a model to estimate risks and predict asset returns on the Ukrainian stock market.</w:t>
      </w:r>
    </w:p>
    <w:p w:rsidR="004E4779" w:rsidRDefault="004E4779" w:rsidP="004E4779">
      <w:pPr>
        <w:pStyle w:val="1"/>
      </w:pPr>
      <w:r>
        <w:t>References</w:t>
      </w:r>
    </w:p>
    <w:p w:rsidR="004E4779" w:rsidRPr="004E4779" w:rsidRDefault="004E4779" w:rsidP="004E4779">
      <w:pPr>
        <w:numPr>
          <w:ilvl w:val="0"/>
          <w:numId w:val="10"/>
        </w:numPr>
        <w:ind w:left="426"/>
        <w:jc w:val="left"/>
      </w:pPr>
      <w:r w:rsidRPr="004E4779">
        <w:rPr>
          <w:lang w:val="en-US"/>
        </w:rPr>
        <w:t xml:space="preserve">Sharpe, W.F. (1964), “Capital Asset Prices – A Theory of Market Equilibrium Under Conditions of Risk”. </w:t>
      </w:r>
      <w:r w:rsidRPr="004E4779">
        <w:t>Journal of Finance XIX (3): 425–442.</w:t>
      </w:r>
    </w:p>
    <w:p w:rsidR="000E7C99" w:rsidRPr="004E4779" w:rsidRDefault="000E732B" w:rsidP="004E4779">
      <w:pPr>
        <w:numPr>
          <w:ilvl w:val="0"/>
          <w:numId w:val="10"/>
        </w:numPr>
        <w:ind w:left="426"/>
        <w:jc w:val="left"/>
        <w:rPr>
          <w:lang w:val="en-US"/>
        </w:rPr>
      </w:pPr>
      <w:r w:rsidRPr="004E4779">
        <w:rPr>
          <w:lang w:val="en-US"/>
        </w:rPr>
        <w:t>Lintner, J. (1965), “The valuation of risk assets and the selection of risky investments in stock portfolios and capital budgets”, Review of Economic and Statistics, 47, 13−37.</w:t>
      </w:r>
    </w:p>
    <w:p w:rsidR="000E7C99" w:rsidRPr="004E4779" w:rsidRDefault="000E732B" w:rsidP="004E4779">
      <w:pPr>
        <w:numPr>
          <w:ilvl w:val="0"/>
          <w:numId w:val="10"/>
        </w:numPr>
        <w:ind w:left="426"/>
        <w:jc w:val="left"/>
      </w:pPr>
      <w:r w:rsidRPr="004E4779">
        <w:rPr>
          <w:lang w:val="en-US"/>
        </w:rPr>
        <w:t xml:space="preserve">Jensen, Michael C./Black, F./Scholes, M.S. (1972), The Capital Asset Pricing Model: Some Empirical Tests. Michael C. Jensen, STUDIES IN THE THEORY OF CAPITAL MARKETS, Praeger Publishers Inc. </w:t>
      </w:r>
      <w:r w:rsidRPr="004E4779">
        <w:t xml:space="preserve">Available at SSRN: </w:t>
      </w:r>
      <w:hyperlink r:id="rId8" w:history="1">
        <w:r w:rsidRPr="004E4779">
          <w:rPr>
            <w:rStyle w:val="af5"/>
          </w:rPr>
          <w:t>http://ssrn.com/abstract=908569</w:t>
        </w:r>
      </w:hyperlink>
    </w:p>
    <w:p w:rsidR="000E7C99" w:rsidRPr="004E4779" w:rsidRDefault="000E732B" w:rsidP="004E4779">
      <w:pPr>
        <w:numPr>
          <w:ilvl w:val="0"/>
          <w:numId w:val="10"/>
        </w:numPr>
        <w:ind w:left="426"/>
        <w:jc w:val="left"/>
        <w:rPr>
          <w:lang w:val="en-US"/>
        </w:rPr>
      </w:pPr>
      <w:r w:rsidRPr="004E4779">
        <w:rPr>
          <w:lang w:val="en-US"/>
        </w:rPr>
        <w:t>Roll, R. (March 1977), “A critique of the asset pricing theory’s tests Part I: On past and potential testability of the theory”, Journal of Financial Economics 4 (2): pp. 129–176.</w:t>
      </w:r>
    </w:p>
    <w:p w:rsidR="000E7C99" w:rsidRPr="004E4779" w:rsidRDefault="000E732B" w:rsidP="004E4779">
      <w:pPr>
        <w:numPr>
          <w:ilvl w:val="0"/>
          <w:numId w:val="10"/>
        </w:numPr>
        <w:ind w:left="426"/>
        <w:jc w:val="left"/>
        <w:rPr>
          <w:lang w:val="en-US"/>
        </w:rPr>
      </w:pPr>
      <w:r w:rsidRPr="004E4779">
        <w:rPr>
          <w:lang w:val="en-US"/>
        </w:rPr>
        <w:t>Banz, R.W. (1981), “The relationship between return and market value of common stocks,” Journal of Financial Economics, Elsevier, vol. 9 (1), pages 3-18, March.</w:t>
      </w:r>
    </w:p>
    <w:p w:rsidR="000E7C99" w:rsidRPr="004E4779" w:rsidRDefault="000E732B" w:rsidP="004E4779">
      <w:pPr>
        <w:numPr>
          <w:ilvl w:val="0"/>
          <w:numId w:val="10"/>
        </w:numPr>
        <w:ind w:left="426"/>
        <w:jc w:val="left"/>
      </w:pPr>
      <w:r w:rsidRPr="004E4779">
        <w:rPr>
          <w:lang w:val="en-US"/>
        </w:rPr>
        <w:lastRenderedPageBreak/>
        <w:t xml:space="preserve">Blume, M./Friend, I. (1973), “A New Look at the Capital Asset Pricing Model”, Journal of Finance. </w:t>
      </w:r>
      <w:r w:rsidRPr="004E4779">
        <w:t>28:1, pp. 19-33.</w:t>
      </w:r>
    </w:p>
    <w:p w:rsidR="000E7C99" w:rsidRPr="004E4779" w:rsidRDefault="000E732B" w:rsidP="004E4779">
      <w:pPr>
        <w:numPr>
          <w:ilvl w:val="0"/>
          <w:numId w:val="10"/>
        </w:numPr>
        <w:ind w:left="426"/>
        <w:jc w:val="left"/>
        <w:rPr>
          <w:lang w:val="en-US"/>
        </w:rPr>
      </w:pPr>
      <w:r w:rsidRPr="004E4779">
        <w:rPr>
          <w:lang w:val="en-US"/>
        </w:rPr>
        <w:t>Basu, S. (1977), “Investment performance of common stocks in relation to their Price-Earnings ratio: A test of the efficient market hypothesis”, Journal of Finance, XXXII, 3, pp. 663-682.</w:t>
      </w:r>
    </w:p>
    <w:p w:rsidR="000E7C99" w:rsidRPr="004E4779" w:rsidRDefault="000E732B" w:rsidP="004E4779">
      <w:pPr>
        <w:numPr>
          <w:ilvl w:val="0"/>
          <w:numId w:val="10"/>
        </w:numPr>
        <w:ind w:left="426"/>
        <w:jc w:val="left"/>
        <w:rPr>
          <w:lang w:val="en-US"/>
        </w:rPr>
      </w:pPr>
      <w:r w:rsidRPr="004E4779">
        <w:rPr>
          <w:lang w:val="en-US"/>
        </w:rPr>
        <w:t>Rosenberg, B./Kenneth R./Lanstein R. (1985), “Persuasive Evidence of Market Inefficiency”, The Journal of Portfolio Management, Vol. 11, No. 3: pp. 9-16.</w:t>
      </w:r>
    </w:p>
    <w:p w:rsidR="000E7C99" w:rsidRPr="004E4779" w:rsidRDefault="000E732B" w:rsidP="004E4779">
      <w:pPr>
        <w:numPr>
          <w:ilvl w:val="0"/>
          <w:numId w:val="10"/>
        </w:numPr>
        <w:ind w:left="426"/>
        <w:jc w:val="left"/>
        <w:rPr>
          <w:lang w:val="en-US"/>
        </w:rPr>
      </w:pPr>
      <w:r w:rsidRPr="004E4779">
        <w:rPr>
          <w:lang w:val="en-US"/>
        </w:rPr>
        <w:t xml:space="preserve">Teplova, T. (2007), Investment Levers of Maximizing Company’s Value, Vershina: Moscow, available at </w:t>
      </w:r>
      <w:hyperlink r:id="rId9" w:history="1">
        <w:r w:rsidRPr="004E4779">
          <w:rPr>
            <w:rStyle w:val="af5"/>
            <w:lang w:val="en-US"/>
          </w:rPr>
          <w:t>http://www.cfin.ru/management/strategy/classic/investment_risks.shtml</w:t>
        </w:r>
      </w:hyperlink>
      <w:r w:rsidRPr="004E4779">
        <w:rPr>
          <w:lang w:val="en-US"/>
        </w:rPr>
        <w:t>, 03.04.2007.</w:t>
      </w:r>
    </w:p>
    <w:p w:rsidR="000E7C99" w:rsidRPr="004E4779" w:rsidRDefault="000E732B" w:rsidP="004E4779">
      <w:pPr>
        <w:numPr>
          <w:ilvl w:val="0"/>
          <w:numId w:val="10"/>
        </w:numPr>
        <w:ind w:left="426"/>
        <w:jc w:val="left"/>
        <w:rPr>
          <w:lang w:val="en-US"/>
        </w:rPr>
      </w:pPr>
      <w:r w:rsidRPr="004E4779">
        <w:rPr>
          <w:lang w:val="en-US"/>
        </w:rPr>
        <w:t>Shen, P. (2006), “Liquidity Risk Premia and Breakeven Inflation Rates”, Economic Review: Federal Reserve Bank of Kansas City, Q2: pp. 29-54.</w:t>
      </w:r>
    </w:p>
    <w:p w:rsidR="000E7C99" w:rsidRPr="004E4779" w:rsidRDefault="000E732B" w:rsidP="004E4779">
      <w:pPr>
        <w:numPr>
          <w:ilvl w:val="0"/>
          <w:numId w:val="10"/>
        </w:numPr>
        <w:ind w:left="426"/>
        <w:jc w:val="left"/>
        <w:rPr>
          <w:lang w:val="en-US"/>
        </w:rPr>
      </w:pPr>
      <w:r w:rsidRPr="004E4779">
        <w:rPr>
          <w:lang w:val="en-US"/>
        </w:rPr>
        <w:t>Jagannathan, R./Wang, Z. (1996), “The  Conditional  CAPM  and  the  Cross-Section  of Expected Returns”, Journal of Finance, vol.51, Issue1, pp 3-53, March.</w:t>
      </w:r>
    </w:p>
    <w:p w:rsidR="000E7C99" w:rsidRPr="004E4779" w:rsidRDefault="000E732B" w:rsidP="004E4779">
      <w:pPr>
        <w:numPr>
          <w:ilvl w:val="0"/>
          <w:numId w:val="10"/>
        </w:numPr>
        <w:ind w:left="426"/>
        <w:jc w:val="left"/>
        <w:rPr>
          <w:lang w:val="en-US"/>
        </w:rPr>
      </w:pPr>
      <w:r w:rsidRPr="004E4779">
        <w:rPr>
          <w:lang w:val="en-US"/>
        </w:rPr>
        <w:t>Magni, C.A. (2005), “Norms of rationality and investment decisions: CAPM, arbitrage and description invariance”, University of Modena and Reggio Emilia</w:t>
      </w:r>
    </w:p>
    <w:p w:rsidR="000E7C99" w:rsidRPr="004E4779" w:rsidRDefault="000E732B" w:rsidP="004E4779">
      <w:pPr>
        <w:numPr>
          <w:ilvl w:val="0"/>
          <w:numId w:val="10"/>
        </w:numPr>
        <w:ind w:left="426"/>
        <w:jc w:val="left"/>
        <w:rPr>
          <w:lang w:val="en-US"/>
        </w:rPr>
      </w:pPr>
      <w:r w:rsidRPr="004E4779">
        <w:rPr>
          <w:lang w:val="en-US"/>
        </w:rPr>
        <w:t>Stoll, H.R./Whaley, R.E. (1983), “Transaction Costs and the Small Firm Effect”, Journal of Financial Economics, 12, р. 57–79.</w:t>
      </w:r>
    </w:p>
    <w:p w:rsidR="000E7C99" w:rsidRPr="004E4779" w:rsidRDefault="000E732B" w:rsidP="004E4779">
      <w:pPr>
        <w:numPr>
          <w:ilvl w:val="0"/>
          <w:numId w:val="10"/>
        </w:numPr>
        <w:ind w:left="426"/>
        <w:jc w:val="left"/>
        <w:rPr>
          <w:lang w:val="en-US"/>
        </w:rPr>
      </w:pPr>
      <w:r w:rsidRPr="004E4779">
        <w:rPr>
          <w:lang w:val="en-US"/>
        </w:rPr>
        <w:t>Fama, E.F./French, K.R. (2004), “The Capital Asset Pricing Model: Theory and Evidence”, Journal of Economic Perspectives, Vol. 18, Number 3: pp. 25– 46.</w:t>
      </w:r>
    </w:p>
    <w:p w:rsidR="000E7C99" w:rsidRPr="004E4779" w:rsidRDefault="000E732B" w:rsidP="004E4779">
      <w:pPr>
        <w:numPr>
          <w:ilvl w:val="0"/>
          <w:numId w:val="10"/>
        </w:numPr>
        <w:ind w:left="426"/>
        <w:jc w:val="left"/>
        <w:rPr>
          <w:lang w:val="en-US"/>
        </w:rPr>
      </w:pPr>
      <w:r w:rsidRPr="004E4779">
        <w:rPr>
          <w:lang w:val="en-US"/>
        </w:rPr>
        <w:t>Sharpe, W.F./Alexander G.J/Bailey J.W. (1998), Investments. 6</w:t>
      </w:r>
      <w:r w:rsidRPr="004E4779">
        <w:rPr>
          <w:vertAlign w:val="superscript"/>
          <w:lang w:val="en-US"/>
        </w:rPr>
        <w:t>th</w:t>
      </w:r>
      <w:r w:rsidRPr="004E4779">
        <w:rPr>
          <w:lang w:val="en-US"/>
        </w:rPr>
        <w:t xml:space="preserve"> ed., Prentice Hall: Old Tappan, New Jersey.</w:t>
      </w:r>
    </w:p>
    <w:p w:rsidR="000E7C99" w:rsidRPr="004E4779" w:rsidRDefault="000E732B" w:rsidP="004E4779">
      <w:pPr>
        <w:numPr>
          <w:ilvl w:val="0"/>
          <w:numId w:val="10"/>
        </w:numPr>
        <w:ind w:left="426"/>
        <w:jc w:val="left"/>
        <w:rPr>
          <w:lang w:val="en-US"/>
        </w:rPr>
      </w:pPr>
      <w:r w:rsidRPr="004E4779">
        <w:rPr>
          <w:lang w:val="en-US"/>
        </w:rPr>
        <w:t>Amihud, Y./Mendelson, H., (1986), “Asset pricing and the bid-ask spread”, Journal of Financial Economics  17, р. 223–249</w:t>
      </w:r>
    </w:p>
    <w:p w:rsidR="000E7C99" w:rsidRPr="004E4779" w:rsidRDefault="000E732B" w:rsidP="004E4779">
      <w:pPr>
        <w:numPr>
          <w:ilvl w:val="0"/>
          <w:numId w:val="10"/>
        </w:numPr>
        <w:ind w:left="426"/>
        <w:jc w:val="left"/>
        <w:rPr>
          <w:lang w:val="en-US"/>
        </w:rPr>
      </w:pPr>
      <w:r w:rsidRPr="004E4779">
        <w:rPr>
          <w:lang w:val="en-US"/>
        </w:rPr>
        <w:t>Tsarev, V. (2004), Estimation of Investment Economic Effectiveness, Piter: St. Petersburg.</w:t>
      </w:r>
    </w:p>
    <w:p w:rsidR="000E7C99" w:rsidRPr="004E4779" w:rsidRDefault="000E732B" w:rsidP="004E4779">
      <w:pPr>
        <w:numPr>
          <w:ilvl w:val="0"/>
          <w:numId w:val="10"/>
        </w:numPr>
        <w:ind w:left="426"/>
        <w:jc w:val="left"/>
        <w:rPr>
          <w:lang w:val="en-US"/>
        </w:rPr>
      </w:pPr>
      <w:r w:rsidRPr="004E4779">
        <w:rPr>
          <w:lang w:val="en-US"/>
        </w:rPr>
        <w:t>Estrada, J. (2002), “Systematic Risk in Emerging Markets: the D-CAPM”, Emerging Markets Review, Vol. 3, pp. 365-379.</w:t>
      </w:r>
    </w:p>
    <w:p w:rsidR="004E4779" w:rsidRPr="002E20E0" w:rsidRDefault="000E732B" w:rsidP="002E20E0">
      <w:pPr>
        <w:numPr>
          <w:ilvl w:val="0"/>
          <w:numId w:val="10"/>
        </w:numPr>
        <w:ind w:left="426"/>
        <w:jc w:val="left"/>
        <w:rPr>
          <w:lang w:val="en-US"/>
        </w:rPr>
      </w:pPr>
      <w:r w:rsidRPr="004E4779">
        <w:rPr>
          <w:lang w:val="en-US"/>
        </w:rPr>
        <w:lastRenderedPageBreak/>
        <w:t>Estrada, J. (2003), “Mean-Semivariance Behavior: A Note”, Finance Letters, Vol. 1, pp. 9-14.</w:t>
      </w:r>
    </w:p>
    <w:sectPr w:rsidR="004E4779" w:rsidRPr="002E20E0" w:rsidSect="00DF497B">
      <w:pgSz w:w="11906" w:h="16838"/>
      <w:pgMar w:top="993"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920" w:rsidRDefault="00462920" w:rsidP="006E6995">
      <w:pPr>
        <w:spacing w:line="240" w:lineRule="auto"/>
      </w:pPr>
      <w:r>
        <w:separator/>
      </w:r>
    </w:p>
  </w:endnote>
  <w:endnote w:type="continuationSeparator" w:id="0">
    <w:p w:rsidR="00462920" w:rsidRDefault="00462920" w:rsidP="006E69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inion Pro">
    <w:altName w:val="Cambria Math"/>
    <w:charset w:val="00"/>
    <w:family w:val="auto"/>
    <w:pitch w:val="variable"/>
    <w:sig w:usb0="00000003" w:usb1="00000000" w:usb2="00000000" w:usb3="00000000" w:csb0="00000001" w:csb1="00000000"/>
  </w:font>
  <w:font w:name="Lucida Grande CY">
    <w:charset w:val="59"/>
    <w:family w:val="auto"/>
    <w:pitch w:val="variable"/>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920" w:rsidRDefault="00462920" w:rsidP="006E6995">
      <w:pPr>
        <w:spacing w:line="240" w:lineRule="auto"/>
      </w:pPr>
      <w:r>
        <w:separator/>
      </w:r>
    </w:p>
  </w:footnote>
  <w:footnote w:type="continuationSeparator" w:id="0">
    <w:p w:rsidR="00462920" w:rsidRDefault="00462920" w:rsidP="006E69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6FA5"/>
    <w:multiLevelType w:val="hybridMultilevel"/>
    <w:tmpl w:val="A8E4A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623B7D"/>
    <w:multiLevelType w:val="hybridMultilevel"/>
    <w:tmpl w:val="D480E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A44AC9"/>
    <w:multiLevelType w:val="hybridMultilevel"/>
    <w:tmpl w:val="900EC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00BC1"/>
    <w:multiLevelType w:val="hybridMultilevel"/>
    <w:tmpl w:val="343A1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2C7A4A"/>
    <w:multiLevelType w:val="hybridMultilevel"/>
    <w:tmpl w:val="94282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74C7B64"/>
    <w:multiLevelType w:val="hybridMultilevel"/>
    <w:tmpl w:val="EB5A6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442BD4"/>
    <w:multiLevelType w:val="hybridMultilevel"/>
    <w:tmpl w:val="00168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1F25EE"/>
    <w:multiLevelType w:val="hybridMultilevel"/>
    <w:tmpl w:val="BDDC2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363C9D"/>
    <w:multiLevelType w:val="hybridMultilevel"/>
    <w:tmpl w:val="09986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D52470"/>
    <w:multiLevelType w:val="hybridMultilevel"/>
    <w:tmpl w:val="4078C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4"/>
  </w:num>
  <w:num w:numId="3">
    <w:abstractNumId w:val="3"/>
  </w:num>
  <w:num w:numId="4">
    <w:abstractNumId w:val="0"/>
  </w:num>
  <w:num w:numId="5">
    <w:abstractNumId w:val="1"/>
  </w:num>
  <w:num w:numId="6">
    <w:abstractNumId w:val="5"/>
  </w:num>
  <w:num w:numId="7">
    <w:abstractNumId w:val="6"/>
  </w:num>
  <w:num w:numId="8">
    <w:abstractNumId w:val="7"/>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6E6995"/>
    <w:rsid w:val="00024F14"/>
    <w:rsid w:val="00071BD9"/>
    <w:rsid w:val="000E732B"/>
    <w:rsid w:val="00202B09"/>
    <w:rsid w:val="002E20E0"/>
    <w:rsid w:val="00361FCE"/>
    <w:rsid w:val="00462920"/>
    <w:rsid w:val="00486ED9"/>
    <w:rsid w:val="004E4779"/>
    <w:rsid w:val="0059723C"/>
    <w:rsid w:val="005D2F3C"/>
    <w:rsid w:val="005F120C"/>
    <w:rsid w:val="00620937"/>
    <w:rsid w:val="006E6995"/>
    <w:rsid w:val="0075396F"/>
    <w:rsid w:val="00761CD2"/>
    <w:rsid w:val="008935BA"/>
    <w:rsid w:val="00DE6593"/>
    <w:rsid w:val="00DF497B"/>
    <w:rsid w:val="00E71522"/>
    <w:rsid w:val="00EE1E30"/>
    <w:rsid w:val="00EF3057"/>
    <w:rsid w:val="00F71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96F"/>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6E6995"/>
    <w:pPr>
      <w:keepNext/>
      <w:keepLines/>
      <w:spacing w:before="240" w:after="120"/>
      <w:outlineLvl w:val="0"/>
    </w:pPr>
    <w:rPr>
      <w:rFonts w:eastAsiaTheme="majorEastAsia" w:cstheme="majorBidi"/>
      <w:b/>
      <w:bCs/>
      <w:szCs w:val="28"/>
      <w:lang w:val="en-GB"/>
    </w:rPr>
  </w:style>
  <w:style w:type="paragraph" w:styleId="2">
    <w:name w:val="heading 2"/>
    <w:basedOn w:val="a"/>
    <w:next w:val="a"/>
    <w:link w:val="20"/>
    <w:uiPriority w:val="9"/>
    <w:unhideWhenUsed/>
    <w:qFormat/>
    <w:rsid w:val="006E6995"/>
    <w:pPr>
      <w:keepNext/>
      <w:keepLines/>
      <w:spacing w:after="360"/>
      <w:outlineLvl w:val="1"/>
    </w:pPr>
    <w:rPr>
      <w:rFonts w:asciiTheme="majorHAnsi" w:eastAsiaTheme="majorEastAsia" w:hAnsiTheme="majorHAnsi" w:cstheme="majorBidi"/>
      <w:b/>
      <w:bCs/>
      <w:szCs w:val="26"/>
      <w:lang w:val="en-GB"/>
    </w:rPr>
  </w:style>
  <w:style w:type="paragraph" w:styleId="3">
    <w:name w:val="heading 3"/>
    <w:basedOn w:val="a"/>
    <w:next w:val="a"/>
    <w:link w:val="30"/>
    <w:uiPriority w:val="9"/>
    <w:semiHidden/>
    <w:unhideWhenUsed/>
    <w:qFormat/>
    <w:rsid w:val="006E6995"/>
    <w:pPr>
      <w:keepNext/>
      <w:keepLines/>
      <w:spacing w:before="200"/>
      <w:outlineLvl w:val="2"/>
    </w:pPr>
    <w:rPr>
      <w:rFonts w:asciiTheme="majorHAnsi" w:eastAsiaTheme="majorEastAsia" w:hAnsiTheme="majorHAnsi" w:cstheme="majorBidi"/>
      <w:b/>
      <w:bCs/>
      <w:color w:val="4F81BD" w:themeColor="accent1"/>
      <w:sz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995"/>
    <w:rPr>
      <w:rFonts w:ascii="Times New Roman" w:eastAsiaTheme="majorEastAsia" w:hAnsi="Times New Roman" w:cstheme="majorBidi"/>
      <w:b/>
      <w:bCs/>
      <w:sz w:val="28"/>
      <w:szCs w:val="28"/>
      <w:lang w:val="en-GB"/>
    </w:rPr>
  </w:style>
  <w:style w:type="character" w:customStyle="1" w:styleId="20">
    <w:name w:val="Заголовок 2 Знак"/>
    <w:basedOn w:val="a0"/>
    <w:link w:val="2"/>
    <w:uiPriority w:val="9"/>
    <w:rsid w:val="006E6995"/>
    <w:rPr>
      <w:rFonts w:asciiTheme="majorHAnsi" w:eastAsiaTheme="majorEastAsia" w:hAnsiTheme="majorHAnsi" w:cstheme="majorBidi"/>
      <w:b/>
      <w:bCs/>
      <w:sz w:val="28"/>
      <w:szCs w:val="26"/>
      <w:lang w:val="en-GB"/>
    </w:rPr>
  </w:style>
  <w:style w:type="character" w:customStyle="1" w:styleId="30">
    <w:name w:val="Заголовок 3 Знак"/>
    <w:basedOn w:val="a0"/>
    <w:link w:val="3"/>
    <w:uiPriority w:val="9"/>
    <w:semiHidden/>
    <w:rsid w:val="006E6995"/>
    <w:rPr>
      <w:rFonts w:asciiTheme="majorHAnsi" w:eastAsiaTheme="majorEastAsia" w:hAnsiTheme="majorHAnsi" w:cstheme="majorBidi"/>
      <w:b/>
      <w:bCs/>
      <w:color w:val="4F81BD" w:themeColor="accent1"/>
      <w:sz w:val="24"/>
      <w:lang w:val="en-GB"/>
    </w:rPr>
  </w:style>
  <w:style w:type="paragraph" w:styleId="a3">
    <w:name w:val="Title"/>
    <w:basedOn w:val="a"/>
    <w:next w:val="a"/>
    <w:link w:val="a4"/>
    <w:uiPriority w:val="10"/>
    <w:qFormat/>
    <w:rsid w:val="006E69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a4">
    <w:name w:val="Название Знак"/>
    <w:basedOn w:val="a0"/>
    <w:link w:val="a3"/>
    <w:uiPriority w:val="10"/>
    <w:rsid w:val="006E6995"/>
    <w:rPr>
      <w:rFonts w:asciiTheme="majorHAnsi" w:eastAsiaTheme="majorEastAsia" w:hAnsiTheme="majorHAnsi" w:cstheme="majorBidi"/>
      <w:color w:val="17365D" w:themeColor="text2" w:themeShade="BF"/>
      <w:spacing w:val="5"/>
      <w:kern w:val="28"/>
      <w:sz w:val="52"/>
      <w:szCs w:val="52"/>
      <w:lang w:val="en-GB"/>
    </w:rPr>
  </w:style>
  <w:style w:type="paragraph" w:styleId="a5">
    <w:name w:val="Subtitle"/>
    <w:aliases w:val="Название таблицы"/>
    <w:basedOn w:val="a"/>
    <w:next w:val="a"/>
    <w:link w:val="a6"/>
    <w:uiPriority w:val="11"/>
    <w:qFormat/>
    <w:rsid w:val="006E6995"/>
    <w:pPr>
      <w:numPr>
        <w:ilvl w:val="1"/>
      </w:numPr>
      <w:spacing w:after="360" w:line="240" w:lineRule="auto"/>
      <w:ind w:left="1418" w:hanging="1418"/>
    </w:pPr>
    <w:rPr>
      <w:rFonts w:eastAsiaTheme="majorEastAsia" w:cstheme="majorBidi"/>
      <w:iCs/>
      <w:sz w:val="24"/>
      <w:szCs w:val="24"/>
      <w:lang w:val="en-GB"/>
    </w:rPr>
  </w:style>
  <w:style w:type="character" w:customStyle="1" w:styleId="a6">
    <w:name w:val="Подзаголовок Знак"/>
    <w:aliases w:val="Название таблицы Знак"/>
    <w:basedOn w:val="a0"/>
    <w:link w:val="a5"/>
    <w:uiPriority w:val="11"/>
    <w:rsid w:val="006E6995"/>
    <w:rPr>
      <w:rFonts w:ascii="Times New Roman" w:eastAsiaTheme="majorEastAsia" w:hAnsi="Times New Roman" w:cstheme="majorBidi"/>
      <w:iCs/>
      <w:sz w:val="24"/>
      <w:szCs w:val="24"/>
      <w:lang w:val="en-GB"/>
    </w:rPr>
  </w:style>
  <w:style w:type="paragraph" w:styleId="21">
    <w:name w:val="Quote"/>
    <w:basedOn w:val="a"/>
    <w:next w:val="a"/>
    <w:link w:val="22"/>
    <w:uiPriority w:val="29"/>
    <w:qFormat/>
    <w:rsid w:val="006E6995"/>
    <w:pPr>
      <w:spacing w:after="360"/>
    </w:pPr>
    <w:rPr>
      <w:i/>
      <w:iCs/>
      <w:color w:val="000000" w:themeColor="text1"/>
      <w:sz w:val="24"/>
      <w:lang w:val="en-GB"/>
    </w:rPr>
  </w:style>
  <w:style w:type="character" w:customStyle="1" w:styleId="22">
    <w:name w:val="Цитата 2 Знак"/>
    <w:basedOn w:val="a0"/>
    <w:link w:val="21"/>
    <w:uiPriority w:val="29"/>
    <w:rsid w:val="006E6995"/>
    <w:rPr>
      <w:rFonts w:ascii="Times New Roman" w:hAnsi="Times New Roman"/>
      <w:i/>
      <w:iCs/>
      <w:color w:val="000000" w:themeColor="text1"/>
      <w:sz w:val="24"/>
      <w:lang w:val="en-GB"/>
    </w:rPr>
  </w:style>
  <w:style w:type="paragraph" w:styleId="a7">
    <w:name w:val="footnote text"/>
    <w:basedOn w:val="a"/>
    <w:link w:val="a8"/>
    <w:uiPriority w:val="99"/>
    <w:unhideWhenUsed/>
    <w:rsid w:val="006E6995"/>
    <w:pPr>
      <w:spacing w:line="240" w:lineRule="auto"/>
    </w:pPr>
    <w:rPr>
      <w:sz w:val="20"/>
      <w:szCs w:val="20"/>
      <w:lang w:val="en-GB"/>
    </w:rPr>
  </w:style>
  <w:style w:type="character" w:customStyle="1" w:styleId="a8">
    <w:name w:val="Текст сноски Знак"/>
    <w:basedOn w:val="a0"/>
    <w:link w:val="a7"/>
    <w:uiPriority w:val="99"/>
    <w:rsid w:val="006E6995"/>
    <w:rPr>
      <w:rFonts w:ascii="Times New Roman" w:hAnsi="Times New Roman"/>
      <w:sz w:val="20"/>
      <w:szCs w:val="20"/>
      <w:lang w:val="en-GB"/>
    </w:rPr>
  </w:style>
  <w:style w:type="character" w:styleId="a9">
    <w:name w:val="footnote reference"/>
    <w:basedOn w:val="a0"/>
    <w:uiPriority w:val="99"/>
    <w:unhideWhenUsed/>
    <w:rsid w:val="006E6995"/>
    <w:rPr>
      <w:vertAlign w:val="superscript"/>
    </w:rPr>
  </w:style>
  <w:style w:type="paragraph" w:styleId="aa">
    <w:name w:val="Balloon Text"/>
    <w:basedOn w:val="a"/>
    <w:link w:val="ab"/>
    <w:uiPriority w:val="99"/>
    <w:semiHidden/>
    <w:unhideWhenUsed/>
    <w:rsid w:val="006E6995"/>
    <w:pPr>
      <w:spacing w:line="240" w:lineRule="auto"/>
    </w:pPr>
    <w:rPr>
      <w:rFonts w:ascii="Tahoma" w:hAnsi="Tahoma" w:cs="Tahoma"/>
      <w:sz w:val="16"/>
      <w:szCs w:val="16"/>
      <w:lang w:val="en-GB"/>
    </w:rPr>
  </w:style>
  <w:style w:type="character" w:customStyle="1" w:styleId="ab">
    <w:name w:val="Текст выноски Знак"/>
    <w:basedOn w:val="a0"/>
    <w:link w:val="aa"/>
    <w:uiPriority w:val="99"/>
    <w:semiHidden/>
    <w:rsid w:val="006E6995"/>
    <w:rPr>
      <w:rFonts w:ascii="Tahoma" w:hAnsi="Tahoma" w:cs="Tahoma"/>
      <w:sz w:val="16"/>
      <w:szCs w:val="16"/>
      <w:lang w:val="en-GB"/>
    </w:rPr>
  </w:style>
  <w:style w:type="paragraph" w:styleId="ac">
    <w:name w:val="List Paragraph"/>
    <w:basedOn w:val="a"/>
    <w:uiPriority w:val="34"/>
    <w:rsid w:val="006E6995"/>
    <w:pPr>
      <w:ind w:left="720"/>
      <w:contextualSpacing/>
    </w:pPr>
    <w:rPr>
      <w:rFonts w:ascii="Minion Pro" w:hAnsi="Minion Pro"/>
      <w:szCs w:val="28"/>
      <w:lang w:val="en-GB"/>
    </w:rPr>
  </w:style>
  <w:style w:type="table" w:styleId="ad">
    <w:name w:val="Table Grid"/>
    <w:basedOn w:val="a1"/>
    <w:rsid w:val="006E6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6E6995"/>
  </w:style>
  <w:style w:type="character" w:styleId="ae">
    <w:name w:val="Placeholder Text"/>
    <w:basedOn w:val="a0"/>
    <w:uiPriority w:val="99"/>
    <w:semiHidden/>
    <w:rsid w:val="006E6995"/>
    <w:rPr>
      <w:color w:val="808080"/>
    </w:rPr>
  </w:style>
  <w:style w:type="paragraph" w:styleId="af">
    <w:name w:val="header"/>
    <w:basedOn w:val="a"/>
    <w:link w:val="af0"/>
    <w:uiPriority w:val="99"/>
    <w:unhideWhenUsed/>
    <w:rsid w:val="006E6995"/>
    <w:pPr>
      <w:tabs>
        <w:tab w:val="center" w:pos="4677"/>
        <w:tab w:val="right" w:pos="9355"/>
      </w:tabs>
      <w:spacing w:line="240" w:lineRule="auto"/>
    </w:pPr>
    <w:rPr>
      <w:sz w:val="24"/>
      <w:lang w:val="en-GB"/>
    </w:rPr>
  </w:style>
  <w:style w:type="character" w:customStyle="1" w:styleId="af0">
    <w:name w:val="Верхний колонтитул Знак"/>
    <w:basedOn w:val="a0"/>
    <w:link w:val="af"/>
    <w:uiPriority w:val="99"/>
    <w:rsid w:val="006E6995"/>
    <w:rPr>
      <w:rFonts w:ascii="Times New Roman" w:hAnsi="Times New Roman"/>
      <w:sz w:val="24"/>
      <w:lang w:val="en-GB"/>
    </w:rPr>
  </w:style>
  <w:style w:type="paragraph" w:styleId="af1">
    <w:name w:val="footer"/>
    <w:basedOn w:val="a"/>
    <w:link w:val="af2"/>
    <w:uiPriority w:val="99"/>
    <w:unhideWhenUsed/>
    <w:rsid w:val="006E6995"/>
    <w:pPr>
      <w:tabs>
        <w:tab w:val="center" w:pos="4677"/>
        <w:tab w:val="right" w:pos="9355"/>
      </w:tabs>
      <w:spacing w:line="240" w:lineRule="auto"/>
    </w:pPr>
    <w:rPr>
      <w:sz w:val="24"/>
      <w:lang w:val="en-GB"/>
    </w:rPr>
  </w:style>
  <w:style w:type="character" w:customStyle="1" w:styleId="af2">
    <w:name w:val="Нижний колонтитул Знак"/>
    <w:basedOn w:val="a0"/>
    <w:link w:val="af1"/>
    <w:uiPriority w:val="99"/>
    <w:rsid w:val="006E6995"/>
    <w:rPr>
      <w:rFonts w:ascii="Times New Roman" w:hAnsi="Times New Roman"/>
      <w:sz w:val="24"/>
      <w:lang w:val="en-GB"/>
    </w:rPr>
  </w:style>
  <w:style w:type="paragraph" w:styleId="af3">
    <w:name w:val="Document Map"/>
    <w:basedOn w:val="a"/>
    <w:link w:val="af4"/>
    <w:uiPriority w:val="99"/>
    <w:semiHidden/>
    <w:unhideWhenUsed/>
    <w:rsid w:val="006E6995"/>
    <w:pPr>
      <w:spacing w:line="240" w:lineRule="auto"/>
    </w:pPr>
    <w:rPr>
      <w:rFonts w:ascii="Lucida Grande CY" w:hAnsi="Lucida Grande CY" w:cs="Lucida Grande CY"/>
      <w:sz w:val="24"/>
      <w:szCs w:val="24"/>
      <w:lang w:val="en-GB"/>
    </w:rPr>
  </w:style>
  <w:style w:type="character" w:customStyle="1" w:styleId="af4">
    <w:name w:val="Схема документа Знак"/>
    <w:basedOn w:val="a0"/>
    <w:link w:val="af3"/>
    <w:uiPriority w:val="99"/>
    <w:semiHidden/>
    <w:rsid w:val="006E6995"/>
    <w:rPr>
      <w:rFonts w:ascii="Lucida Grande CY" w:hAnsi="Lucida Grande CY" w:cs="Lucida Grande CY"/>
      <w:sz w:val="24"/>
      <w:szCs w:val="24"/>
      <w:lang w:val="en-GB"/>
    </w:rPr>
  </w:style>
  <w:style w:type="character" w:styleId="af5">
    <w:name w:val="Hyperlink"/>
    <w:basedOn w:val="a0"/>
    <w:uiPriority w:val="99"/>
    <w:unhideWhenUsed/>
    <w:rsid w:val="006E6995"/>
    <w:rPr>
      <w:color w:val="0000FF" w:themeColor="hyperlink"/>
      <w:u w:val="single"/>
    </w:rPr>
  </w:style>
  <w:style w:type="character" w:styleId="af6">
    <w:name w:val="FollowedHyperlink"/>
    <w:basedOn w:val="a0"/>
    <w:uiPriority w:val="99"/>
    <w:semiHidden/>
    <w:unhideWhenUsed/>
    <w:rsid w:val="006E6995"/>
    <w:rPr>
      <w:color w:val="800080" w:themeColor="followedHyperlink"/>
      <w:u w:val="single"/>
    </w:rPr>
  </w:style>
  <w:style w:type="character" w:customStyle="1" w:styleId="searchword">
    <w:name w:val="searchword"/>
    <w:basedOn w:val="a0"/>
    <w:rsid w:val="006E6995"/>
  </w:style>
  <w:style w:type="paragraph" w:styleId="11">
    <w:name w:val="toc 1"/>
    <w:basedOn w:val="a"/>
    <w:next w:val="a"/>
    <w:autoRedefine/>
    <w:uiPriority w:val="39"/>
    <w:unhideWhenUsed/>
    <w:rsid w:val="006E6995"/>
    <w:pPr>
      <w:spacing w:after="100"/>
    </w:pPr>
    <w:rPr>
      <w:sz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96F"/>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6E6995"/>
    <w:pPr>
      <w:keepNext/>
      <w:keepLines/>
      <w:spacing w:before="240" w:after="120"/>
      <w:outlineLvl w:val="0"/>
    </w:pPr>
    <w:rPr>
      <w:rFonts w:eastAsiaTheme="majorEastAsia" w:cstheme="majorBidi"/>
      <w:b/>
      <w:bCs/>
      <w:szCs w:val="28"/>
      <w:lang w:val="en-GB"/>
    </w:rPr>
  </w:style>
  <w:style w:type="paragraph" w:styleId="2">
    <w:name w:val="heading 2"/>
    <w:basedOn w:val="a"/>
    <w:next w:val="a"/>
    <w:link w:val="20"/>
    <w:uiPriority w:val="9"/>
    <w:unhideWhenUsed/>
    <w:qFormat/>
    <w:rsid w:val="006E6995"/>
    <w:pPr>
      <w:keepNext/>
      <w:keepLines/>
      <w:spacing w:after="360"/>
      <w:outlineLvl w:val="1"/>
    </w:pPr>
    <w:rPr>
      <w:rFonts w:asciiTheme="majorHAnsi" w:eastAsiaTheme="majorEastAsia" w:hAnsiTheme="majorHAnsi" w:cstheme="majorBidi"/>
      <w:b/>
      <w:bCs/>
      <w:szCs w:val="26"/>
      <w:lang w:val="en-GB"/>
    </w:rPr>
  </w:style>
  <w:style w:type="paragraph" w:styleId="3">
    <w:name w:val="heading 3"/>
    <w:basedOn w:val="a"/>
    <w:next w:val="a"/>
    <w:link w:val="30"/>
    <w:uiPriority w:val="9"/>
    <w:semiHidden/>
    <w:unhideWhenUsed/>
    <w:qFormat/>
    <w:rsid w:val="006E6995"/>
    <w:pPr>
      <w:keepNext/>
      <w:keepLines/>
      <w:spacing w:before="200"/>
      <w:outlineLvl w:val="2"/>
    </w:pPr>
    <w:rPr>
      <w:rFonts w:asciiTheme="majorHAnsi" w:eastAsiaTheme="majorEastAsia" w:hAnsiTheme="majorHAnsi" w:cstheme="majorBidi"/>
      <w:b/>
      <w:bCs/>
      <w:color w:val="4F81BD" w:themeColor="accent1"/>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995"/>
    <w:rPr>
      <w:rFonts w:ascii="Times New Roman" w:eastAsiaTheme="majorEastAsia" w:hAnsi="Times New Roman" w:cstheme="majorBidi"/>
      <w:b/>
      <w:bCs/>
      <w:sz w:val="28"/>
      <w:szCs w:val="28"/>
      <w:lang w:val="en-GB"/>
    </w:rPr>
  </w:style>
  <w:style w:type="character" w:customStyle="1" w:styleId="20">
    <w:name w:val="Заголовок 2 Знак"/>
    <w:basedOn w:val="a0"/>
    <w:link w:val="2"/>
    <w:uiPriority w:val="9"/>
    <w:rsid w:val="006E6995"/>
    <w:rPr>
      <w:rFonts w:asciiTheme="majorHAnsi" w:eastAsiaTheme="majorEastAsia" w:hAnsiTheme="majorHAnsi" w:cstheme="majorBidi"/>
      <w:b/>
      <w:bCs/>
      <w:sz w:val="28"/>
      <w:szCs w:val="26"/>
      <w:lang w:val="en-GB"/>
    </w:rPr>
  </w:style>
  <w:style w:type="character" w:customStyle="1" w:styleId="30">
    <w:name w:val="Заголовок 3 Знак"/>
    <w:basedOn w:val="a0"/>
    <w:link w:val="3"/>
    <w:uiPriority w:val="9"/>
    <w:semiHidden/>
    <w:rsid w:val="006E6995"/>
    <w:rPr>
      <w:rFonts w:asciiTheme="majorHAnsi" w:eastAsiaTheme="majorEastAsia" w:hAnsiTheme="majorHAnsi" w:cstheme="majorBidi"/>
      <w:b/>
      <w:bCs/>
      <w:color w:val="4F81BD" w:themeColor="accent1"/>
      <w:sz w:val="24"/>
      <w:lang w:val="en-GB"/>
    </w:rPr>
  </w:style>
  <w:style w:type="paragraph" w:styleId="a3">
    <w:name w:val="Title"/>
    <w:basedOn w:val="a"/>
    <w:next w:val="a"/>
    <w:link w:val="a4"/>
    <w:uiPriority w:val="10"/>
    <w:qFormat/>
    <w:rsid w:val="006E69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a4">
    <w:name w:val="Название Знак"/>
    <w:basedOn w:val="a0"/>
    <w:link w:val="a3"/>
    <w:uiPriority w:val="10"/>
    <w:rsid w:val="006E6995"/>
    <w:rPr>
      <w:rFonts w:asciiTheme="majorHAnsi" w:eastAsiaTheme="majorEastAsia" w:hAnsiTheme="majorHAnsi" w:cstheme="majorBidi"/>
      <w:color w:val="17365D" w:themeColor="text2" w:themeShade="BF"/>
      <w:spacing w:val="5"/>
      <w:kern w:val="28"/>
      <w:sz w:val="52"/>
      <w:szCs w:val="52"/>
      <w:lang w:val="en-GB"/>
    </w:rPr>
  </w:style>
  <w:style w:type="paragraph" w:styleId="a5">
    <w:name w:val="Subtitle"/>
    <w:aliases w:val="Название таблицы"/>
    <w:basedOn w:val="a"/>
    <w:next w:val="a"/>
    <w:link w:val="a6"/>
    <w:uiPriority w:val="11"/>
    <w:qFormat/>
    <w:rsid w:val="006E6995"/>
    <w:pPr>
      <w:numPr>
        <w:ilvl w:val="1"/>
      </w:numPr>
      <w:spacing w:after="360" w:line="240" w:lineRule="auto"/>
      <w:ind w:left="1418" w:hanging="1418"/>
    </w:pPr>
    <w:rPr>
      <w:rFonts w:eastAsiaTheme="majorEastAsia" w:cstheme="majorBidi"/>
      <w:iCs/>
      <w:sz w:val="24"/>
      <w:szCs w:val="24"/>
      <w:lang w:val="en-GB"/>
    </w:rPr>
  </w:style>
  <w:style w:type="character" w:customStyle="1" w:styleId="a6">
    <w:name w:val="Подзаголовок Знак"/>
    <w:aliases w:val="Название таблицы Знак"/>
    <w:basedOn w:val="a0"/>
    <w:link w:val="a5"/>
    <w:uiPriority w:val="11"/>
    <w:rsid w:val="006E6995"/>
    <w:rPr>
      <w:rFonts w:ascii="Times New Roman" w:eastAsiaTheme="majorEastAsia" w:hAnsi="Times New Roman" w:cstheme="majorBidi"/>
      <w:iCs/>
      <w:sz w:val="24"/>
      <w:szCs w:val="24"/>
      <w:lang w:val="en-GB"/>
    </w:rPr>
  </w:style>
  <w:style w:type="paragraph" w:styleId="a7">
    <w:name w:val="Quote"/>
    <w:basedOn w:val="a"/>
    <w:next w:val="a"/>
    <w:link w:val="a8"/>
    <w:uiPriority w:val="29"/>
    <w:qFormat/>
    <w:rsid w:val="006E6995"/>
    <w:pPr>
      <w:spacing w:after="360"/>
    </w:pPr>
    <w:rPr>
      <w:i/>
      <w:iCs/>
      <w:color w:val="000000" w:themeColor="text1"/>
      <w:sz w:val="24"/>
      <w:lang w:val="en-GB"/>
    </w:rPr>
  </w:style>
  <w:style w:type="character" w:customStyle="1" w:styleId="a8">
    <w:name w:val="Цитата Знак"/>
    <w:basedOn w:val="a0"/>
    <w:link w:val="a7"/>
    <w:uiPriority w:val="29"/>
    <w:rsid w:val="006E6995"/>
    <w:rPr>
      <w:rFonts w:ascii="Times New Roman" w:hAnsi="Times New Roman"/>
      <w:i/>
      <w:iCs/>
      <w:color w:val="000000" w:themeColor="text1"/>
      <w:sz w:val="24"/>
      <w:lang w:val="en-GB"/>
    </w:rPr>
  </w:style>
  <w:style w:type="paragraph" w:styleId="a9">
    <w:name w:val="footnote text"/>
    <w:basedOn w:val="a"/>
    <w:link w:val="aa"/>
    <w:uiPriority w:val="99"/>
    <w:unhideWhenUsed/>
    <w:rsid w:val="006E6995"/>
    <w:pPr>
      <w:spacing w:line="240" w:lineRule="auto"/>
    </w:pPr>
    <w:rPr>
      <w:sz w:val="20"/>
      <w:szCs w:val="20"/>
      <w:lang w:val="en-GB"/>
    </w:rPr>
  </w:style>
  <w:style w:type="character" w:customStyle="1" w:styleId="aa">
    <w:name w:val="Текст сноски Знак"/>
    <w:basedOn w:val="a0"/>
    <w:link w:val="a9"/>
    <w:uiPriority w:val="99"/>
    <w:rsid w:val="006E6995"/>
    <w:rPr>
      <w:rFonts w:ascii="Times New Roman" w:hAnsi="Times New Roman"/>
      <w:sz w:val="20"/>
      <w:szCs w:val="20"/>
      <w:lang w:val="en-GB"/>
    </w:rPr>
  </w:style>
  <w:style w:type="character" w:styleId="ab">
    <w:name w:val="footnote reference"/>
    <w:basedOn w:val="a0"/>
    <w:uiPriority w:val="99"/>
    <w:unhideWhenUsed/>
    <w:rsid w:val="006E6995"/>
    <w:rPr>
      <w:vertAlign w:val="superscript"/>
    </w:rPr>
  </w:style>
  <w:style w:type="paragraph" w:styleId="ac">
    <w:name w:val="Balloon Text"/>
    <w:basedOn w:val="a"/>
    <w:link w:val="ad"/>
    <w:uiPriority w:val="99"/>
    <w:semiHidden/>
    <w:unhideWhenUsed/>
    <w:rsid w:val="006E6995"/>
    <w:pPr>
      <w:spacing w:line="240" w:lineRule="auto"/>
    </w:pPr>
    <w:rPr>
      <w:rFonts w:ascii="Tahoma" w:hAnsi="Tahoma" w:cs="Tahoma"/>
      <w:sz w:val="16"/>
      <w:szCs w:val="16"/>
      <w:lang w:val="en-GB"/>
    </w:rPr>
  </w:style>
  <w:style w:type="character" w:customStyle="1" w:styleId="ad">
    <w:name w:val="Текст выноски Знак"/>
    <w:basedOn w:val="a0"/>
    <w:link w:val="ac"/>
    <w:uiPriority w:val="99"/>
    <w:semiHidden/>
    <w:rsid w:val="006E6995"/>
    <w:rPr>
      <w:rFonts w:ascii="Tahoma" w:hAnsi="Tahoma" w:cs="Tahoma"/>
      <w:sz w:val="16"/>
      <w:szCs w:val="16"/>
      <w:lang w:val="en-GB"/>
    </w:rPr>
  </w:style>
  <w:style w:type="paragraph" w:styleId="ae">
    <w:name w:val="List Paragraph"/>
    <w:basedOn w:val="a"/>
    <w:uiPriority w:val="34"/>
    <w:rsid w:val="006E6995"/>
    <w:pPr>
      <w:ind w:left="720"/>
      <w:contextualSpacing/>
    </w:pPr>
    <w:rPr>
      <w:rFonts w:ascii="Minion Pro" w:hAnsi="Minion Pro"/>
      <w:szCs w:val="28"/>
      <w:lang w:val="en-GB"/>
    </w:rPr>
  </w:style>
  <w:style w:type="table" w:styleId="af">
    <w:name w:val="Table Grid"/>
    <w:basedOn w:val="a1"/>
    <w:rsid w:val="006E6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6E6995"/>
  </w:style>
  <w:style w:type="character" w:styleId="af0">
    <w:name w:val="Placeholder Text"/>
    <w:basedOn w:val="a0"/>
    <w:uiPriority w:val="99"/>
    <w:semiHidden/>
    <w:rsid w:val="006E6995"/>
    <w:rPr>
      <w:color w:val="808080"/>
    </w:rPr>
  </w:style>
  <w:style w:type="paragraph" w:styleId="af1">
    <w:name w:val="header"/>
    <w:basedOn w:val="a"/>
    <w:link w:val="af2"/>
    <w:uiPriority w:val="99"/>
    <w:unhideWhenUsed/>
    <w:rsid w:val="006E6995"/>
    <w:pPr>
      <w:tabs>
        <w:tab w:val="center" w:pos="4677"/>
        <w:tab w:val="right" w:pos="9355"/>
      </w:tabs>
      <w:spacing w:line="240" w:lineRule="auto"/>
    </w:pPr>
    <w:rPr>
      <w:sz w:val="24"/>
      <w:lang w:val="en-GB"/>
    </w:rPr>
  </w:style>
  <w:style w:type="character" w:customStyle="1" w:styleId="af2">
    <w:name w:val="Верхний колонтитул Знак"/>
    <w:basedOn w:val="a0"/>
    <w:link w:val="af1"/>
    <w:uiPriority w:val="99"/>
    <w:rsid w:val="006E6995"/>
    <w:rPr>
      <w:rFonts w:ascii="Times New Roman" w:hAnsi="Times New Roman"/>
      <w:sz w:val="24"/>
      <w:lang w:val="en-GB"/>
    </w:rPr>
  </w:style>
  <w:style w:type="paragraph" w:styleId="af3">
    <w:name w:val="footer"/>
    <w:basedOn w:val="a"/>
    <w:link w:val="af4"/>
    <w:uiPriority w:val="99"/>
    <w:unhideWhenUsed/>
    <w:rsid w:val="006E6995"/>
    <w:pPr>
      <w:tabs>
        <w:tab w:val="center" w:pos="4677"/>
        <w:tab w:val="right" w:pos="9355"/>
      </w:tabs>
      <w:spacing w:line="240" w:lineRule="auto"/>
    </w:pPr>
    <w:rPr>
      <w:sz w:val="24"/>
      <w:lang w:val="en-GB"/>
    </w:rPr>
  </w:style>
  <w:style w:type="character" w:customStyle="1" w:styleId="af4">
    <w:name w:val="Нижний колонтитул Знак"/>
    <w:basedOn w:val="a0"/>
    <w:link w:val="af3"/>
    <w:uiPriority w:val="99"/>
    <w:rsid w:val="006E6995"/>
    <w:rPr>
      <w:rFonts w:ascii="Times New Roman" w:hAnsi="Times New Roman"/>
      <w:sz w:val="24"/>
      <w:lang w:val="en-GB"/>
    </w:rPr>
  </w:style>
  <w:style w:type="paragraph" w:styleId="af5">
    <w:name w:val="Document Map"/>
    <w:basedOn w:val="a"/>
    <w:link w:val="af6"/>
    <w:uiPriority w:val="99"/>
    <w:semiHidden/>
    <w:unhideWhenUsed/>
    <w:rsid w:val="006E6995"/>
    <w:pPr>
      <w:spacing w:line="240" w:lineRule="auto"/>
    </w:pPr>
    <w:rPr>
      <w:rFonts w:ascii="Lucida Grande CY" w:hAnsi="Lucida Grande CY" w:cs="Lucida Grande CY"/>
      <w:sz w:val="24"/>
      <w:szCs w:val="24"/>
      <w:lang w:val="en-GB"/>
    </w:rPr>
  </w:style>
  <w:style w:type="character" w:customStyle="1" w:styleId="af6">
    <w:name w:val="Схема документа Знак"/>
    <w:basedOn w:val="a0"/>
    <w:link w:val="af5"/>
    <w:uiPriority w:val="99"/>
    <w:semiHidden/>
    <w:rsid w:val="006E6995"/>
    <w:rPr>
      <w:rFonts w:ascii="Lucida Grande CY" w:hAnsi="Lucida Grande CY" w:cs="Lucida Grande CY"/>
      <w:sz w:val="24"/>
      <w:szCs w:val="24"/>
      <w:lang w:val="en-GB"/>
    </w:rPr>
  </w:style>
  <w:style w:type="character" w:styleId="af7">
    <w:name w:val="Hyperlink"/>
    <w:basedOn w:val="a0"/>
    <w:uiPriority w:val="99"/>
    <w:unhideWhenUsed/>
    <w:rsid w:val="006E6995"/>
    <w:rPr>
      <w:color w:val="0000FF" w:themeColor="hyperlink"/>
      <w:u w:val="single"/>
    </w:rPr>
  </w:style>
  <w:style w:type="character" w:styleId="af8">
    <w:name w:val="FollowedHyperlink"/>
    <w:basedOn w:val="a0"/>
    <w:uiPriority w:val="99"/>
    <w:semiHidden/>
    <w:unhideWhenUsed/>
    <w:rsid w:val="006E6995"/>
    <w:rPr>
      <w:color w:val="800080" w:themeColor="followedHyperlink"/>
      <w:u w:val="single"/>
    </w:rPr>
  </w:style>
  <w:style w:type="character" w:customStyle="1" w:styleId="searchword">
    <w:name w:val="searchword"/>
    <w:basedOn w:val="a0"/>
    <w:rsid w:val="006E6995"/>
  </w:style>
  <w:style w:type="paragraph" w:styleId="11">
    <w:name w:val="toc 1"/>
    <w:basedOn w:val="a"/>
    <w:next w:val="a"/>
    <w:autoRedefine/>
    <w:uiPriority w:val="39"/>
    <w:unhideWhenUsed/>
    <w:rsid w:val="006E6995"/>
    <w:pPr>
      <w:spacing w:after="100"/>
    </w:pPr>
    <w:rPr>
      <w:sz w:val="24"/>
      <w:lang w:val="en-GB"/>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rn.com/abstract=90856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fin.ru/management/strategy/classic/investment_risk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8E28CDE-390B-4076-9AB6-C20128CA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3996</Words>
  <Characters>22780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Artess</dc:creator>
  <cp:lastModifiedBy>User</cp:lastModifiedBy>
  <cp:revision>14</cp:revision>
  <dcterms:created xsi:type="dcterms:W3CDTF">2012-03-14T04:05:00Z</dcterms:created>
  <dcterms:modified xsi:type="dcterms:W3CDTF">2012-03-19T13:48:00Z</dcterms:modified>
</cp:coreProperties>
</file>