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C5" w:rsidRPr="00C00508" w:rsidRDefault="002223C5" w:rsidP="00541FD2">
      <w:pPr>
        <w:pStyle w:val="a4"/>
        <w:tabs>
          <w:tab w:val="left" w:pos="1080"/>
        </w:tabs>
        <w:spacing w:after="0" w:line="360" w:lineRule="auto"/>
        <w:ind w:firstLine="425"/>
        <w:rPr>
          <w:caps/>
          <w:sz w:val="28"/>
          <w:szCs w:val="28"/>
          <w:lang w:val="uk-UA"/>
        </w:rPr>
      </w:pPr>
      <w:r w:rsidRPr="00C00508">
        <w:rPr>
          <w:caps/>
          <w:sz w:val="28"/>
          <w:szCs w:val="28"/>
          <w:lang w:val="uk-UA"/>
        </w:rPr>
        <w:t>Удк 621.924</w:t>
      </w:r>
    </w:p>
    <w:p w:rsidR="002223C5" w:rsidRPr="00C00508" w:rsidRDefault="00704B6F" w:rsidP="00541FD2">
      <w:pPr>
        <w:pStyle w:val="a4"/>
        <w:tabs>
          <w:tab w:val="left" w:pos="1080"/>
        </w:tabs>
        <w:spacing w:after="0" w:line="360" w:lineRule="auto"/>
        <w:ind w:firstLine="425"/>
        <w:rPr>
          <w:sz w:val="28"/>
          <w:szCs w:val="28"/>
          <w:lang w:val="uk-UA"/>
        </w:rPr>
      </w:pPr>
      <w:r w:rsidRPr="00C00508">
        <w:rPr>
          <w:b/>
          <w:i/>
          <w:caps/>
          <w:sz w:val="28"/>
          <w:szCs w:val="28"/>
          <w:lang w:val="uk-UA"/>
        </w:rPr>
        <w:t>Н.Е.Дєєва</w:t>
      </w:r>
      <w:r w:rsidRPr="00C00508">
        <w:rPr>
          <w:sz w:val="28"/>
          <w:szCs w:val="28"/>
          <w:lang w:val="uk-UA"/>
        </w:rPr>
        <w:t>, канд. екон</w:t>
      </w:r>
      <w:r w:rsidR="002223C5" w:rsidRPr="00C00508">
        <w:rPr>
          <w:sz w:val="28"/>
          <w:szCs w:val="28"/>
          <w:lang w:val="uk-UA"/>
        </w:rPr>
        <w:t xml:space="preserve">. </w:t>
      </w:r>
      <w:r w:rsidRPr="00C00508">
        <w:rPr>
          <w:sz w:val="28"/>
          <w:szCs w:val="28"/>
          <w:lang w:val="uk-UA"/>
        </w:rPr>
        <w:t>н</w:t>
      </w:r>
      <w:r w:rsidR="002223C5" w:rsidRPr="00C00508">
        <w:rPr>
          <w:sz w:val="28"/>
          <w:szCs w:val="28"/>
          <w:lang w:val="uk-UA"/>
        </w:rPr>
        <w:t>аук</w:t>
      </w:r>
      <w:r w:rsidRPr="00C00508">
        <w:rPr>
          <w:sz w:val="28"/>
          <w:szCs w:val="28"/>
          <w:lang w:val="uk-UA"/>
        </w:rPr>
        <w:t xml:space="preserve">  (м. Донецьк</w:t>
      </w:r>
      <w:r w:rsidR="002223C5" w:rsidRPr="00C00508">
        <w:rPr>
          <w:sz w:val="28"/>
          <w:szCs w:val="28"/>
          <w:lang w:val="uk-UA"/>
        </w:rPr>
        <w:t xml:space="preserve">) </w:t>
      </w:r>
    </w:p>
    <w:p w:rsidR="002223C5" w:rsidRPr="00C00508" w:rsidRDefault="002223C5" w:rsidP="00541FD2">
      <w:pPr>
        <w:pStyle w:val="a4"/>
        <w:tabs>
          <w:tab w:val="left" w:pos="1080"/>
        </w:tabs>
        <w:spacing w:after="0" w:line="360" w:lineRule="auto"/>
        <w:ind w:firstLine="425"/>
        <w:rPr>
          <w:sz w:val="28"/>
          <w:szCs w:val="28"/>
          <w:lang w:val="uk-UA"/>
        </w:rPr>
      </w:pPr>
    </w:p>
    <w:p w:rsidR="002223C5" w:rsidRPr="00C00508" w:rsidRDefault="004D10FE" w:rsidP="004D10FE">
      <w:pPr>
        <w:pStyle w:val="a3"/>
        <w:tabs>
          <w:tab w:val="left" w:pos="1080"/>
        </w:tabs>
        <w:spacing w:line="360" w:lineRule="auto"/>
        <w:ind w:firstLine="425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Правове регулювання </w:t>
      </w:r>
      <w:r w:rsidR="00B43524" w:rsidRPr="00C00508">
        <w:rPr>
          <w:b/>
          <w:caps/>
          <w:sz w:val="28"/>
          <w:szCs w:val="28"/>
          <w:lang w:val="uk-UA"/>
        </w:rPr>
        <w:t>корп</w:t>
      </w:r>
      <w:r>
        <w:rPr>
          <w:b/>
          <w:caps/>
          <w:sz w:val="28"/>
          <w:szCs w:val="28"/>
          <w:lang w:val="uk-UA"/>
        </w:rPr>
        <w:t>оративного управління</w:t>
      </w:r>
    </w:p>
    <w:p w:rsidR="002223C5" w:rsidRPr="00C00508" w:rsidRDefault="002223C5" w:rsidP="00EE5B05">
      <w:pPr>
        <w:tabs>
          <w:tab w:val="left" w:pos="1080"/>
        </w:tabs>
        <w:spacing w:line="360" w:lineRule="auto"/>
        <w:ind w:firstLine="709"/>
        <w:jc w:val="center"/>
        <w:rPr>
          <w:b/>
          <w:sz w:val="20"/>
          <w:szCs w:val="20"/>
          <w:lang w:val="uk-UA"/>
        </w:rPr>
      </w:pPr>
    </w:p>
    <w:p w:rsidR="004D10FE" w:rsidRPr="004D10FE" w:rsidRDefault="00D73AB7" w:rsidP="004D10F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0FE">
        <w:rPr>
          <w:sz w:val="28"/>
          <w:szCs w:val="28"/>
          <w:lang w:val="uk-UA"/>
        </w:rPr>
        <w:t>Низький рівень</w:t>
      </w:r>
      <w:r w:rsidR="00D4484F" w:rsidRPr="004D10FE">
        <w:rPr>
          <w:sz w:val="28"/>
          <w:szCs w:val="28"/>
          <w:lang w:val="uk-UA"/>
        </w:rPr>
        <w:t xml:space="preserve"> корпоративної культури </w:t>
      </w:r>
      <w:r w:rsidR="00A50283" w:rsidRPr="004D10FE">
        <w:rPr>
          <w:sz w:val="28"/>
          <w:szCs w:val="28"/>
          <w:lang w:val="uk-UA"/>
        </w:rPr>
        <w:t>є однією з головних причин поруше</w:t>
      </w:r>
      <w:r w:rsidR="00D4484F" w:rsidRPr="004D10FE">
        <w:rPr>
          <w:sz w:val="28"/>
          <w:szCs w:val="28"/>
          <w:lang w:val="uk-UA"/>
        </w:rPr>
        <w:t>ння прав акціонерів</w:t>
      </w:r>
      <w:r w:rsidR="00A50283" w:rsidRPr="004D10FE">
        <w:rPr>
          <w:sz w:val="28"/>
          <w:szCs w:val="28"/>
          <w:lang w:val="uk-UA"/>
        </w:rPr>
        <w:t>, зде</w:t>
      </w:r>
      <w:r w:rsidR="00D4484F" w:rsidRPr="004D10FE">
        <w:rPr>
          <w:sz w:val="28"/>
          <w:szCs w:val="28"/>
          <w:lang w:val="uk-UA"/>
        </w:rPr>
        <w:t>більшого міноритарних</w:t>
      </w:r>
      <w:r w:rsidR="001C65B5" w:rsidRPr="004D10FE">
        <w:rPr>
          <w:sz w:val="28"/>
          <w:szCs w:val="28"/>
          <w:lang w:val="uk-UA"/>
        </w:rPr>
        <w:t xml:space="preserve">. </w:t>
      </w:r>
      <w:r w:rsidR="00F45F7A" w:rsidRPr="004D10FE">
        <w:rPr>
          <w:sz w:val="28"/>
          <w:szCs w:val="28"/>
          <w:lang w:val="uk-UA"/>
        </w:rPr>
        <w:t xml:space="preserve"> Відмінності структур вищої влади в акціонерних товариствах </w:t>
      </w:r>
      <w:r w:rsidR="00A42FDD" w:rsidRPr="004D10FE">
        <w:rPr>
          <w:sz w:val="28"/>
          <w:szCs w:val="28"/>
          <w:lang w:val="uk-UA"/>
        </w:rPr>
        <w:t xml:space="preserve">обумовлені специфікою законодавства України і </w:t>
      </w:r>
      <w:r w:rsidR="00F45F7A" w:rsidRPr="004D10FE">
        <w:rPr>
          <w:sz w:val="28"/>
          <w:szCs w:val="28"/>
          <w:lang w:val="uk-UA"/>
        </w:rPr>
        <w:t>пол</w:t>
      </w:r>
      <w:r w:rsidR="00A42FDD" w:rsidRPr="004D10FE">
        <w:rPr>
          <w:sz w:val="28"/>
          <w:szCs w:val="28"/>
          <w:lang w:val="uk-UA"/>
        </w:rPr>
        <w:t xml:space="preserve">ягають у наявності і належному </w:t>
      </w:r>
      <w:r w:rsidR="00F45F7A" w:rsidRPr="004D10FE">
        <w:rPr>
          <w:sz w:val="28"/>
          <w:szCs w:val="28"/>
          <w:lang w:val="uk-UA"/>
        </w:rPr>
        <w:t xml:space="preserve">функціонуванні спостережної ради, правління, ревізійної комісії. </w:t>
      </w:r>
      <w:r w:rsidR="00941CB5" w:rsidRPr="004D10FE">
        <w:rPr>
          <w:sz w:val="28"/>
          <w:szCs w:val="28"/>
          <w:lang w:val="uk-UA"/>
        </w:rPr>
        <w:t xml:space="preserve">Принципами корпоративного управління  ОЕСР передбачено </w:t>
      </w:r>
      <w:r w:rsidR="00FD1B1B" w:rsidRPr="004D10FE">
        <w:rPr>
          <w:sz w:val="28"/>
          <w:szCs w:val="28"/>
          <w:lang w:val="uk-UA"/>
        </w:rPr>
        <w:t>ефективний нагляд за діяльністю Правління з боку Ради, а також відповідальність цієї Ради перед компанією та акціонерами</w:t>
      </w:r>
      <w:r w:rsidR="00941CB5" w:rsidRPr="004D10FE">
        <w:rPr>
          <w:sz w:val="28"/>
          <w:szCs w:val="28"/>
          <w:lang w:val="uk-UA"/>
        </w:rPr>
        <w:t xml:space="preserve">. </w:t>
      </w:r>
      <w:r w:rsidR="00FD1B1B" w:rsidRPr="004D10FE">
        <w:rPr>
          <w:sz w:val="28"/>
          <w:szCs w:val="28"/>
          <w:lang w:val="uk-UA"/>
        </w:rPr>
        <w:t xml:space="preserve">Структура та процедури Ради варіюються як в країнах-членах ОЕСР, так і в інших країнах. </w:t>
      </w:r>
    </w:p>
    <w:p w:rsidR="00F1187C" w:rsidRDefault="00F1187C" w:rsidP="00F1187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187C">
        <w:rPr>
          <w:sz w:val="28"/>
          <w:szCs w:val="28"/>
          <w:lang w:val="uk-UA"/>
        </w:rPr>
        <w:t>Ефективне управління корпорацією можливе лише за умови наявності</w:t>
      </w:r>
      <w:r>
        <w:rPr>
          <w:sz w:val="28"/>
          <w:szCs w:val="28"/>
          <w:lang w:val="uk-UA"/>
        </w:rPr>
        <w:t xml:space="preserve"> внутрішніх регламентів, які встановлюють чіткий розподіл прав і обов’язків між органами нагляду і </w:t>
      </w:r>
      <w:r w:rsidR="004D10FE">
        <w:rPr>
          <w:sz w:val="28"/>
          <w:szCs w:val="28"/>
          <w:lang w:val="uk-UA"/>
        </w:rPr>
        <w:t>оперативного управління, а саме</w:t>
      </w:r>
      <w:r>
        <w:rPr>
          <w:sz w:val="28"/>
          <w:szCs w:val="28"/>
          <w:lang w:val="uk-UA"/>
        </w:rPr>
        <w:t xml:space="preserve"> </w:t>
      </w:r>
      <w:r w:rsidR="004D10FE">
        <w:rPr>
          <w:sz w:val="28"/>
          <w:szCs w:val="28"/>
          <w:lang w:val="uk-UA"/>
        </w:rPr>
        <w:t xml:space="preserve">Положень: </w:t>
      </w:r>
      <w:r>
        <w:rPr>
          <w:sz w:val="28"/>
          <w:szCs w:val="28"/>
          <w:lang w:val="uk-UA"/>
        </w:rPr>
        <w:t xml:space="preserve"> про зага</w:t>
      </w:r>
      <w:r w:rsidR="004D10FE">
        <w:rPr>
          <w:sz w:val="28"/>
          <w:szCs w:val="28"/>
          <w:lang w:val="uk-UA"/>
        </w:rPr>
        <w:t>льні збори акціонерів;</w:t>
      </w:r>
      <w:r>
        <w:rPr>
          <w:sz w:val="28"/>
          <w:szCs w:val="28"/>
          <w:lang w:val="uk-UA"/>
        </w:rPr>
        <w:t xml:space="preserve"> пр</w:t>
      </w:r>
      <w:r w:rsidR="004D10FE">
        <w:rPr>
          <w:sz w:val="28"/>
          <w:szCs w:val="28"/>
          <w:lang w:val="uk-UA"/>
        </w:rPr>
        <w:t>о спостережну раду;</w:t>
      </w:r>
      <w:r w:rsidRPr="00C00508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ро виконавч</w:t>
      </w:r>
      <w:r w:rsidR="004D10FE">
        <w:rPr>
          <w:sz w:val="28"/>
          <w:szCs w:val="28"/>
          <w:lang w:val="uk-UA"/>
        </w:rPr>
        <w:t xml:space="preserve">ий орган (правління); </w:t>
      </w:r>
      <w:r>
        <w:rPr>
          <w:sz w:val="28"/>
          <w:szCs w:val="28"/>
          <w:lang w:val="uk-UA"/>
        </w:rPr>
        <w:t xml:space="preserve">про корпоративного секретаря, </w:t>
      </w:r>
      <w:r w:rsidRPr="00C00508">
        <w:rPr>
          <w:sz w:val="28"/>
          <w:szCs w:val="28"/>
          <w:lang w:val="uk-UA"/>
        </w:rPr>
        <w:t>про посадов</w:t>
      </w:r>
      <w:r>
        <w:rPr>
          <w:sz w:val="28"/>
          <w:szCs w:val="28"/>
          <w:lang w:val="uk-UA"/>
        </w:rPr>
        <w:t>их осіб акц</w:t>
      </w:r>
      <w:r w:rsidR="004D10FE">
        <w:rPr>
          <w:sz w:val="28"/>
          <w:szCs w:val="28"/>
          <w:lang w:val="uk-UA"/>
        </w:rPr>
        <w:t xml:space="preserve">іонерного товариства; </w:t>
      </w:r>
      <w:r>
        <w:rPr>
          <w:sz w:val="28"/>
          <w:szCs w:val="28"/>
          <w:lang w:val="uk-UA"/>
        </w:rPr>
        <w:t xml:space="preserve">про ревізійну комісію; про службу внутрішнього аудиту. </w:t>
      </w:r>
    </w:p>
    <w:p w:rsidR="004D10FE" w:rsidRDefault="001150A8" w:rsidP="004D10FE">
      <w:pPr>
        <w:tabs>
          <w:tab w:val="left" w:pos="1080"/>
        </w:tabs>
        <w:spacing w:line="360" w:lineRule="auto"/>
        <w:ind w:firstLine="8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Відсутність імперативних норм у законодавстві України щодо створення Наглядової ради і ревізійної комісії, а також рекомендаційний характер Принципів корпоративного управління дозволяє акціонерним товариствам адаптувати організаційно-правову модель управління до їх структури власності. </w:t>
      </w:r>
      <w:r w:rsidR="001F51D1">
        <w:rPr>
          <w:sz w:val="28"/>
          <w:szCs w:val="28"/>
          <w:lang w:val="uk-UA"/>
        </w:rPr>
        <w:t>Для корпорацій з концентрованою власністю доцільно використовувати модель чіткого розмежування функцій Наглядової ради і Правління. Потребам управління корпораціями з розпорошеною власністю найбільше відповідатиме модель Ради д</w:t>
      </w:r>
      <w:r w:rsidR="005E5BE5">
        <w:rPr>
          <w:sz w:val="28"/>
          <w:szCs w:val="28"/>
          <w:lang w:val="uk-UA"/>
        </w:rPr>
        <w:t>иректорів</w:t>
      </w:r>
      <w:r w:rsidR="001F51D1">
        <w:rPr>
          <w:sz w:val="28"/>
          <w:szCs w:val="28"/>
          <w:lang w:val="uk-UA"/>
        </w:rPr>
        <w:t xml:space="preserve">. </w:t>
      </w:r>
    </w:p>
    <w:p w:rsidR="004D10FE" w:rsidRDefault="005E5BE5" w:rsidP="004D10FE">
      <w:pPr>
        <w:tabs>
          <w:tab w:val="left" w:pos="1080"/>
        </w:tabs>
        <w:spacing w:line="360" w:lineRule="auto"/>
        <w:ind w:firstLine="83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>О</w:t>
      </w:r>
      <w:r>
        <w:rPr>
          <w:color w:val="333333"/>
          <w:sz w:val="28"/>
          <w:szCs w:val="28"/>
          <w:lang w:val="uk-UA"/>
        </w:rPr>
        <w:t>бов’язковою умовою має бути  жорстке регламентування питань</w:t>
      </w:r>
      <w:r w:rsidR="005558A6" w:rsidRPr="005558A6">
        <w:rPr>
          <w:color w:val="333333"/>
          <w:sz w:val="28"/>
          <w:szCs w:val="28"/>
          <w:lang w:val="uk-UA"/>
        </w:rPr>
        <w:t xml:space="preserve"> створення, припинення та дія</w:t>
      </w:r>
      <w:r>
        <w:rPr>
          <w:color w:val="333333"/>
          <w:sz w:val="28"/>
          <w:szCs w:val="28"/>
          <w:lang w:val="uk-UA"/>
        </w:rPr>
        <w:t xml:space="preserve">льності акціонерних товариств, </w:t>
      </w:r>
      <w:r w:rsidR="005558A6" w:rsidRPr="005558A6">
        <w:rPr>
          <w:color w:val="333333"/>
          <w:sz w:val="28"/>
          <w:szCs w:val="28"/>
          <w:lang w:val="uk-UA"/>
        </w:rPr>
        <w:t xml:space="preserve"> закріплення прав акціонерів та встановлення в</w:t>
      </w:r>
      <w:r w:rsidR="004D10FE">
        <w:rPr>
          <w:color w:val="333333"/>
          <w:sz w:val="28"/>
          <w:szCs w:val="28"/>
          <w:lang w:val="uk-UA"/>
        </w:rPr>
        <w:t>ідповідальності за їх порушення.</w:t>
      </w:r>
    </w:p>
    <w:sectPr w:rsidR="004D10FE" w:rsidSect="002F1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839" w:rsidRDefault="004E2839">
      <w:r>
        <w:separator/>
      </w:r>
    </w:p>
  </w:endnote>
  <w:endnote w:type="continuationSeparator" w:id="1">
    <w:p w:rsidR="004E2839" w:rsidRDefault="004E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Default="00AE72F5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Default="00AE72F5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Default="00AE72F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839" w:rsidRDefault="004E2839">
      <w:r>
        <w:separator/>
      </w:r>
    </w:p>
  </w:footnote>
  <w:footnote w:type="continuationSeparator" w:id="1">
    <w:p w:rsidR="004E2839" w:rsidRDefault="004E2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Default="00AE72F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Default="00AE72F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F5" w:rsidRPr="00AE72F5" w:rsidRDefault="00AE72F5" w:rsidP="00AE72F5">
    <w:pPr>
      <w:pStyle w:val="af"/>
      <w:jc w:val="both"/>
      <w:rPr>
        <w:sz w:val="20"/>
        <w:szCs w:val="20"/>
      </w:rPr>
    </w:pPr>
    <w:r w:rsidRPr="00AE72F5">
      <w:rPr>
        <w:iCs/>
        <w:sz w:val="20"/>
        <w:szCs w:val="20"/>
        <w:lang w:val="uk-UA"/>
      </w:rPr>
      <w:t>Дєєва Н.Е.</w:t>
    </w:r>
    <w:r w:rsidRPr="00AE72F5">
      <w:rPr>
        <w:sz w:val="20"/>
        <w:szCs w:val="20"/>
        <w:lang w:val="uk-UA"/>
      </w:rPr>
      <w:t xml:space="preserve"> Правове регулювання корпоративного управління / </w:t>
    </w:r>
    <w:r w:rsidRPr="00AE72F5">
      <w:rPr>
        <w:iCs/>
        <w:sz w:val="20"/>
        <w:szCs w:val="20"/>
        <w:lang w:val="uk-UA"/>
      </w:rPr>
      <w:t>Н.Е. Дєєва</w:t>
    </w:r>
    <w:r w:rsidRPr="00AE72F5">
      <w:rPr>
        <w:sz w:val="20"/>
        <w:szCs w:val="20"/>
        <w:lang w:val="uk-UA"/>
      </w:rPr>
      <w:t xml:space="preserve"> // Актуальные проблемы и перспективы развития экономики Украины: матер. VIII Междунар. науч.-практ. конф. (г. Алушта, 1-3 окт. 2009 г.). – Си</w:t>
    </w:r>
    <w:r w:rsidRPr="00AE72F5">
      <w:rPr>
        <w:sz w:val="20"/>
        <w:szCs w:val="20"/>
        <w:lang w:val="uk-UA"/>
      </w:rPr>
      <w:t>м</w:t>
    </w:r>
    <w:r w:rsidRPr="00AE72F5">
      <w:rPr>
        <w:sz w:val="20"/>
        <w:szCs w:val="20"/>
        <w:lang w:val="uk-UA"/>
      </w:rPr>
      <w:t>ферополь: ТНУ им. В.И. Вернадского, 2009. – С.121-122.</w:t>
    </w:r>
  </w:p>
  <w:p w:rsidR="00AE72F5" w:rsidRDefault="00AE72F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D3C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C4FA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DE1971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305E3E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D92330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EB53A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1634AF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D21C18"/>
    <w:multiLevelType w:val="multilevel"/>
    <w:tmpl w:val="2594236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8">
    <w:nsid w:val="54A87FDF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4D3226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B87B49"/>
    <w:multiLevelType w:val="multilevel"/>
    <w:tmpl w:val="EA22AABC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981D0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6159F7"/>
    <w:multiLevelType w:val="hybridMultilevel"/>
    <w:tmpl w:val="8D6A807A"/>
    <w:lvl w:ilvl="0" w:tplc="48CAF7A8">
      <w:start w:val="3"/>
      <w:numFmt w:val="bullet"/>
      <w:lvlText w:val="-"/>
      <w:lvlJc w:val="left"/>
      <w:pPr>
        <w:tabs>
          <w:tab w:val="num" w:pos="1346"/>
        </w:tabs>
        <w:ind w:left="1346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3">
    <w:nsid w:val="74703F69"/>
    <w:multiLevelType w:val="multilevel"/>
    <w:tmpl w:val="DCBA6182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sz w:val="28"/>
        <w:szCs w:val="28"/>
      </w:rPr>
    </w:lvl>
    <w:lvl w:ilvl="1">
      <w:numFmt w:val="bullet"/>
      <w:lvlText w:val="-"/>
      <w:lvlJc w:val="left"/>
      <w:pPr>
        <w:tabs>
          <w:tab w:val="num" w:pos="2314"/>
        </w:tabs>
        <w:ind w:left="2314" w:hanging="88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E5E2A03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3C5"/>
    <w:rsid w:val="000042A0"/>
    <w:rsid w:val="00004A0C"/>
    <w:rsid w:val="00005D2F"/>
    <w:rsid w:val="00033181"/>
    <w:rsid w:val="00044BD7"/>
    <w:rsid w:val="0005718C"/>
    <w:rsid w:val="00094D5A"/>
    <w:rsid w:val="000B389A"/>
    <w:rsid w:val="000B7165"/>
    <w:rsid w:val="000C1558"/>
    <w:rsid w:val="000C1C7D"/>
    <w:rsid w:val="001135D7"/>
    <w:rsid w:val="001150A8"/>
    <w:rsid w:val="001313F0"/>
    <w:rsid w:val="00134EF1"/>
    <w:rsid w:val="0013656F"/>
    <w:rsid w:val="00157E0A"/>
    <w:rsid w:val="00181EF2"/>
    <w:rsid w:val="001A5E0E"/>
    <w:rsid w:val="001C0073"/>
    <w:rsid w:val="001C65B5"/>
    <w:rsid w:val="001C68C8"/>
    <w:rsid w:val="001F369C"/>
    <w:rsid w:val="001F51D1"/>
    <w:rsid w:val="002073C6"/>
    <w:rsid w:val="002217BD"/>
    <w:rsid w:val="002223C5"/>
    <w:rsid w:val="002267F7"/>
    <w:rsid w:val="002335DD"/>
    <w:rsid w:val="00235253"/>
    <w:rsid w:val="002A3FE2"/>
    <w:rsid w:val="002E2B6B"/>
    <w:rsid w:val="002F132E"/>
    <w:rsid w:val="00324F22"/>
    <w:rsid w:val="00327754"/>
    <w:rsid w:val="00327DB2"/>
    <w:rsid w:val="0036612B"/>
    <w:rsid w:val="00382743"/>
    <w:rsid w:val="0039378C"/>
    <w:rsid w:val="003A435B"/>
    <w:rsid w:val="003B731C"/>
    <w:rsid w:val="003C36E6"/>
    <w:rsid w:val="003C6F5D"/>
    <w:rsid w:val="003D0DDD"/>
    <w:rsid w:val="003D660E"/>
    <w:rsid w:val="003E5A31"/>
    <w:rsid w:val="003F1D52"/>
    <w:rsid w:val="003F7CC7"/>
    <w:rsid w:val="0040581F"/>
    <w:rsid w:val="00423F6B"/>
    <w:rsid w:val="004457A2"/>
    <w:rsid w:val="00445E17"/>
    <w:rsid w:val="004573F9"/>
    <w:rsid w:val="00473237"/>
    <w:rsid w:val="00487821"/>
    <w:rsid w:val="00492081"/>
    <w:rsid w:val="004B3046"/>
    <w:rsid w:val="004B4A4B"/>
    <w:rsid w:val="004D10FE"/>
    <w:rsid w:val="004E2839"/>
    <w:rsid w:val="00520682"/>
    <w:rsid w:val="00536FA9"/>
    <w:rsid w:val="00541FD2"/>
    <w:rsid w:val="005558A6"/>
    <w:rsid w:val="005648C0"/>
    <w:rsid w:val="00566369"/>
    <w:rsid w:val="00581E77"/>
    <w:rsid w:val="005847E0"/>
    <w:rsid w:val="005A2278"/>
    <w:rsid w:val="005C3883"/>
    <w:rsid w:val="005D2000"/>
    <w:rsid w:val="005D27D1"/>
    <w:rsid w:val="005E5BE5"/>
    <w:rsid w:val="005F5E3A"/>
    <w:rsid w:val="0061255A"/>
    <w:rsid w:val="00612F1B"/>
    <w:rsid w:val="00626F38"/>
    <w:rsid w:val="00634460"/>
    <w:rsid w:val="00640724"/>
    <w:rsid w:val="00645CA4"/>
    <w:rsid w:val="00651745"/>
    <w:rsid w:val="00667CC7"/>
    <w:rsid w:val="006961D4"/>
    <w:rsid w:val="007034A0"/>
    <w:rsid w:val="00704B6F"/>
    <w:rsid w:val="0073780F"/>
    <w:rsid w:val="00756AFA"/>
    <w:rsid w:val="00757F91"/>
    <w:rsid w:val="007750AA"/>
    <w:rsid w:val="00777DE5"/>
    <w:rsid w:val="007A132A"/>
    <w:rsid w:val="007A38D2"/>
    <w:rsid w:val="007B0C19"/>
    <w:rsid w:val="007C7A81"/>
    <w:rsid w:val="007F1408"/>
    <w:rsid w:val="0081487B"/>
    <w:rsid w:val="00853116"/>
    <w:rsid w:val="00857D36"/>
    <w:rsid w:val="008720E7"/>
    <w:rsid w:val="008A232B"/>
    <w:rsid w:val="008C2118"/>
    <w:rsid w:val="008F2991"/>
    <w:rsid w:val="0090032C"/>
    <w:rsid w:val="00907AE5"/>
    <w:rsid w:val="009340C4"/>
    <w:rsid w:val="00941CB5"/>
    <w:rsid w:val="00971238"/>
    <w:rsid w:val="00982F13"/>
    <w:rsid w:val="0098345C"/>
    <w:rsid w:val="009877AD"/>
    <w:rsid w:val="00997AED"/>
    <w:rsid w:val="009B60DB"/>
    <w:rsid w:val="009B7ACC"/>
    <w:rsid w:val="009C4326"/>
    <w:rsid w:val="009D1FD8"/>
    <w:rsid w:val="009D461A"/>
    <w:rsid w:val="009D46A6"/>
    <w:rsid w:val="009D6428"/>
    <w:rsid w:val="009F1805"/>
    <w:rsid w:val="00A020D3"/>
    <w:rsid w:val="00A171A6"/>
    <w:rsid w:val="00A262CC"/>
    <w:rsid w:val="00A42FDD"/>
    <w:rsid w:val="00A50283"/>
    <w:rsid w:val="00A54551"/>
    <w:rsid w:val="00A72FDF"/>
    <w:rsid w:val="00AB5E71"/>
    <w:rsid w:val="00AB758D"/>
    <w:rsid w:val="00AC1537"/>
    <w:rsid w:val="00AE1ED9"/>
    <w:rsid w:val="00AE5F02"/>
    <w:rsid w:val="00AE72F5"/>
    <w:rsid w:val="00AF3319"/>
    <w:rsid w:val="00B1303B"/>
    <w:rsid w:val="00B3003C"/>
    <w:rsid w:val="00B31076"/>
    <w:rsid w:val="00B43524"/>
    <w:rsid w:val="00B43706"/>
    <w:rsid w:val="00B45727"/>
    <w:rsid w:val="00B55E87"/>
    <w:rsid w:val="00B57C10"/>
    <w:rsid w:val="00B80327"/>
    <w:rsid w:val="00B87B8E"/>
    <w:rsid w:val="00B93B6F"/>
    <w:rsid w:val="00BB1B16"/>
    <w:rsid w:val="00BB2241"/>
    <w:rsid w:val="00BB2736"/>
    <w:rsid w:val="00BB3EE1"/>
    <w:rsid w:val="00BC17BF"/>
    <w:rsid w:val="00BE49D7"/>
    <w:rsid w:val="00C00508"/>
    <w:rsid w:val="00C2667E"/>
    <w:rsid w:val="00C4006F"/>
    <w:rsid w:val="00C46C4D"/>
    <w:rsid w:val="00C9420D"/>
    <w:rsid w:val="00CA3B45"/>
    <w:rsid w:val="00CB7EFA"/>
    <w:rsid w:val="00CC0709"/>
    <w:rsid w:val="00CD27E5"/>
    <w:rsid w:val="00CD6A80"/>
    <w:rsid w:val="00CE3525"/>
    <w:rsid w:val="00D07430"/>
    <w:rsid w:val="00D2482C"/>
    <w:rsid w:val="00D30F36"/>
    <w:rsid w:val="00D4484F"/>
    <w:rsid w:val="00D453BA"/>
    <w:rsid w:val="00D6403A"/>
    <w:rsid w:val="00D6612E"/>
    <w:rsid w:val="00D73AB7"/>
    <w:rsid w:val="00D77F84"/>
    <w:rsid w:val="00D97754"/>
    <w:rsid w:val="00DA1018"/>
    <w:rsid w:val="00DC247B"/>
    <w:rsid w:val="00DC3A08"/>
    <w:rsid w:val="00DE1E79"/>
    <w:rsid w:val="00DE305D"/>
    <w:rsid w:val="00E01E99"/>
    <w:rsid w:val="00E134AA"/>
    <w:rsid w:val="00E15022"/>
    <w:rsid w:val="00E46702"/>
    <w:rsid w:val="00E51CBE"/>
    <w:rsid w:val="00E544E3"/>
    <w:rsid w:val="00E70E4C"/>
    <w:rsid w:val="00E862A9"/>
    <w:rsid w:val="00EB3184"/>
    <w:rsid w:val="00EB4960"/>
    <w:rsid w:val="00EB49D5"/>
    <w:rsid w:val="00EE5B05"/>
    <w:rsid w:val="00EF34F6"/>
    <w:rsid w:val="00F037AE"/>
    <w:rsid w:val="00F0635D"/>
    <w:rsid w:val="00F10773"/>
    <w:rsid w:val="00F1187C"/>
    <w:rsid w:val="00F225ED"/>
    <w:rsid w:val="00F45F7A"/>
    <w:rsid w:val="00F6523D"/>
    <w:rsid w:val="00F702C8"/>
    <w:rsid w:val="00F75E29"/>
    <w:rsid w:val="00F77797"/>
    <w:rsid w:val="00F81C89"/>
    <w:rsid w:val="00FC7459"/>
    <w:rsid w:val="00FD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3C5"/>
    <w:rPr>
      <w:sz w:val="24"/>
      <w:szCs w:val="24"/>
    </w:rPr>
  </w:style>
  <w:style w:type="paragraph" w:styleId="1">
    <w:name w:val="heading 1"/>
    <w:basedOn w:val="a"/>
    <w:next w:val="a"/>
    <w:qFormat/>
    <w:rsid w:val="002223C5"/>
    <w:pPr>
      <w:keepNext/>
      <w:jc w:val="center"/>
      <w:outlineLvl w:val="0"/>
    </w:pPr>
    <w:rPr>
      <w:b/>
      <w:caps/>
      <w:sz w:val="20"/>
      <w:szCs w:val="20"/>
    </w:rPr>
  </w:style>
  <w:style w:type="paragraph" w:styleId="2">
    <w:name w:val="heading 2"/>
    <w:basedOn w:val="a"/>
    <w:next w:val="a"/>
    <w:qFormat/>
    <w:rsid w:val="003D66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A3B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3C5"/>
    <w:pPr>
      <w:ind w:firstLine="720"/>
      <w:jc w:val="both"/>
    </w:pPr>
    <w:rPr>
      <w:sz w:val="20"/>
      <w:szCs w:val="20"/>
    </w:rPr>
  </w:style>
  <w:style w:type="paragraph" w:styleId="a4">
    <w:name w:val="Body Text"/>
    <w:basedOn w:val="a"/>
    <w:rsid w:val="002223C5"/>
    <w:pPr>
      <w:spacing w:after="120"/>
    </w:pPr>
  </w:style>
  <w:style w:type="paragraph" w:styleId="20">
    <w:name w:val="Body Text 2"/>
    <w:basedOn w:val="a"/>
    <w:rsid w:val="002223C5"/>
    <w:pPr>
      <w:spacing w:after="120" w:line="480" w:lineRule="auto"/>
    </w:pPr>
  </w:style>
  <w:style w:type="paragraph" w:styleId="21">
    <w:name w:val="Body Text Indent 2"/>
    <w:basedOn w:val="a"/>
    <w:rsid w:val="002223C5"/>
    <w:pPr>
      <w:spacing w:after="120" w:line="480" w:lineRule="auto"/>
      <w:ind w:left="283"/>
    </w:pPr>
  </w:style>
  <w:style w:type="paragraph" w:styleId="a5">
    <w:name w:val="Title"/>
    <w:basedOn w:val="a"/>
    <w:qFormat/>
    <w:rsid w:val="002223C5"/>
    <w:pPr>
      <w:jc w:val="center"/>
    </w:pPr>
    <w:rPr>
      <w:b/>
      <w:bCs/>
      <w:caps/>
      <w:sz w:val="20"/>
      <w:szCs w:val="20"/>
    </w:rPr>
  </w:style>
  <w:style w:type="paragraph" w:styleId="a6">
    <w:name w:val="Balloon Text"/>
    <w:basedOn w:val="a"/>
    <w:semiHidden/>
    <w:rsid w:val="002223C5"/>
    <w:pPr>
      <w:jc w:val="both"/>
    </w:pPr>
    <w:rPr>
      <w:rFonts w:ascii="Tahoma" w:hAnsi="Tahoma" w:cs="Tahoma"/>
      <w:sz w:val="16"/>
      <w:szCs w:val="16"/>
      <w:lang w:val="en-GB"/>
    </w:rPr>
  </w:style>
  <w:style w:type="character" w:styleId="a7">
    <w:name w:val="endnote reference"/>
    <w:basedOn w:val="a0"/>
    <w:semiHidden/>
    <w:rsid w:val="002223C5"/>
    <w:rPr>
      <w:vertAlign w:val="superscript"/>
    </w:rPr>
  </w:style>
  <w:style w:type="paragraph" w:styleId="a8">
    <w:name w:val="footnote text"/>
    <w:basedOn w:val="a"/>
    <w:semiHidden/>
    <w:rsid w:val="00E70E4C"/>
    <w:rPr>
      <w:sz w:val="20"/>
      <w:szCs w:val="20"/>
    </w:rPr>
  </w:style>
  <w:style w:type="character" w:styleId="a9">
    <w:name w:val="footnote reference"/>
    <w:basedOn w:val="a0"/>
    <w:semiHidden/>
    <w:rsid w:val="00E70E4C"/>
    <w:rPr>
      <w:vertAlign w:val="superscript"/>
    </w:rPr>
  </w:style>
  <w:style w:type="character" w:styleId="aa">
    <w:name w:val="Hyperlink"/>
    <w:basedOn w:val="a0"/>
    <w:rsid w:val="00AB5E71"/>
    <w:rPr>
      <w:color w:val="0000FF"/>
      <w:u w:val="single"/>
    </w:rPr>
  </w:style>
  <w:style w:type="paragraph" w:styleId="HTML">
    <w:name w:val="HTML Preformatted"/>
    <w:basedOn w:val="a"/>
    <w:rsid w:val="00AE5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61255A"/>
    <w:pPr>
      <w:spacing w:before="100" w:beforeAutospacing="1" w:after="100" w:afterAutospacing="1"/>
    </w:pPr>
  </w:style>
  <w:style w:type="character" w:styleId="HTML0">
    <w:name w:val="HTML Cite"/>
    <w:basedOn w:val="a0"/>
    <w:rsid w:val="00044BD7"/>
    <w:rPr>
      <w:i w:val="0"/>
      <w:iCs w:val="0"/>
      <w:color w:val="008000"/>
    </w:rPr>
  </w:style>
  <w:style w:type="paragraph" w:customStyle="1" w:styleId="Just">
    <w:name w:val="Just"/>
    <w:rsid w:val="00CA3B45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c">
    <w:name w:val="Strong"/>
    <w:basedOn w:val="a0"/>
    <w:qFormat/>
    <w:rsid w:val="002267F7"/>
    <w:rPr>
      <w:b/>
      <w:bCs/>
    </w:rPr>
  </w:style>
  <w:style w:type="character" w:styleId="ad">
    <w:name w:val="Emphasis"/>
    <w:basedOn w:val="a0"/>
    <w:qFormat/>
    <w:rsid w:val="002267F7"/>
    <w:rPr>
      <w:i/>
      <w:iCs/>
    </w:rPr>
  </w:style>
  <w:style w:type="paragraph" w:customStyle="1" w:styleId="annotation">
    <w:name w:val="annotation"/>
    <w:basedOn w:val="a"/>
    <w:rsid w:val="002267F7"/>
    <w:pPr>
      <w:spacing w:after="75" w:line="240" w:lineRule="atLeast"/>
    </w:pPr>
    <w:rPr>
      <w:rFonts w:ascii="Verdana" w:hAnsi="Verdana"/>
      <w:color w:val="666666"/>
      <w:sz w:val="26"/>
      <w:szCs w:val="26"/>
    </w:rPr>
  </w:style>
  <w:style w:type="character" w:customStyle="1" w:styleId="article-author">
    <w:name w:val="article-author"/>
    <w:basedOn w:val="a0"/>
    <w:rsid w:val="00327754"/>
  </w:style>
  <w:style w:type="character" w:customStyle="1" w:styleId="article-about-author">
    <w:name w:val="article-about-author"/>
    <w:basedOn w:val="a0"/>
    <w:rsid w:val="00327754"/>
  </w:style>
  <w:style w:type="character" w:customStyle="1" w:styleId="text">
    <w:name w:val="text"/>
    <w:basedOn w:val="a0"/>
    <w:rsid w:val="00445E17"/>
  </w:style>
  <w:style w:type="table" w:styleId="ae">
    <w:name w:val="Table Grid"/>
    <w:basedOn w:val="a1"/>
    <w:rsid w:val="000B7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AE72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E72F5"/>
    <w:rPr>
      <w:sz w:val="24"/>
      <w:szCs w:val="24"/>
    </w:rPr>
  </w:style>
  <w:style w:type="paragraph" w:styleId="af1">
    <w:name w:val="footer"/>
    <w:basedOn w:val="a"/>
    <w:link w:val="af2"/>
    <w:rsid w:val="00AE72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E72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8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A635E"/>
                        <w:left w:val="single" w:sz="6" w:space="5" w:color="3A635E"/>
                        <w:bottom w:val="single" w:sz="6" w:space="31" w:color="3A635E"/>
                        <w:right w:val="single" w:sz="6" w:space="5" w:color="3A635E"/>
                      </w:divBdr>
                      <w:divsChild>
                        <w:div w:id="9912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0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8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A635E"/>
                        <w:left w:val="single" w:sz="6" w:space="5" w:color="3A635E"/>
                        <w:bottom w:val="single" w:sz="6" w:space="31" w:color="3A635E"/>
                        <w:right w:val="single" w:sz="6" w:space="5" w:color="3A635E"/>
                      </w:divBdr>
                      <w:divsChild>
                        <w:div w:id="5140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ПОДАЧИ СТАТЕЙ ДЛЯ ОПУБЛИКОВАНИЯ В ВЕСТНИКЕ НТУ «ХПИ» «Экономический прогресс и эффективность производства» (ВАКовский сборник)</vt:lpstr>
    </vt:vector>
  </TitlesOfParts>
  <Company>NTU 'KPI'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ПОДАЧИ СТАТЕЙ ДЛЯ ОПУБЛИКОВАНИЯ В ВЕСТНИКЕ НТУ «ХПИ» «Экономический прогресс и эффективность производства» (ВАКовский сборник)</dc:title>
  <dc:creator>DNE</dc:creator>
  <cp:lastModifiedBy>acer</cp:lastModifiedBy>
  <cp:revision>2</cp:revision>
  <dcterms:created xsi:type="dcterms:W3CDTF">2013-04-23T11:39:00Z</dcterms:created>
  <dcterms:modified xsi:type="dcterms:W3CDTF">2013-04-23T11:39:00Z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RusUkrBZ</vt:lpwstr>
  </property>
</Properties>
</file>