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DC" w:rsidRPr="004719D9" w:rsidRDefault="00BE13DC" w:rsidP="00BE13DC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BE13DC" w:rsidRDefault="00BE13DC" w:rsidP="00BE13DC"/>
    <w:p w:rsidR="00BE13DC" w:rsidRDefault="00BE13DC" w:rsidP="00BE13DC">
      <w:pPr>
        <w:jc w:val="right"/>
        <w:rPr>
          <w:b/>
        </w:rPr>
      </w:pPr>
      <w:r w:rsidRPr="008B2BE8">
        <w:rPr>
          <w:b/>
        </w:rPr>
        <w:t>Мостов</w:t>
      </w:r>
      <w:r w:rsidRPr="004B51A9">
        <w:rPr>
          <w:b/>
        </w:rPr>
        <w:t>ая</w:t>
      </w:r>
      <w:r>
        <w:rPr>
          <w:b/>
        </w:rPr>
        <w:t xml:space="preserve"> Н.</w:t>
      </w:r>
      <w:r w:rsidRPr="004B51A9">
        <w:rPr>
          <w:b/>
        </w:rPr>
        <w:t>В.</w:t>
      </w:r>
    </w:p>
    <w:p w:rsidR="00BE13DC" w:rsidRPr="004B51A9" w:rsidRDefault="00BE13DC" w:rsidP="00BE13DC">
      <w:pPr>
        <w:jc w:val="right"/>
      </w:pPr>
      <w:r>
        <w:rPr>
          <w:i/>
          <w:szCs w:val="24"/>
        </w:rPr>
        <w:t>ГОУ ВПО «Донецкий национальный технический университет»</w:t>
      </w:r>
    </w:p>
    <w:p w:rsidR="00BE13DC" w:rsidRPr="008B2BE8" w:rsidRDefault="00BE13DC" w:rsidP="00BE13DC">
      <w:pPr>
        <w:jc w:val="right"/>
      </w:pPr>
      <w:proofErr w:type="spellStart"/>
      <w:r w:rsidRPr="004B51A9">
        <w:rPr>
          <w:b/>
        </w:rPr>
        <w:t>Гадецкий</w:t>
      </w:r>
      <w:proofErr w:type="spellEnd"/>
      <w:r w:rsidRPr="004B51A9">
        <w:rPr>
          <w:b/>
        </w:rPr>
        <w:t xml:space="preserve"> В. Г.,</w:t>
      </w:r>
      <w:r w:rsidRPr="004B51A9">
        <w:t xml:space="preserve"> к.э.н., доцент</w:t>
      </w:r>
    </w:p>
    <w:p w:rsidR="00BE13DC" w:rsidRDefault="00BE13DC" w:rsidP="00BE13DC">
      <w:pPr>
        <w:jc w:val="right"/>
        <w:rPr>
          <w:i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BE13DC" w:rsidRDefault="00BE13DC" w:rsidP="00BE13DC">
      <w:pPr>
        <w:shd w:val="clear" w:color="auto" w:fill="FFFFFF"/>
        <w:ind w:firstLine="709"/>
        <w:jc w:val="right"/>
        <w:textAlignment w:val="baseline"/>
        <w:outlineLvl w:val="0"/>
        <w:rPr>
          <w:rFonts w:eastAsia="Times New Roman" w:cs="Times New Roman"/>
          <w:b/>
          <w:spacing w:val="15"/>
          <w:kern w:val="36"/>
          <w:szCs w:val="24"/>
          <w:lang w:eastAsia="ru-RU"/>
        </w:rPr>
      </w:pPr>
    </w:p>
    <w:p w:rsidR="00BE13DC" w:rsidRPr="00533898" w:rsidRDefault="00BE13DC" w:rsidP="00BE13DC">
      <w:pPr>
        <w:shd w:val="clear" w:color="auto" w:fill="FFFFFF"/>
        <w:ind w:firstLine="709"/>
        <w:jc w:val="right"/>
        <w:textAlignment w:val="baseline"/>
        <w:outlineLvl w:val="0"/>
        <w:rPr>
          <w:rFonts w:eastAsia="Times New Roman" w:cs="Times New Roman"/>
          <w:b/>
          <w:spacing w:val="15"/>
          <w:kern w:val="36"/>
          <w:szCs w:val="24"/>
          <w:lang w:eastAsia="ru-RU"/>
        </w:rPr>
      </w:pPr>
    </w:p>
    <w:p w:rsidR="00BE13DC" w:rsidRPr="00533898" w:rsidRDefault="00BE13DC" w:rsidP="00BE13DC">
      <w:pPr>
        <w:shd w:val="clear" w:color="auto" w:fill="FFFFFF"/>
        <w:ind w:firstLine="709"/>
        <w:jc w:val="center"/>
        <w:textAlignment w:val="baseline"/>
        <w:outlineLvl w:val="0"/>
        <w:rPr>
          <w:rFonts w:eastAsia="Times New Roman" w:cs="Times New Roman"/>
          <w:b/>
          <w:spacing w:val="15"/>
          <w:kern w:val="36"/>
          <w:szCs w:val="24"/>
          <w:lang w:eastAsia="ru-RU"/>
        </w:rPr>
      </w:pPr>
      <w:r w:rsidRPr="00533898">
        <w:rPr>
          <w:rFonts w:eastAsia="Times New Roman" w:cs="Times New Roman"/>
          <w:b/>
          <w:spacing w:val="15"/>
          <w:kern w:val="36"/>
          <w:szCs w:val="24"/>
          <w:lang w:eastAsia="ru-RU"/>
        </w:rPr>
        <w:t>Р</w:t>
      </w:r>
      <w:r>
        <w:rPr>
          <w:rFonts w:eastAsia="Times New Roman" w:cs="Times New Roman"/>
          <w:b/>
          <w:spacing w:val="15"/>
          <w:kern w:val="36"/>
          <w:szCs w:val="24"/>
          <w:lang w:eastAsia="ru-RU"/>
        </w:rPr>
        <w:t xml:space="preserve">ОЛЬ ИНФОРМАЦИОННЫХ РЕСУРСОВ ПРИ ПОДДЕРЖКЕ ПРИНЯТИЯ УПРАВЛЕНЧЕСКИХ РЕШЕНИЙ НА РЕГИОНАЛЬНОМ УРОВНЕ </w:t>
      </w:r>
    </w:p>
    <w:p w:rsidR="00BE13DC" w:rsidRPr="00533898" w:rsidRDefault="00BE13DC" w:rsidP="00BE13DC">
      <w:pPr>
        <w:shd w:val="clear" w:color="auto" w:fill="FFFFFF"/>
        <w:ind w:firstLine="709"/>
        <w:jc w:val="center"/>
        <w:textAlignment w:val="baseline"/>
        <w:outlineLvl w:val="0"/>
        <w:rPr>
          <w:rFonts w:eastAsia="Times New Roman" w:cs="Times New Roman"/>
          <w:b/>
          <w:spacing w:val="15"/>
          <w:kern w:val="36"/>
          <w:szCs w:val="24"/>
          <w:lang w:eastAsia="ru-RU"/>
        </w:rPr>
      </w:pPr>
    </w:p>
    <w:p w:rsidR="00BE13DC" w:rsidRDefault="00BE13DC" w:rsidP="00BE13DC">
      <w:pPr>
        <w:ind w:firstLine="567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i/>
          <w:szCs w:val="24"/>
          <w:shd w:val="clear" w:color="auto" w:fill="FFFFFF"/>
          <w:lang w:eastAsia="ru-RU"/>
        </w:rPr>
        <w:t>В тезисах раскрыты особенности принятия управленческих решений на региональном уровне, информационные ресурсы, на основе которых формируется административное решение в экономической системе на региональном уровне. Роль статистики в качестве инструмента в управлении экономикой. Предполагается, функциональная структура интегрированной системы поддержки регионального управления, рассматриваются особенности базы знаний.</w:t>
      </w:r>
    </w:p>
    <w:p w:rsidR="00BE13DC" w:rsidRPr="00533898" w:rsidRDefault="00BE13DC" w:rsidP="00BE13DC">
      <w:pPr>
        <w:ind w:firstLine="567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b/>
          <w:szCs w:val="24"/>
          <w:shd w:val="clear" w:color="auto" w:fill="FFFFFF"/>
          <w:lang w:eastAsia="ru-RU"/>
        </w:rPr>
        <w:t>Ключевые слова:</w:t>
      </w: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региональная экономическая система, поддержка принятия решений, статистика. 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val="en-US" w:eastAsia="ru-RU"/>
        </w:rPr>
      </w:pPr>
      <w:r w:rsidRPr="008B2BE8">
        <w:rPr>
          <w:rFonts w:eastAsia="Times New Roman" w:cs="Times New Roman"/>
          <w:b/>
          <w:szCs w:val="24"/>
          <w:shd w:val="clear" w:color="auto" w:fill="FFFFFF"/>
          <w:lang w:val="en-US" w:eastAsia="ru-RU"/>
        </w:rPr>
        <w:t>Keywords:</w:t>
      </w:r>
      <w:r w:rsidRPr="008B2BE8">
        <w:rPr>
          <w:rFonts w:eastAsia="Times New Roman" w:cs="Times New Roman"/>
          <w:szCs w:val="24"/>
          <w:shd w:val="clear" w:color="auto" w:fill="FFFFFF"/>
          <w:lang w:val="en-US" w:eastAsia="ru-RU"/>
        </w:rPr>
        <w:t xml:space="preserve"> regional economic system, decision support, statistics.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val="en-US" w:eastAsia="ru-RU"/>
        </w:rPr>
      </w:pP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b/>
          <w:szCs w:val="24"/>
          <w:shd w:val="clear" w:color="auto" w:fill="FFFFFF"/>
          <w:lang w:eastAsia="ru-RU"/>
        </w:rPr>
        <w:t>Постановка проблемы.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В любом экономическом уровне управления системой, важно сформировать правильные и эффективные управленческие решения. Основанием для принятия решений может служить полная и достоверная информация о состоянии системы и внешней среды, знание основных экономических законов и принципов управления, методов оптимизации. Использование новых информационных технологий, позволяет быстро принимать взвешенные решения, основанные на первичной обработке данных, с учетом знаний о системе. Важное место в процессе принятия решений также уделяется человеческому фактору. Проблемы принятия решений в экономической системе, являются предметом многих работ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В данной работе рассматриваются особенности принятия региональных управленческих решений, методов и информационных технологий, используемых при принятии управленческих решений, требования к информации, на основе которой, формируется решение в экономической системе на региональном уровне. Определяется место статистики как инструмента государственного управления экономикой. Обсуждается функциональная структура интегрированной системы регионального управления и особенности базы знаний.</w:t>
      </w:r>
    </w:p>
    <w:p w:rsidR="00BE13DC" w:rsidRDefault="00BE13DC" w:rsidP="00BE13DC">
      <w:pPr>
        <w:ind w:firstLine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Региональные управленческие решения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В экономической литературе существуют различные определения управленческого решения. В работе [5] под управленческим решением понимается выбор альтернатив, осуществляемых руководителем в рамках своих должностных полномочий и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направленный на достижение целей организации. Р. А.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Фатхутдинов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[4] дает такое определение: «Управленческое решение - это результат анализа, прогнозирования, оптимизации, экономического обоснования и выбора альтернатив из множества вариантов для достижения конкретной цели системы управления».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Особенности принятия решений по региональному управлению заключаются в том, что нужно учитывать территориальную специфику контролируемого объекта; более 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lastRenderedPageBreak/>
        <w:t>открытый характер управляемой региональной системы по сравнению с производственными объектами; опосредованный характер воздействия управленческих решений на управляемый объект; а также тот факт, что это всегда больше рекомендация, чем директива.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Анализ задач, решаемых современным руководителем в регионе, показал их следующую последовательность: мониторинг состояния финансовой стабильности региона на основе постоянного анализа доходов и расходов сторон частей территориального бюджета; определение эффективности коммерческих предприятий как основы налогооблагаемой базы региона; мониторинг экспортно-импортных операций в регионе и их доходов; рациональное использование природных ресурсов на территории и их эффективного воспроизводства; отслеживание демографической ситуации в регионе и ее элементов, таких как рождаемость и смертность населения, уровень и качество жизни, миграция и т. д.; разработка комплексных программ социально-экономического развития территории на основе принципов индикативного планирования; совершенствование структуры регионального управления, повышение ее эффективности и оптимизация обеспечения затрат на аппарат управления.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Согласно [5] управленческое решение включает в себя следующие этапы: подготовка, принятие и реализация решений. В рамках подготовки проводится экономический анализ ситуации на микро- и </w:t>
      </w:r>
      <w:proofErr w:type="gram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макро уровнях</w:t>
      </w:r>
      <w:proofErr w:type="gram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включающий поиск, сбор и обработку данных, а также выявляются и формируются проблемы, которые необходимо решить [2]. Существуют три возможных подхода к управленческим решениям: системный (включает в себя решения конкретной задачи в сочетании с решением всех проблем, стоящих перед организацией); ситуационный (основан на том, что использование конкретного способа решения проблемы зависит от ситуации); ресурсный (на основе решения задач за счет рационального распределения ресурсов) [5]. –Управленческие решения могут быть на основе фактических данных и интуитивные, последние, хотя и экономят время, но содержат вероятность ошибок и неопределенность. С целью повышения эффективности управленческих решений, можно использовать новые информационные технологии. При поддержке принятия решений являются предпочтительными методы оптимизации, интеллектуальные методы и средства искусственного интеллекта (базы знаний, экспертные системы и др.). Решение следует принимать, беря во внимание факторы риска и </w:t>
      </w: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неопределенность. К параметрам качества управленческих решений относят: индекс энтропии т.е. количественной неупорядоченности проблемы; риск инвестиций; вероятность осуществления решений по показателям качества, стоимости и сроков; адекватность теоретической модели фактическим данным, на основании которых она была разработана [4]. Качество любого управленческого решения всегда зависит от полноты и точности информационной базы, на основе которой оно разработано.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Информационные ресурсы 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Данные по экономической системе являются характеристиками фактов и событий. Деятельность по управлению на различных уровнях в организациях требует различных типов информации (табл. 1)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Информационное содержание определяется потребностями менеджеров и получаемых управленческих решений. Информация должна отвечать следующим требованиям: краткость, четкость формулировок, своевременность поступления; удовлетворение потребностей менеджеров; точность и надежность, правильный выбор первичной информации, систематизация и непрерывность сбора и обработки данных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При выборе решения по управлению, оно должно отвечать следующим требованиям: обоснованность; оптимальность выбора; правомочность; краткость и ясность; конкретность во времени; адресность, эффективность производительности. Эффективным решением является выбор, который будет реализован на практике, и сделает наиболее значительный вклад в достижение конечной цели.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lastRenderedPageBreak/>
        <w:t>Информация, которая записана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на материальных носителях, и хранятся в информационных системах (библиотеках, архивах, фондах, банках данных и других информационных системах), образует информационные ресурсы [6].</w:t>
      </w:r>
    </w:p>
    <w:p w:rsidR="00BE13DC" w:rsidRPr="00533898" w:rsidRDefault="00BE13DC" w:rsidP="00BE13DC">
      <w:pPr>
        <w:ind w:firstLine="709"/>
        <w:jc w:val="right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Таблица 1</w:t>
      </w:r>
    </w:p>
    <w:p w:rsidR="00BE13DC" w:rsidRPr="00533898" w:rsidRDefault="00BE13DC" w:rsidP="00BE13DC">
      <w:pPr>
        <w:ind w:firstLine="709"/>
        <w:jc w:val="center"/>
        <w:rPr>
          <w:rFonts w:eastAsia="Times New Roman" w:cs="Times New Roman"/>
          <w:b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b/>
          <w:szCs w:val="24"/>
          <w:shd w:val="clear" w:color="auto" w:fill="FFFFFF"/>
          <w:lang w:eastAsia="ru-RU"/>
        </w:rPr>
        <w:t>Виды информации, используемой на различных уровнях управления</w:t>
      </w:r>
    </w:p>
    <w:p w:rsidR="00BE13DC" w:rsidRPr="00533898" w:rsidRDefault="00BE13DC" w:rsidP="00BE13DC">
      <w:pPr>
        <w:ind w:firstLine="709"/>
        <w:jc w:val="center"/>
        <w:rPr>
          <w:rFonts w:eastAsia="Times New Roman" w:cs="Times New Roman"/>
          <w:b/>
          <w:szCs w:val="24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9"/>
        <w:gridCol w:w="4686"/>
      </w:tblGrid>
      <w:tr w:rsidR="00BE13DC" w:rsidRPr="00533898" w:rsidTr="008A07C0">
        <w:tc>
          <w:tcPr>
            <w:tcW w:w="4785" w:type="dxa"/>
          </w:tcPr>
          <w:p w:rsidR="00BE13DC" w:rsidRPr="00533898" w:rsidRDefault="00BE13DC" w:rsidP="008A07C0">
            <w:pPr>
              <w:jc w:val="center"/>
              <w:rPr>
                <w:szCs w:val="24"/>
                <w:shd w:val="clear" w:color="auto" w:fill="FFFFFF"/>
              </w:rPr>
            </w:pPr>
            <w:r w:rsidRPr="00533898">
              <w:rPr>
                <w:szCs w:val="24"/>
                <w:shd w:val="clear" w:color="auto" w:fill="FFFFFF"/>
              </w:rPr>
              <w:t>Уровень</w:t>
            </w:r>
          </w:p>
        </w:tc>
        <w:tc>
          <w:tcPr>
            <w:tcW w:w="4786" w:type="dxa"/>
          </w:tcPr>
          <w:p w:rsidR="00BE13DC" w:rsidRPr="00533898" w:rsidRDefault="00BE13DC" w:rsidP="008A07C0">
            <w:pPr>
              <w:jc w:val="center"/>
              <w:rPr>
                <w:szCs w:val="24"/>
                <w:shd w:val="clear" w:color="auto" w:fill="FFFFFF"/>
              </w:rPr>
            </w:pPr>
            <w:r w:rsidRPr="00533898">
              <w:rPr>
                <w:szCs w:val="24"/>
                <w:shd w:val="clear" w:color="auto" w:fill="FFFFFF"/>
              </w:rPr>
              <w:t>Используемая информация</w:t>
            </w:r>
          </w:p>
        </w:tc>
      </w:tr>
      <w:tr w:rsidR="00BE13DC" w:rsidRPr="00533898" w:rsidTr="008A07C0">
        <w:tc>
          <w:tcPr>
            <w:tcW w:w="4785" w:type="dxa"/>
          </w:tcPr>
          <w:p w:rsidR="00BE13DC" w:rsidRPr="00533898" w:rsidRDefault="00BE13DC" w:rsidP="008A07C0">
            <w:pPr>
              <w:jc w:val="center"/>
              <w:rPr>
                <w:szCs w:val="24"/>
                <w:shd w:val="clear" w:color="auto" w:fill="FFFFFF"/>
              </w:rPr>
            </w:pPr>
            <w:r w:rsidRPr="00533898">
              <w:rPr>
                <w:szCs w:val="24"/>
                <w:shd w:val="clear" w:color="auto" w:fill="FFFFFF"/>
              </w:rPr>
              <w:t>Стратегический менеджмент</w:t>
            </w: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Менеджмент подразделений</w:t>
            </w: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Операционный менеджмент</w:t>
            </w: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</w:p>
          <w:p w:rsidR="00BE13DC" w:rsidRPr="00533898" w:rsidRDefault="00BE13DC" w:rsidP="008A07C0">
            <w:pPr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Совершение сделок и их регистрация</w:t>
            </w:r>
          </w:p>
        </w:tc>
        <w:tc>
          <w:tcPr>
            <w:tcW w:w="4786" w:type="dxa"/>
          </w:tcPr>
          <w:p w:rsidR="00BE13DC" w:rsidRPr="00533898" w:rsidRDefault="00BE13DC" w:rsidP="008A07C0">
            <w:pPr>
              <w:rPr>
                <w:szCs w:val="24"/>
                <w:shd w:val="clear" w:color="auto" w:fill="FFFFFF"/>
              </w:rPr>
            </w:pPr>
            <w:r w:rsidRPr="00533898">
              <w:rPr>
                <w:szCs w:val="24"/>
                <w:shd w:val="clear" w:color="auto" w:fill="FFFFFF"/>
              </w:rPr>
              <w:t xml:space="preserve">Внутренняя и внешняя информация, необходимая для руководства и контроля за деятельностью подчиненных </w:t>
            </w:r>
            <w:proofErr w:type="spellStart"/>
            <w:proofErr w:type="gramStart"/>
            <w:r w:rsidRPr="00533898">
              <w:rPr>
                <w:szCs w:val="24"/>
                <w:shd w:val="clear" w:color="auto" w:fill="FFFFFF"/>
              </w:rPr>
              <w:t>подраз</w:t>
            </w:r>
            <w:proofErr w:type="spellEnd"/>
            <w:r w:rsidRPr="00533898">
              <w:rPr>
                <w:szCs w:val="24"/>
                <w:shd w:val="clear" w:color="auto" w:fill="FFFFFF"/>
              </w:rPr>
              <w:t>-делений</w:t>
            </w:r>
            <w:proofErr w:type="gramEnd"/>
            <w:r w:rsidRPr="00533898">
              <w:rPr>
                <w:szCs w:val="24"/>
                <w:shd w:val="clear" w:color="auto" w:fill="FFFFFF"/>
              </w:rPr>
              <w:t xml:space="preserve"> в организациях, распорядителей бюджетных средств и бюджетополучателей.</w:t>
            </w:r>
          </w:p>
          <w:p w:rsidR="00BE13DC" w:rsidRPr="00533898" w:rsidRDefault="00BE13DC" w:rsidP="008A07C0">
            <w:pPr>
              <w:rPr>
                <w:szCs w:val="24"/>
                <w:shd w:val="clear" w:color="auto" w:fill="FFFFFF"/>
              </w:rPr>
            </w:pPr>
          </w:p>
          <w:p w:rsidR="00BE13DC" w:rsidRPr="00533898" w:rsidRDefault="00BE13DC" w:rsidP="008A07C0">
            <w:pPr>
              <w:rPr>
                <w:szCs w:val="24"/>
                <w:shd w:val="clear" w:color="auto" w:fill="FFFFFF"/>
              </w:rPr>
            </w:pPr>
            <w:r w:rsidRPr="00533898">
              <w:rPr>
                <w:szCs w:val="24"/>
                <w:shd w:val="clear" w:color="auto" w:fill="FFFFFF"/>
              </w:rPr>
              <w:t>Внутренняя информация для планирования, реализации и мониторинга текущей деятельности</w:t>
            </w:r>
          </w:p>
          <w:p w:rsidR="00BE13DC" w:rsidRPr="00533898" w:rsidRDefault="00BE13DC" w:rsidP="008A07C0">
            <w:pPr>
              <w:rPr>
                <w:szCs w:val="24"/>
                <w:shd w:val="clear" w:color="auto" w:fill="FFFFFF"/>
              </w:rPr>
            </w:pPr>
          </w:p>
          <w:p w:rsidR="00BE13DC" w:rsidRPr="00533898" w:rsidRDefault="00BE13DC" w:rsidP="008A07C0">
            <w:pPr>
              <w:rPr>
                <w:szCs w:val="24"/>
                <w:shd w:val="clear" w:color="auto" w:fill="FFFFFF"/>
              </w:rPr>
            </w:pPr>
            <w:r w:rsidRPr="00533898">
              <w:rPr>
                <w:szCs w:val="24"/>
                <w:shd w:val="clear" w:color="auto" w:fill="FFFFFF"/>
              </w:rPr>
              <w:t xml:space="preserve">Сбор данных </w:t>
            </w:r>
            <w:proofErr w:type="gramStart"/>
            <w:r w:rsidRPr="00533898">
              <w:rPr>
                <w:szCs w:val="24"/>
                <w:shd w:val="clear" w:color="auto" w:fill="FFFFFF"/>
              </w:rPr>
              <w:t>о различных индивидуальных действий</w:t>
            </w:r>
            <w:proofErr w:type="gramEnd"/>
            <w:r w:rsidRPr="00533898">
              <w:rPr>
                <w:szCs w:val="24"/>
                <w:shd w:val="clear" w:color="auto" w:fill="FFFFFF"/>
              </w:rPr>
              <w:t>, которые имеют место в повседневной деятельности организации, администрации, общества</w:t>
            </w:r>
          </w:p>
          <w:p w:rsidR="00BE13DC" w:rsidRPr="00533898" w:rsidRDefault="00BE13DC" w:rsidP="008A07C0">
            <w:pPr>
              <w:rPr>
                <w:szCs w:val="24"/>
                <w:shd w:val="clear" w:color="auto" w:fill="FFFFFF"/>
              </w:rPr>
            </w:pPr>
          </w:p>
          <w:p w:rsidR="00BE13DC" w:rsidRPr="00533898" w:rsidRDefault="00BE13DC" w:rsidP="008A07C0">
            <w:pPr>
              <w:rPr>
                <w:szCs w:val="24"/>
                <w:shd w:val="clear" w:color="auto" w:fill="FFFFFF"/>
              </w:rPr>
            </w:pPr>
            <w:r w:rsidRPr="00533898">
              <w:rPr>
                <w:szCs w:val="24"/>
                <w:shd w:val="clear" w:color="auto" w:fill="FFFFFF"/>
              </w:rPr>
              <w:t>Внешняя информация для планирования будущего организации, общества, бюджетного процесса</w:t>
            </w:r>
          </w:p>
        </w:tc>
      </w:tr>
    </w:tbl>
    <w:p w:rsidR="00BE13DC" w:rsidRPr="00533898" w:rsidRDefault="00BE13DC" w:rsidP="00BE13DC">
      <w:pPr>
        <w:ind w:firstLine="709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BE13DC" w:rsidRPr="00533898" w:rsidRDefault="00BE13DC" w:rsidP="00BE13DC">
      <w:pPr>
        <w:ind w:firstLine="709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object w:dxaOrig="8574" w:dyaOrig="4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238.5pt" o:ole="">
            <v:imagedata r:id="rId5" o:title=""/>
          </v:shape>
          <o:OLEObject Type="Embed" ProgID="Visio.Drawing.11" ShapeID="_x0000_i1025" DrawAspect="Content" ObjectID="_1541596780" r:id="rId6"/>
        </w:object>
      </w:r>
    </w:p>
    <w:p w:rsidR="00BE13DC" w:rsidRPr="00533898" w:rsidRDefault="00BE13DC" w:rsidP="00BE13DC">
      <w:pPr>
        <w:ind w:firstLine="709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BE13DC" w:rsidRPr="00FB23C8" w:rsidRDefault="00BE13DC" w:rsidP="00BE13DC">
      <w:pPr>
        <w:jc w:val="center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FB23C8">
        <w:rPr>
          <w:rFonts w:eastAsia="Times New Roman" w:cs="Times New Roman"/>
          <w:szCs w:val="24"/>
          <w:shd w:val="clear" w:color="auto" w:fill="FFFFFF"/>
          <w:lang w:eastAsia="ru-RU"/>
        </w:rPr>
        <w:t>Рис. 1 Обобщенная модель управления экономикой государства</w:t>
      </w:r>
    </w:p>
    <w:p w:rsidR="00BE13DC" w:rsidRPr="00FB23C8" w:rsidRDefault="00BE13DC" w:rsidP="00BE13DC">
      <w:pPr>
        <w:jc w:val="center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FB23C8">
        <w:rPr>
          <w:rFonts w:eastAsia="Times New Roman" w:cs="Times New Roman"/>
          <w:szCs w:val="24"/>
          <w:shd w:val="clear" w:color="auto" w:fill="FFFFFF"/>
          <w:lang w:eastAsia="ru-RU"/>
        </w:rPr>
        <w:t>Для того, чтобы принимать управленческие решения, в зависимости от уровня могут быть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использованы государственные информационные ресурсы (Государственные ресурсы, информационные ресурсы субъектов государства, библиотечная сеть государства, архивный фонд государства, государственная система статистики, государственная система 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lastRenderedPageBreak/>
        <w:t xml:space="preserve">научно-технической информации), системы правовой информации, биржевая и финансовая информация, коммерческая </w:t>
      </w: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информация.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Роль статистики как инструмента системы государственного управления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 xml:space="preserve">Обобщенная модель управления экономикой государства (рис. 1) позволяет визуализировать функцию органов государственной статистики, как функцию обратной связи, которая заключается в предоставлении органам управления всей необходимой статистической информации о развитии отраслей экономики и деятельности субъектов хозяйствования, где </w:t>
      </w:r>
      <w:r w:rsidRPr="008B2BE8">
        <w:rPr>
          <w:rFonts w:eastAsia="Times New Roman" w:cs="Times New Roman"/>
          <w:position w:val="-10"/>
          <w:szCs w:val="24"/>
          <w:shd w:val="clear" w:color="auto" w:fill="FFFFFF"/>
          <w:lang w:eastAsia="ru-RU"/>
        </w:rPr>
        <w:object w:dxaOrig="2520" w:dyaOrig="380">
          <v:shape id="_x0000_i1026" type="#_x0000_t75" style="width:127.5pt;height:19.5pt" o:ole="">
            <v:imagedata r:id="rId7" o:title=""/>
          </v:shape>
          <o:OLEObject Type="Embed" ProgID="Equation.3" ShapeID="_x0000_i1026" DrawAspect="Content" ObjectID="_1541596781" r:id="rId8"/>
        </w:object>
      </w: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 xml:space="preserve">— фактор неопределенности, </w:t>
      </w:r>
      <w:r w:rsidRPr="008B2BE8">
        <w:rPr>
          <w:rFonts w:eastAsia="Times New Roman" w:cs="Times New Roman"/>
          <w:position w:val="-10"/>
          <w:szCs w:val="24"/>
          <w:shd w:val="clear" w:color="auto" w:fill="FFFFFF"/>
          <w:lang w:eastAsia="ru-RU"/>
        </w:rPr>
        <w:object w:dxaOrig="460" w:dyaOrig="380">
          <v:shape id="_x0000_i1027" type="#_x0000_t75" style="width:22.5pt;height:19.5pt" o:ole="">
            <v:imagedata r:id="rId9" o:title=""/>
          </v:shape>
          <o:OLEObject Type="Embed" ProgID="Equation.3" ShapeID="_x0000_i1027" DrawAspect="Content" ObjectID="_1541596782" r:id="rId10"/>
        </w:object>
      </w: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— фактор слабой структуризации, </w:t>
      </w:r>
      <w:r w:rsidRPr="008B2BE8">
        <w:rPr>
          <w:rFonts w:eastAsia="Times New Roman" w:cs="Times New Roman"/>
          <w:position w:val="-10"/>
          <w:szCs w:val="24"/>
          <w:shd w:val="clear" w:color="auto" w:fill="FFFFFF"/>
          <w:lang w:eastAsia="ru-RU"/>
        </w:rPr>
        <w:object w:dxaOrig="499" w:dyaOrig="380">
          <v:shape id="_x0000_i1028" type="#_x0000_t75" style="width:24.75pt;height:19.5pt" o:ole="">
            <v:imagedata r:id="rId11" o:title=""/>
          </v:shape>
          <o:OLEObject Type="Embed" ProgID="Equation.3" ShapeID="_x0000_i1028" DrawAspect="Content" ObjectID="_1541596783" r:id="rId12"/>
        </w:object>
      </w: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 xml:space="preserve">— фактор стохастической среды, </w:t>
      </w:r>
      <w:r w:rsidRPr="008B2BE8">
        <w:rPr>
          <w:rFonts w:eastAsia="Times New Roman" w:cs="Times New Roman"/>
          <w:position w:val="-10"/>
          <w:szCs w:val="24"/>
          <w:shd w:val="clear" w:color="auto" w:fill="FFFFFF"/>
          <w:lang w:eastAsia="ru-RU"/>
        </w:rPr>
        <w:object w:dxaOrig="380" w:dyaOrig="380">
          <v:shape id="_x0000_i1029" type="#_x0000_t75" style="width:19.5pt;height:19.5pt" o:ole="">
            <v:imagedata r:id="rId13" o:title=""/>
          </v:shape>
          <o:OLEObject Type="Embed" ProgID="Equation.3" ShapeID="_x0000_i1029" DrawAspect="Content" ObjectID="_1541596784" r:id="rId14"/>
        </w:object>
      </w: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— фактор риска, </w:t>
      </w:r>
      <w:r w:rsidRPr="008B2BE8">
        <w:rPr>
          <w:rFonts w:eastAsia="Times New Roman" w:cs="Times New Roman"/>
          <w:position w:val="-10"/>
          <w:szCs w:val="24"/>
          <w:shd w:val="clear" w:color="auto" w:fill="FFFFFF"/>
          <w:lang w:eastAsia="ru-RU"/>
        </w:rPr>
        <w:object w:dxaOrig="460" w:dyaOrig="380">
          <v:shape id="_x0000_i1030" type="#_x0000_t75" style="width:22.5pt;height:19.5pt" o:ole="">
            <v:imagedata r:id="rId15" o:title=""/>
          </v:shape>
          <o:OLEObject Type="Embed" ProgID="Equation.3" ShapeID="_x0000_i1030" DrawAspect="Content" ObjectID="_1541596785" r:id="rId16"/>
        </w:object>
      </w: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 xml:space="preserve">— недостаточность информации; </w:t>
      </w:r>
      <w:r w:rsidRPr="008B2BE8">
        <w:rPr>
          <w:rFonts w:eastAsia="Times New Roman" w:cs="Times New Roman"/>
          <w:position w:val="-4"/>
          <w:szCs w:val="24"/>
          <w:shd w:val="clear" w:color="auto" w:fill="FFFFFF"/>
          <w:lang w:eastAsia="ru-RU"/>
        </w:rPr>
        <w:object w:dxaOrig="200" w:dyaOrig="260">
          <v:shape id="_x0000_i1031" type="#_x0000_t75" style="width:11.25pt;height:13.5pt" o:ole="">
            <v:imagedata r:id="rId17" o:title=""/>
          </v:shape>
          <o:OLEObject Type="Embed" ProgID="Equation.3" ShapeID="_x0000_i1031" DrawAspect="Content" ObjectID="_1541596786" r:id="rId18"/>
        </w:object>
      </w: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 xml:space="preserve">— документы, информационные ресурсы и т.п.; </w:t>
      </w:r>
      <w:r w:rsidRPr="008B2BE8">
        <w:rPr>
          <w:rFonts w:eastAsia="Times New Roman" w:cs="Times New Roman"/>
          <w:position w:val="-4"/>
          <w:szCs w:val="24"/>
          <w:shd w:val="clear" w:color="auto" w:fill="FFFFFF"/>
          <w:lang w:eastAsia="ru-RU"/>
        </w:rPr>
        <w:object w:dxaOrig="300" w:dyaOrig="260">
          <v:shape id="_x0000_i1032" type="#_x0000_t75" style="width:13.5pt;height:13.5pt" o:ole="">
            <v:imagedata r:id="rId19" o:title=""/>
          </v:shape>
          <o:OLEObject Type="Embed" ProgID="Equation.3" ShapeID="_x0000_i1032" DrawAspect="Content" ObjectID="_1541596787" r:id="rId20"/>
        </w:object>
      </w: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— документ (информация об отклонении управляющих параметров от нормы).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Под объектом управления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понимается элемент системы, который для нормального функционирования нуждается в систематическом контроле и регулировании. Объектами управления являются отрасли экономики, их предприятия и организации, являющиеся объектами статистического наблюдения. Для управления ими создается управляющая система, которая гарантирует их своевременное приведение к необходимому функционированию. Органы управления влияют на объекты управления путем прямой связи (задания) и обратной связи (отчетность) через органы государственной статистики.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Органы государственной статистики, информируя органы государственного управления и местного самоуправления по развитию отраслей экономики, выполняют важные, своего рода функции сигнализации, выражающиеся в том, что управляющая информация в виде заданий была принята, и намечаемые действия объектов управления зафиксированы, исходя из фактического положения дел — выполнения или невыполнения ими этих заданий.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Для управления экономикой региона могут быть представлены аналогичные модели. Регион как объект управления, является организацией, со своей структурой, культурой и уровнем развития, которая функционирует во внешней среде, испытывая на себе ее правовое, экономическое и общее регулирующее влияние, и в то же время решает ряд внутренних проблем, связанных с использованием территориальных ресурсов, решением комплекса социально-экономических задач, а также вопросов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самообеспечения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и самодостаточности.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В этих условиях региональные администрации должны найти такие управленческие решения, которые могут значительно улучшить их деятельность во всех сферах экономической жизни. Региональные отделения статистики, находясь в непосредственной близости и постоянном информационном контакте с предприятиями и </w:t>
      </w: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организациями и предоставляя им практическую помощь в постановке учета и отчетности, являются основными источниками информации об их деятельности.</w:t>
      </w:r>
    </w:p>
    <w:p w:rsidR="00BE13DC" w:rsidRPr="008B2BE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Функциональная структура интегрированной системы поддержки регионального управления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B2BE8">
        <w:rPr>
          <w:rFonts w:eastAsia="Times New Roman" w:cs="Times New Roman"/>
          <w:szCs w:val="24"/>
          <w:shd w:val="clear" w:color="auto" w:fill="FFFFFF"/>
          <w:lang w:eastAsia="ru-RU"/>
        </w:rPr>
        <w:t>Для решения задач управления менеджерам необходим инструментарий, который позволил бы координировать работу всех секторов народного хозяйства, как по их технологической специализации, так и по формам собственности, а также гарантировать прочную основу для их развития и последующих трансформаций. Использование такого инструментария возможно только на основе автоматизации основных социально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-экономических процессов региона, которая должна быть не только средством выживания территории, но и фактором наиболее эффективного управления, обеспечивающим минимизацию затрат на содержание аппарата управления и повышение дохода функционирования региональной экономической системы.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Интегрированная система поддержки регионального управления (рис. 2) функционально предполагает включение следующих блоков: информационного ("внешние информационные ресурсы" - информационные ресурсы, сформированные за пределами 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lastRenderedPageBreak/>
        <w:t xml:space="preserve">региона, "информационные ресурсы региона" - информационные ресурсы, полученные в рамках региона, "хранилище данных" - данные прошедшие обработку, база знаний (БЗ), база данных (БД) сценариев); предварительной обработки информации - представление данных в формате, пригодном для дальнейшей обработки или представления лицу, принимающему решения (ЛПР); подсистемы формирования результатов для принятия решений (экономико-математическое моделирование, интеллектуальная обработка данных, обработка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слабоформализуемой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информации); формирования сценариев с помощью механизмов и методов управления и регулирования регионом; интерфейса. Информационные ресурсы региона формируются в различных сферах деятельности региона (ресурсный потенциал региона).</w:t>
      </w:r>
    </w:p>
    <w:p w:rsidR="00BE13DC" w:rsidRPr="00FB23C8" w:rsidRDefault="00BE13DC" w:rsidP="00BE13DC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object w:dxaOrig="8786" w:dyaOrig="6974">
          <v:shape id="_x0000_i1033" type="#_x0000_t75" style="width:440.25pt;height:348.75pt" o:ole="">
            <v:imagedata r:id="rId21" o:title=""/>
          </v:shape>
          <o:OLEObject Type="Embed" ProgID="Visio.Drawing.11" ShapeID="_x0000_i1033" DrawAspect="Content" ObjectID="_1541596788" r:id="rId22"/>
        </w:object>
      </w:r>
      <w:r w:rsidRPr="00FB23C8">
        <w:rPr>
          <w:rFonts w:eastAsia="Times New Roman" w:cs="Times New Roman"/>
          <w:szCs w:val="24"/>
          <w:lang w:eastAsia="ru-RU"/>
        </w:rPr>
        <w:t>Рис. 2. Интегрированная система поддержки регионального управления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FB23C8">
        <w:rPr>
          <w:rFonts w:eastAsia="Times New Roman" w:cs="Times New Roman"/>
          <w:szCs w:val="24"/>
          <w:shd w:val="clear" w:color="auto" w:fill="FFFFFF"/>
          <w:lang w:eastAsia="ru-RU"/>
        </w:rPr>
        <w:t>Одна из задач при разработке информационных систем для поддержки регионального управления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заключается в определении структуры и состава информации, необходимой для решения задач предметной области, т.е. построения ее модели. Для предлагаемой системы ресурсный потенциал формируется в процессе социально-экономической деятельности региона (финансово-бюджетная сфера, внешнеэкономические связи, природно-экологическая сфера, трудовые ресурсы и социальная сфера, производство, сфера услуг, транспорт, связь, аграрная сфера). Такое разнообразие направлений деятельности в регионе, который представляет собой сложную систему, приводит к огромному разнообразию задач возникающих в этих сферах, а также структур и составу информации. При изучении региональной системы, авторы предлагают использовать функционально-ориентированный подход, предполагающий декомпозицию задач.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В интегрированной системе поддержки регионального управления принимают участие эксперты различных проблемных областей - производство, финансы, экология и т.д., знания которых могут сформировать полное представление о регионе.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Средством формализации общего представления экспертов о системе служит концептуальная модель следующего </w:t>
      </w:r>
      <w:proofErr w:type="gram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вида:</w:t>
      </w:r>
      <w:r w:rsidRPr="00533898">
        <w:rPr>
          <w:rFonts w:eastAsia="Times New Roman" w:cs="Times New Roman"/>
          <w:position w:val="-14"/>
          <w:szCs w:val="24"/>
          <w:shd w:val="clear" w:color="auto" w:fill="FFFFFF"/>
          <w:lang w:eastAsia="ru-RU"/>
        </w:rPr>
        <w:object w:dxaOrig="1400" w:dyaOrig="400">
          <v:shape id="_x0000_i1034" type="#_x0000_t75" style="width:69pt;height:19.5pt" o:ole="">
            <v:imagedata r:id="rId23" o:title=""/>
          </v:shape>
          <o:OLEObject Type="Embed" ProgID="Equation.3" ShapeID="_x0000_i1034" DrawAspect="Content" ObjectID="_1541596789" r:id="rId24"/>
        </w:objec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,</w:t>
      </w:r>
      <w:proofErr w:type="gram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где </w:t>
      </w:r>
      <w:r w:rsidRPr="00533898">
        <w:rPr>
          <w:rFonts w:eastAsia="Times New Roman" w:cs="Times New Roman"/>
          <w:position w:val="-4"/>
          <w:szCs w:val="24"/>
          <w:shd w:val="clear" w:color="auto" w:fill="FFFFFF"/>
          <w:lang w:eastAsia="ru-RU"/>
        </w:rPr>
        <w:object w:dxaOrig="260" w:dyaOrig="260">
          <v:shape id="_x0000_i1035" type="#_x0000_t75" style="width:13.5pt;height:13.5pt" o:ole="">
            <v:imagedata r:id="rId25" o:title=""/>
          </v:shape>
          <o:OLEObject Type="Embed" ProgID="Equation.3" ShapeID="_x0000_i1035" DrawAspect="Content" ObjectID="_1541596790" r:id="rId26"/>
        </w:objec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- множество данных 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lastRenderedPageBreak/>
        <w:t>(ресурсов, характеризующих состояние системы);</w:t>
      </w:r>
      <w:r w:rsidRPr="00533898">
        <w:rPr>
          <w:rFonts w:eastAsia="Times New Roman" w:cs="Times New Roman"/>
          <w:szCs w:val="24"/>
          <w:shd w:val="clear" w:color="auto" w:fill="FFFFFF"/>
          <w:lang w:val="uk-UA" w:eastAsia="ru-RU"/>
        </w:rPr>
        <w:t xml:space="preserve"> </w:t>
      </w:r>
      <w:r w:rsidRPr="00533898">
        <w:rPr>
          <w:rFonts w:eastAsia="Times New Roman" w:cs="Times New Roman"/>
          <w:position w:val="-4"/>
          <w:szCs w:val="24"/>
          <w:shd w:val="clear" w:color="auto" w:fill="FFFFFF"/>
          <w:lang w:val="uk-UA" w:eastAsia="ru-RU"/>
        </w:rPr>
        <w:object w:dxaOrig="240" w:dyaOrig="260">
          <v:shape id="_x0000_i1036" type="#_x0000_t75" style="width:11.25pt;height:13.5pt" o:ole="">
            <v:imagedata r:id="rId27" o:title=""/>
          </v:shape>
          <o:OLEObject Type="Embed" ProgID="Equation.3" ShapeID="_x0000_i1036" DrawAspect="Content" ObjectID="_1541596791" r:id="rId28"/>
        </w:objec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- совокупность процессов преобразования данных (процесс - действие, позволяющее преобразовать подмножество входных ресурсов в подмножество выходных); - отношения следования процессов. Примерами подмножеств данных могут быть значения коэффициентов ликвидности обеспеченности собственными средствами предприятия, которые участвуют (при сравнении с нормативными значениями - процесс преобразования данных) в классификации компаний на две группы: "банкротство" и "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небанкротов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". На основе прогнозных значений (прогноз служит процессом преобразования данных), перечисленных коэффициентов на будущие периоды на основе известных значений предыдущих периодов формируются выводы о финансовом положении организации на ближайшее будущее.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База знаний содержит модели принятия решений: дерево целей, (рис. 3) дерево вывода (И-ИЛИ), семантические сети и др. Дерево вывода (И-ИЛИ), в узлах которого указаны условия, содержит правила для определения коэффициента достоверности некоторой гипотезы (заключения). Для каждого узла определены коэффициенты определенности условий, для каждой дуги — коэффициенты определенности правила. Значение коэффициентов определенности колеблется от -1 (полная неопределенность) до 1 (полная определенность). Примерами условий могут служить — </w:t>
      </w:r>
      <w:r w:rsidRPr="00533898">
        <w:rPr>
          <w:rFonts w:eastAsia="Times New Roman" w:cs="Times New Roman"/>
          <w:i/>
          <w:szCs w:val="24"/>
          <w:shd w:val="clear" w:color="auto" w:fill="FFFFFF"/>
          <w:lang w:val="en-US" w:eastAsia="ru-RU"/>
        </w:rPr>
        <w:t>A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осуществлены инвестиции в оборудование, </w:t>
      </w:r>
      <w:r w:rsidRPr="00533898">
        <w:rPr>
          <w:rFonts w:eastAsia="Times New Roman" w:cs="Times New Roman"/>
          <w:i/>
          <w:szCs w:val="24"/>
          <w:shd w:val="clear" w:color="auto" w:fill="FFFFFF"/>
          <w:lang w:val="en-US" w:eastAsia="ru-RU"/>
        </w:rPr>
        <w:t>B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— система налогообложения стабильна, </w:t>
      </w:r>
      <w:r w:rsidRPr="00533898">
        <w:rPr>
          <w:rFonts w:eastAsia="Times New Roman" w:cs="Times New Roman"/>
          <w:i/>
          <w:szCs w:val="24"/>
          <w:shd w:val="clear" w:color="auto" w:fill="FFFFFF"/>
          <w:lang w:val="en-US" w:eastAsia="ru-RU"/>
        </w:rPr>
        <w:t>C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— управленческие затраты в текущем году не возросли, заключением — </w:t>
      </w:r>
      <w:r w:rsidRPr="00533898">
        <w:rPr>
          <w:rFonts w:eastAsia="Times New Roman" w:cs="Times New Roman"/>
          <w:i/>
          <w:szCs w:val="24"/>
          <w:shd w:val="clear" w:color="auto" w:fill="FFFFFF"/>
          <w:lang w:val="en-US" w:eastAsia="ru-RU"/>
        </w:rPr>
        <w:t>D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— затраты не возросли. Правила выглядят следующим образом: Если </w:t>
      </w:r>
      <w:r w:rsidRPr="00533898">
        <w:rPr>
          <w:rFonts w:eastAsia="Times New Roman" w:cs="Times New Roman"/>
          <w:i/>
          <w:szCs w:val="24"/>
          <w:shd w:val="clear" w:color="auto" w:fill="FFFFFF"/>
          <w:lang w:val="en-US" w:eastAsia="ru-RU"/>
        </w:rPr>
        <w:t>A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то </w:t>
      </w:r>
      <w:r w:rsidRPr="00533898">
        <w:rPr>
          <w:rFonts w:eastAsia="Times New Roman" w:cs="Times New Roman"/>
          <w:i/>
          <w:szCs w:val="24"/>
          <w:shd w:val="clear" w:color="auto" w:fill="FFFFFF"/>
          <w:lang w:val="en-US" w:eastAsia="ru-RU"/>
        </w:rPr>
        <w:t>D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; если </w:t>
      </w:r>
      <w:r w:rsidRPr="00533898">
        <w:rPr>
          <w:rFonts w:eastAsia="Times New Roman" w:cs="Times New Roman"/>
          <w:i/>
          <w:szCs w:val="24"/>
          <w:shd w:val="clear" w:color="auto" w:fill="FFFFFF"/>
          <w:lang w:val="en-US" w:eastAsia="ru-RU"/>
        </w:rPr>
        <w:t>B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то </w:t>
      </w:r>
      <w:r w:rsidRPr="00533898">
        <w:rPr>
          <w:rFonts w:eastAsia="Times New Roman" w:cs="Times New Roman"/>
          <w:i/>
          <w:szCs w:val="24"/>
          <w:shd w:val="clear" w:color="auto" w:fill="FFFFFF"/>
          <w:lang w:val="en-US" w:eastAsia="ru-RU"/>
        </w:rPr>
        <w:t>D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; если </w:t>
      </w:r>
      <w:r w:rsidRPr="00533898">
        <w:rPr>
          <w:rFonts w:eastAsia="Times New Roman" w:cs="Times New Roman"/>
          <w:i/>
          <w:szCs w:val="24"/>
          <w:shd w:val="clear" w:color="auto" w:fill="FFFFFF"/>
          <w:lang w:eastAsia="ru-RU"/>
        </w:rPr>
        <w:t>А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то </w:t>
      </w:r>
      <w:r w:rsidRPr="00533898">
        <w:rPr>
          <w:rFonts w:eastAsia="Times New Roman" w:cs="Times New Roman"/>
          <w:i/>
          <w:szCs w:val="24"/>
          <w:shd w:val="clear" w:color="auto" w:fill="FFFFFF"/>
          <w:lang w:val="en-US" w:eastAsia="ru-RU"/>
        </w:rPr>
        <w:t>C</w:t>
      </w:r>
      <w:r w:rsidRPr="00533898">
        <w:rPr>
          <w:rFonts w:eastAsia="Times New Roman" w:cs="Times New Roman"/>
          <w:i/>
          <w:szCs w:val="24"/>
          <w:shd w:val="clear" w:color="auto" w:fill="FFFFFF"/>
          <w:lang w:eastAsia="ru-RU"/>
        </w:rPr>
        <w:t xml:space="preserve">. 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При выполнении соответствующих расчетов можно принять решение.</w:t>
      </w:r>
    </w:p>
    <w:p w:rsidR="00BE13DC" w:rsidRPr="00533898" w:rsidRDefault="00BE13DC" w:rsidP="00BE13DC">
      <w:pPr>
        <w:ind w:firstLine="709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object w:dxaOrig="7788" w:dyaOrig="5448">
          <v:shape id="_x0000_i1037" type="#_x0000_t75" style="width:390.75pt;height:240.75pt" o:ole="">
            <v:imagedata r:id="rId29" o:title=""/>
          </v:shape>
          <o:OLEObject Type="Embed" ProgID="Visio.Drawing.11" ShapeID="_x0000_i1037" DrawAspect="Content" ObjectID="_1541596792" r:id="rId30"/>
        </w:object>
      </w:r>
    </w:p>
    <w:p w:rsidR="00BE13DC" w:rsidRPr="00FB23C8" w:rsidRDefault="00BE13DC" w:rsidP="00BE13DC">
      <w:pPr>
        <w:ind w:firstLine="709"/>
        <w:jc w:val="center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FB23C8">
        <w:rPr>
          <w:rFonts w:eastAsia="Times New Roman" w:cs="Times New Roman"/>
          <w:szCs w:val="24"/>
          <w:shd w:val="clear" w:color="auto" w:fill="FFFFFF"/>
          <w:lang w:eastAsia="ru-RU"/>
        </w:rPr>
        <w:t>Рис. 3. Фрагмент базы знаний (дерево целей).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FB23C8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Правила: для уровней рентабельности </w:t>
      </w:r>
      <w:r w:rsidRPr="00FB23C8">
        <w:rPr>
          <w:rFonts w:eastAsia="Times New Roman" w:cs="Times New Roman"/>
          <w:position w:val="-10"/>
          <w:szCs w:val="24"/>
          <w:shd w:val="clear" w:color="auto" w:fill="FFFFFF"/>
          <w:lang w:eastAsia="ru-RU"/>
        </w:rPr>
        <w:object w:dxaOrig="1400" w:dyaOrig="320">
          <v:shape id="_x0000_i1038" type="#_x0000_t75" style="width:69pt;height:16.5pt" o:ole="">
            <v:imagedata r:id="rId31" o:title=""/>
          </v:shape>
          <o:OLEObject Type="Embed" ProgID="Equation.3" ShapeID="_x0000_i1038" DrawAspect="Content" ObjectID="_1541596793" r:id="rId32"/>
        </w:object>
      </w:r>
      <w:r w:rsidRPr="00FB23C8">
        <w:rPr>
          <w:rFonts w:eastAsia="Times New Roman" w:cs="Times New Roman"/>
          <w:szCs w:val="24"/>
          <w:shd w:val="clear" w:color="auto" w:fill="FFFFFF"/>
          <w:lang w:eastAsia="ru-RU"/>
        </w:rPr>
        <w:t xml:space="preserve">+ 7 = 1; прибыли </w:t>
      </w:r>
      <w:r w:rsidRPr="00FB23C8">
        <w:rPr>
          <w:rFonts w:eastAsia="Times New Roman" w:cs="Times New Roman"/>
          <w:position w:val="-10"/>
          <w:szCs w:val="24"/>
          <w:shd w:val="clear" w:color="auto" w:fill="FFFFFF"/>
          <w:lang w:eastAsia="ru-RU"/>
        </w:rPr>
        <w:object w:dxaOrig="1020" w:dyaOrig="320">
          <v:shape id="_x0000_i1039" type="#_x0000_t75" style="width:49.5pt;height:16.5pt" o:ole="">
            <v:imagedata r:id="rId33" o:title=""/>
          </v:shape>
          <o:OLEObject Type="Embed" ProgID="Equation.3" ShapeID="_x0000_i1039" DrawAspect="Content" ObjectID="_1541596794" r:id="rId34"/>
        </w:object>
      </w:r>
      <w:r w:rsidRPr="00FB23C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выручки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Pr="00533898">
        <w:rPr>
          <w:rFonts w:eastAsia="Times New Roman" w:cs="Times New Roman"/>
          <w:position w:val="-10"/>
          <w:szCs w:val="24"/>
          <w:shd w:val="clear" w:color="auto" w:fill="FFFFFF"/>
          <w:lang w:eastAsia="ru-RU"/>
        </w:rPr>
        <w:object w:dxaOrig="1420" w:dyaOrig="320">
          <v:shape id="_x0000_i1040" type="#_x0000_t75" style="width:1in;height:16.5pt" o:ole="">
            <v:imagedata r:id="rId35" o:title=""/>
          </v:shape>
          <o:OLEObject Type="Embed" ProgID="Equation.3" ShapeID="_x0000_i1040" DrawAspect="Content" ObjectID="_1541596795" r:id="rId36"/>
        </w:object>
      </w:r>
      <w:r w:rsidRPr="00533898">
        <w:rPr>
          <w:rFonts w:eastAsia="Times New Roman" w:cs="Times New Roman"/>
          <w:position w:val="-4"/>
          <w:szCs w:val="24"/>
          <w:shd w:val="clear" w:color="auto" w:fill="FFFFFF"/>
          <w:lang w:eastAsia="ru-RU"/>
        </w:rPr>
        <w:object w:dxaOrig="420" w:dyaOrig="260">
          <v:shape id="_x0000_i1041" type="#_x0000_t75" style="width:22.5pt;height:13.5pt" o:ole="">
            <v:imagedata r:id="rId37" o:title=""/>
          </v:shape>
          <o:OLEObject Type="Embed" ProgID="Equation.3" ShapeID="_x0000_i1041" DrawAspect="Content" ObjectID="_1541596796" r:id="rId38"/>
        </w:objec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— повысить рентабельность предприятий;</w:t>
      </w:r>
      <w:r w:rsidRPr="00533898">
        <w:rPr>
          <w:rFonts w:eastAsia="Times New Roman" w:cs="Times New Roman"/>
          <w:position w:val="-4"/>
          <w:szCs w:val="24"/>
          <w:shd w:val="clear" w:color="auto" w:fill="FFFFFF"/>
          <w:lang w:eastAsia="ru-RU"/>
        </w:rPr>
        <w:object w:dxaOrig="480" w:dyaOrig="260">
          <v:shape id="_x0000_i1042" type="#_x0000_t75" style="width:24.75pt;height:13.5pt" o:ole="">
            <v:imagedata r:id="rId39" o:title=""/>
          </v:shape>
          <o:OLEObject Type="Embed" ProgID="Equation.3" ShapeID="_x0000_i1042" DrawAspect="Content" ObjectID="_1541596797" r:id="rId40"/>
        </w:objec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— увеличить прибыль отчетного периода;</w:t>
      </w:r>
      <w:r w:rsidRPr="00533898">
        <w:rPr>
          <w:rFonts w:eastAsia="Times New Roman" w:cs="Times New Roman"/>
          <w:position w:val="-4"/>
          <w:szCs w:val="24"/>
          <w:shd w:val="clear" w:color="auto" w:fill="FFFFFF"/>
          <w:lang w:eastAsia="ru-RU"/>
        </w:rPr>
        <w:object w:dxaOrig="440" w:dyaOrig="260">
          <v:shape id="_x0000_i1043" type="#_x0000_t75" style="width:22.5pt;height:13.5pt" o:ole="">
            <v:imagedata r:id="rId41" o:title=""/>
          </v:shape>
          <o:OLEObject Type="Embed" ProgID="Equation.3" ShapeID="_x0000_i1043" DrawAspect="Content" ObjectID="_1541596798" r:id="rId42"/>
        </w:objec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— снизить среднегодовую стоимость основных фондов;</w:t>
      </w:r>
      <w:r w:rsidRPr="00533898">
        <w:rPr>
          <w:rFonts w:eastAsia="Times New Roman" w:cs="Times New Roman"/>
          <w:position w:val="-6"/>
          <w:szCs w:val="24"/>
          <w:shd w:val="clear" w:color="auto" w:fill="FFFFFF"/>
          <w:lang w:eastAsia="ru-RU"/>
        </w:rPr>
        <w:object w:dxaOrig="440" w:dyaOrig="279">
          <v:shape id="_x0000_i1044" type="#_x0000_t75" style="width:22.5pt;height:13.5pt" o:ole="">
            <v:imagedata r:id="rId43" o:title=""/>
          </v:shape>
          <o:OLEObject Type="Embed" ProgID="Equation.3" ShapeID="_x0000_i1044" DrawAspect="Content" ObjectID="_1541596799" r:id="rId44"/>
        </w:objec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— снизить среднюю стоимость остатков материальных оборотных средств; </w:t>
      </w:r>
      <w:r w:rsidRPr="00533898">
        <w:rPr>
          <w:rFonts w:eastAsia="Times New Roman" w:cs="Times New Roman"/>
          <w:position w:val="-4"/>
          <w:szCs w:val="24"/>
          <w:shd w:val="clear" w:color="auto" w:fill="FFFFFF"/>
          <w:lang w:eastAsia="ru-RU"/>
        </w:rPr>
        <w:object w:dxaOrig="420" w:dyaOrig="260">
          <v:shape id="_x0000_i1045" type="#_x0000_t75" style="width:22.5pt;height:13.5pt" o:ole="">
            <v:imagedata r:id="rId45" o:title=""/>
          </v:shape>
          <o:OLEObject Type="Embed" ProgID="Equation.3" ShapeID="_x0000_i1045" DrawAspect="Content" ObjectID="_1541596800" r:id="rId46"/>
        </w:objec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— увеличить выручку от реализации товаров, продукции, работ, услуг; </w:t>
      </w:r>
      <w:r w:rsidRPr="00533898">
        <w:rPr>
          <w:rFonts w:eastAsia="Times New Roman" w:cs="Times New Roman"/>
          <w:position w:val="-4"/>
          <w:szCs w:val="24"/>
          <w:shd w:val="clear" w:color="auto" w:fill="FFFFFF"/>
          <w:lang w:eastAsia="ru-RU"/>
        </w:rPr>
        <w:object w:dxaOrig="220" w:dyaOrig="260">
          <v:shape id="_x0000_i1046" type="#_x0000_t75" style="width:11.25pt;height:13.5pt" o:ole="">
            <v:imagedata r:id="rId47" o:title=""/>
          </v:shape>
          <o:OLEObject Type="Embed" ProgID="Equation.3" ShapeID="_x0000_i1046" DrawAspect="Content" ObjectID="_1541596801" r:id="rId48"/>
        </w:objec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— снизить себестоимость от реализации товаров, продукции, работ, услуг; </w:t>
      </w:r>
      <w:r w:rsidRPr="00533898">
        <w:rPr>
          <w:rFonts w:eastAsia="Times New Roman" w:cs="Times New Roman"/>
          <w:position w:val="-6"/>
          <w:szCs w:val="24"/>
          <w:shd w:val="clear" w:color="auto" w:fill="FFFFFF"/>
          <w:lang w:eastAsia="ru-RU"/>
        </w:rPr>
        <w:object w:dxaOrig="440" w:dyaOrig="279">
          <v:shape id="_x0000_i1047" type="#_x0000_t75" style="width:22.5pt;height:13.5pt" o:ole="">
            <v:imagedata r:id="rId49" o:title=""/>
          </v:shape>
          <o:OLEObject Type="Embed" ProgID="Equation.3" ShapeID="_x0000_i1047" DrawAspect="Content" ObjectID="_1541596802" r:id="rId50"/>
        </w:objec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— увеличить объемы реализованных товаров, продукции, работ, услуг; </w:t>
      </w:r>
      <w:r w:rsidRPr="00533898">
        <w:rPr>
          <w:rFonts w:eastAsia="Times New Roman" w:cs="Times New Roman"/>
          <w:position w:val="-10"/>
          <w:szCs w:val="24"/>
          <w:shd w:val="clear" w:color="auto" w:fill="FFFFFF"/>
          <w:lang w:eastAsia="ru-RU"/>
        </w:rPr>
        <w:object w:dxaOrig="480" w:dyaOrig="320">
          <v:shape id="_x0000_i1048" type="#_x0000_t75" style="width:24.75pt;height:16.5pt" o:ole="">
            <v:imagedata r:id="rId51" o:title=""/>
          </v:shape>
          <o:OLEObject Type="Embed" ProgID="Equation.3" ShapeID="_x0000_i1048" DrawAspect="Content" ObjectID="_1541596803" r:id="rId52"/>
        </w:objec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— повысить цены на товары, продукцию, работы, услуги.</w:t>
      </w:r>
    </w:p>
    <w:p w:rsidR="00BE13DC" w:rsidRPr="00533898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Аналогичным образом для системы поддержки регионального управления, с учетом особенностей и планов развития региона, могут быть построены модели других проблемных областей.</w:t>
      </w:r>
    </w:p>
    <w:p w:rsidR="00BE13DC" w:rsidRDefault="00BE13DC" w:rsidP="00BE13DC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b/>
          <w:szCs w:val="24"/>
          <w:shd w:val="clear" w:color="auto" w:fill="FFFFFF"/>
          <w:lang w:eastAsia="ru-RU"/>
        </w:rPr>
        <w:lastRenderedPageBreak/>
        <w:t>Выводы.</w:t>
      </w:r>
      <w:r>
        <w:rPr>
          <w:rFonts w:eastAsia="Times New Roman" w:cs="Times New Roman"/>
          <w:b/>
          <w:szCs w:val="24"/>
          <w:shd w:val="clear" w:color="auto" w:fill="FFFFFF"/>
          <w:lang w:eastAsia="ru-RU"/>
        </w:rPr>
        <w:t xml:space="preserve"> 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Статья посвящена поддержке принятия решений на региональном уровне, методам и информационным технологиям, используемым при принятии управленческого решения. Приведены информационные ресурсы и требования, предъявляемые к информации, на базе которой, формируется управленческое решение и предложенная функциональная структура интегрированной системы регионального управления. Приведены примеры подмножества данных, процессов преобразования данных концептуальной модели и моделей принятия решений.</w:t>
      </w:r>
    </w:p>
    <w:p w:rsidR="00BE13DC" w:rsidRDefault="00BE13DC" w:rsidP="00BE13DC">
      <w:pPr>
        <w:ind w:firstLine="709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BE13DC" w:rsidRDefault="00BE13DC" w:rsidP="00BE13DC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BE13DC" w:rsidRPr="00533898" w:rsidRDefault="00BE13DC" w:rsidP="00BE13DC">
      <w:pPr>
        <w:ind w:firstLine="709"/>
        <w:jc w:val="center"/>
        <w:rPr>
          <w:rFonts w:eastAsia="Times New Roman" w:cs="Times New Roman"/>
          <w:b/>
          <w:szCs w:val="24"/>
          <w:shd w:val="clear" w:color="auto" w:fill="FFFFFF"/>
          <w:lang w:eastAsia="ru-RU"/>
        </w:rPr>
      </w:pPr>
    </w:p>
    <w:p w:rsidR="00BE13DC" w:rsidRPr="00533898" w:rsidRDefault="00BE13DC" w:rsidP="00BE13DC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eastAsia="Times New Roman" w:cs="Times New Roman"/>
          <w:szCs w:val="24"/>
          <w:shd w:val="clear" w:color="auto" w:fill="FFFFFF"/>
          <w:lang w:eastAsia="ru-RU"/>
        </w:rPr>
      </w:pP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Виханский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О. С. Менеджмент: человек, стратегия, организация, процесс / О. С.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Виханский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А. И. Наумов. 2-е изд. </w:t>
      </w:r>
      <w:proofErr w:type="gram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М. :</w:t>
      </w:r>
      <w:proofErr w:type="gram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Гардарика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, 1996. С. 306.</w:t>
      </w:r>
    </w:p>
    <w:p w:rsidR="00BE13DC" w:rsidRPr="00533898" w:rsidRDefault="00BE13DC" w:rsidP="00BE13DC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eastAsia="Times New Roman" w:cs="Times New Roman"/>
          <w:szCs w:val="24"/>
          <w:shd w:val="clear" w:color="auto" w:fill="FFFFFF"/>
          <w:lang w:eastAsia="ru-RU"/>
        </w:rPr>
      </w:pP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Герчикова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И. Н. Менеджмент / И. Н.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Герчикова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. М.: ЮНИТИ, 1995. С. 111.</w:t>
      </w:r>
    </w:p>
    <w:p w:rsidR="00BE13DC" w:rsidRPr="00533898" w:rsidRDefault="00BE13DC" w:rsidP="00BE13DC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eastAsia="Times New Roman" w:cs="Times New Roman"/>
          <w:szCs w:val="24"/>
          <w:shd w:val="clear" w:color="auto" w:fill="FFFFFF"/>
          <w:lang w:eastAsia="ru-RU"/>
        </w:rPr>
      </w:pP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Лычкина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Н. Н. Технологические возможности современных систем моделирования / Н. Н.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Лычкина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// Банковские технологии. 2000.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Вып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. 9.</w:t>
      </w:r>
    </w:p>
    <w:p w:rsidR="00BE13DC" w:rsidRPr="00533898" w:rsidRDefault="00BE13DC" w:rsidP="00BE13DC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eastAsia="Times New Roman" w:cs="Times New Roman"/>
          <w:szCs w:val="24"/>
          <w:shd w:val="clear" w:color="auto" w:fill="FFFFFF"/>
          <w:lang w:eastAsia="ru-RU"/>
        </w:rPr>
      </w:pP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Фатхутдинов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Р. А. Управленческие </w:t>
      </w:r>
      <w:proofErr w:type="gram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решения :</w:t>
      </w:r>
      <w:proofErr w:type="gram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учебник / Р. А.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Фатхутдинов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. 6-е изд.,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пе-рераб</w:t>
      </w:r>
      <w:proofErr w:type="spellEnd"/>
      <w:proofErr w:type="gram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.</w:t>
      </w:r>
      <w:proofErr w:type="gram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и доп. М.: ИНФРА-М, 2006.344 с.</w:t>
      </w:r>
    </w:p>
    <w:p w:rsidR="00BE13DC" w:rsidRPr="00533898" w:rsidRDefault="00BE13DC" w:rsidP="00BE13DC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Фомичев А.Н. Административный менеджмент: Учебное пособие / А. Н. Фомичев. 3-е изд. </w:t>
      </w:r>
      <w:proofErr w:type="gram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М. :</w:t>
      </w:r>
      <w:proofErr w:type="gram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Изд.-торг. корп. «Дашков и К°», 2006.228 с.</w:t>
      </w:r>
    </w:p>
    <w:p w:rsidR="00BE13DC" w:rsidRPr="00533898" w:rsidRDefault="00BE13DC" w:rsidP="00BE13DC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eastAsia="Times New Roman" w:cs="Times New Roman"/>
          <w:szCs w:val="24"/>
          <w:shd w:val="clear" w:color="auto" w:fill="FFFFFF"/>
          <w:lang w:eastAsia="ru-RU"/>
        </w:rPr>
      </w:pP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Хорошилов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А. В. Мировые информационные ресурсы / А. В.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Хорошилов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С. Н.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Селетков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. </w:t>
      </w:r>
      <w:proofErr w:type="spellStart"/>
      <w:proofErr w:type="gram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СПб.:</w:t>
      </w:r>
      <w:proofErr w:type="gram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Питер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, 2004.176 с.</w:t>
      </w:r>
    </w:p>
    <w:p w:rsidR="00306C3B" w:rsidRDefault="00BE13DC">
      <w:bookmarkStart w:id="0" w:name="_GoBack"/>
      <w:bookmarkEnd w:id="0"/>
    </w:p>
    <w:sectPr w:rsidR="0030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70A3B"/>
    <w:multiLevelType w:val="hybridMultilevel"/>
    <w:tmpl w:val="6A7816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DC"/>
    <w:rsid w:val="00135C18"/>
    <w:rsid w:val="00BE13DC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D280C-002B-4D5C-BC39-C7E76A1B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D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e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2016-11-25T13:19:00Z</dcterms:created>
  <dcterms:modified xsi:type="dcterms:W3CDTF">2016-11-25T13:33:00Z</dcterms:modified>
</cp:coreProperties>
</file>