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B3" w:rsidRPr="004719D9" w:rsidRDefault="00747FB3" w:rsidP="00747FB3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–ДонНТУ: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яз.</w:t>
      </w:r>
    </w:p>
    <w:p w:rsidR="00747FB3" w:rsidRDefault="00747FB3" w:rsidP="00747FB3"/>
    <w:p w:rsidR="00747FB3" w:rsidRDefault="00747FB3" w:rsidP="00747FB3">
      <w:pPr>
        <w:ind w:firstLine="567"/>
        <w:jc w:val="righ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Папета К. С.</w:t>
      </w:r>
    </w:p>
    <w:p w:rsidR="00747FB3" w:rsidRPr="002C1CDC" w:rsidRDefault="00747FB3" w:rsidP="00747FB3">
      <w:pPr>
        <w:ind w:firstLine="567"/>
        <w:jc w:val="right"/>
        <w:rPr>
          <w:rFonts w:eastAsia="Calibri" w:cs="Times New Roman"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747FB3" w:rsidRPr="002C1CDC" w:rsidRDefault="00747FB3" w:rsidP="00747FB3">
      <w:pPr>
        <w:ind w:firstLine="567"/>
        <w:jc w:val="right"/>
        <w:rPr>
          <w:rFonts w:eastAsia="Calibri" w:cs="Times New Roman"/>
          <w:szCs w:val="24"/>
        </w:rPr>
      </w:pPr>
      <w:r w:rsidRPr="00D3057E">
        <w:rPr>
          <w:rFonts w:eastAsia="Calibri" w:cs="Times New Roman"/>
          <w:b/>
          <w:szCs w:val="24"/>
        </w:rPr>
        <w:t>Минько</w:t>
      </w:r>
      <w:r w:rsidRPr="00EE0FA4">
        <w:rPr>
          <w:rFonts w:eastAsia="Calibri" w:cs="Times New Roman"/>
          <w:b/>
          <w:szCs w:val="24"/>
        </w:rPr>
        <w:t xml:space="preserve">вская М. В., </w:t>
      </w:r>
      <w:r w:rsidRPr="00EE0FA4">
        <w:rPr>
          <w:rFonts w:eastAsia="Calibri" w:cs="Times New Roman"/>
          <w:szCs w:val="24"/>
        </w:rPr>
        <w:t>к.э.н.</w:t>
      </w:r>
      <w:r>
        <w:rPr>
          <w:rFonts w:eastAsia="Calibri" w:cs="Times New Roman"/>
          <w:szCs w:val="24"/>
        </w:rPr>
        <w:t>,</w:t>
      </w:r>
      <w:r w:rsidRPr="009C6287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доцент</w:t>
      </w:r>
    </w:p>
    <w:p w:rsidR="00747FB3" w:rsidRDefault="00747FB3" w:rsidP="00747FB3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747FB3" w:rsidRDefault="00747FB3" w:rsidP="00747FB3">
      <w:pPr>
        <w:ind w:firstLine="567"/>
        <w:rPr>
          <w:rFonts w:eastAsia="Calibri" w:cs="Times New Roman"/>
          <w:szCs w:val="24"/>
        </w:rPr>
      </w:pP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</w:p>
    <w:p w:rsidR="00747FB3" w:rsidRDefault="00747FB3" w:rsidP="00747FB3">
      <w:pPr>
        <w:ind w:firstLine="567"/>
        <w:jc w:val="center"/>
        <w:rPr>
          <w:rFonts w:eastAsia="Calibri" w:cs="Times New Roman"/>
          <w:b/>
          <w:bCs/>
          <w:szCs w:val="24"/>
        </w:rPr>
      </w:pPr>
      <w:r w:rsidRPr="002C1CDC">
        <w:rPr>
          <w:rFonts w:eastAsia="Calibri" w:cs="Times New Roman"/>
          <w:b/>
          <w:bCs/>
          <w:szCs w:val="24"/>
        </w:rPr>
        <w:t>А</w:t>
      </w:r>
      <w:r>
        <w:rPr>
          <w:rFonts w:eastAsia="Calibri" w:cs="Times New Roman"/>
          <w:b/>
          <w:bCs/>
          <w:szCs w:val="24"/>
        </w:rPr>
        <w:t xml:space="preserve">НАЛИЗ ФИНАНСОВОГО СОСТОЯНИЯ ПРЕДПРИЯТИЯ </w:t>
      </w:r>
    </w:p>
    <w:p w:rsidR="00747FB3" w:rsidRPr="002C1CDC" w:rsidRDefault="00747FB3" w:rsidP="00747FB3">
      <w:pPr>
        <w:ind w:firstLine="567"/>
        <w:jc w:val="center"/>
        <w:rPr>
          <w:rFonts w:eastAsia="Calibri" w:cs="Times New Roman"/>
          <w:b/>
          <w:bCs/>
          <w:szCs w:val="24"/>
        </w:rPr>
      </w:pPr>
    </w:p>
    <w:p w:rsidR="00747FB3" w:rsidRPr="002C1CDC" w:rsidRDefault="00747FB3" w:rsidP="00747FB3">
      <w:pPr>
        <w:ind w:firstLine="567"/>
        <w:rPr>
          <w:rFonts w:eastAsia="Calibri" w:cs="Times New Roman"/>
          <w:bCs/>
          <w:szCs w:val="24"/>
        </w:rPr>
      </w:pPr>
      <w:r w:rsidRPr="00D3057E">
        <w:rPr>
          <w:rFonts w:eastAsia="Calibri" w:cs="Times New Roman"/>
          <w:bCs/>
          <w:i/>
          <w:szCs w:val="24"/>
        </w:rPr>
        <w:t>В данной статье рассмотрены этапы проведения анализа финансового состояния предприятия и система показателей характеризующих деятельность предприятия</w:t>
      </w:r>
      <w:r w:rsidRPr="002C1CDC">
        <w:rPr>
          <w:rFonts w:eastAsia="Calibri" w:cs="Times New Roman"/>
          <w:bCs/>
          <w:szCs w:val="24"/>
        </w:rPr>
        <w:t>.</w:t>
      </w:r>
    </w:p>
    <w:p w:rsidR="00747FB3" w:rsidRDefault="00747FB3" w:rsidP="00747FB3">
      <w:pPr>
        <w:ind w:firstLine="567"/>
        <w:rPr>
          <w:rFonts w:eastAsia="Calibri" w:cs="Times New Roman"/>
          <w:b/>
          <w:bCs/>
          <w:szCs w:val="24"/>
        </w:rPr>
      </w:pPr>
    </w:p>
    <w:p w:rsidR="00747FB3" w:rsidRDefault="00747FB3" w:rsidP="00747FB3">
      <w:pPr>
        <w:ind w:firstLine="567"/>
        <w:rPr>
          <w:rFonts w:eastAsia="Calibri" w:cs="Times New Roman"/>
          <w:bCs/>
          <w:szCs w:val="24"/>
        </w:rPr>
      </w:pPr>
      <w:r w:rsidRPr="00D3057E">
        <w:rPr>
          <w:rFonts w:eastAsia="Calibri" w:cs="Times New Roman"/>
          <w:b/>
          <w:bCs/>
          <w:szCs w:val="24"/>
        </w:rPr>
        <w:t>Ключевые слова</w:t>
      </w:r>
      <w:r w:rsidRPr="002C1CDC">
        <w:rPr>
          <w:rFonts w:eastAsia="Calibri" w:cs="Times New Roman"/>
          <w:bCs/>
          <w:szCs w:val="24"/>
        </w:rPr>
        <w:t>. Анализ, коэффициент, рентабельность, факторы, прогнозирование.</w:t>
      </w:r>
    </w:p>
    <w:p w:rsidR="00747FB3" w:rsidRPr="002C1CDC" w:rsidRDefault="00747FB3" w:rsidP="00747FB3">
      <w:pPr>
        <w:ind w:firstLine="567"/>
        <w:rPr>
          <w:rFonts w:eastAsia="Calibri" w:cs="Times New Roman"/>
          <w:bCs/>
          <w:szCs w:val="24"/>
          <w:lang w:val="en-US"/>
        </w:rPr>
      </w:pPr>
      <w:r w:rsidRPr="00D3057E">
        <w:rPr>
          <w:rFonts w:eastAsia="Calibri" w:cs="Times New Roman"/>
          <w:b/>
          <w:bCs/>
          <w:szCs w:val="24"/>
          <w:lang w:val="en-US"/>
        </w:rPr>
        <w:t xml:space="preserve">Keywords. </w:t>
      </w:r>
      <w:r w:rsidRPr="002C1CDC">
        <w:rPr>
          <w:rFonts w:eastAsia="Calibri" w:cs="Times New Roman"/>
          <w:bCs/>
          <w:szCs w:val="24"/>
          <w:lang w:val="en-US"/>
        </w:rPr>
        <w:t>Analysis , ratio , profitability, factors predicting.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val="en-US"/>
        </w:rPr>
      </w:pP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2C1CDC">
        <w:rPr>
          <w:rFonts w:eastAsia="Calibri" w:cs="Times New Roman"/>
          <w:szCs w:val="24"/>
        </w:rPr>
        <w:t xml:space="preserve">Анализ финансового состояния в рыночной экономике составляет важную часть информационного обеспечения для принятия управленческих решений руководством предприятий. В получении подробной информации о финансовой ситуации в компании, ее деятельности заинтересованы практически все субъекты рыночных отношений: собственники, акционеры, инвесторы, аудиторы, банки и иные кредиторы, биржи, поставщики и покупатели, страховые компании и рекламные агентства.Анализ финансового состояния предприятия считается основой принятия определенных решений, которые находятся  на уровне субъектов хозяйствования.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Основным понятием  в анализе финансового состояния компании считается понятие экономической возможности компании и его модификации с течением времени. Под экономическим потенциалом определяется способность компании добиваться в исполнении поставленные перед ней цели, используя при этом имеющиеся у нее материальные, финансовые, а также трудовые ресурсы. Для выявления характеристики экономического потенциала используется бухгалтерская отчетность. В данном случае проявляется две стороны экономического потенциала: имущественное и ее финансовое положение компании. Имущественное положение характеризуется составом и положением активов, которыми обладает и предписывает компания для достижения определенных своих  целей. Данное положение видоизменяется в течении времени за счет определенных факторов, основными  из которых считаются  достигнутые за прошлый период финансовые результаты. Более подробное описание  имущественного положения  приводится в активе баланса (форма № 1), а также в сопровождающих отчетных формах. Имущественное положение в данном случае представляет собой финансовую оценку, которая позволяет делать определенные суждения об оптимальности, а также возможности вложения денежных средств в активы компании.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Выявить методику оценки финансового состояния предприятия, которая является адаптированной к рыночным условиям при изменяющихся элементах внешней среды.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2C1CDC">
        <w:rPr>
          <w:rFonts w:eastAsia="Calibri" w:cs="Times New Roman"/>
          <w:szCs w:val="24"/>
        </w:rPr>
        <w:t xml:space="preserve">Провести анализ финансового потенциала  предприятия, которая является основой для принятия поставленных решений субъектов хозяйствования.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Анализ финансового состояния предприятия включает в себя несколько целей: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определение финансового положения;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выявление основных изменений в финансовом состоянии;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раскрытие основных факторов изменения в финансовом состоянии предприятии;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прогноз определенных тенденций финансового состояния предприятий. </w:t>
      </w:r>
    </w:p>
    <w:p w:rsidR="00747FB3" w:rsidRPr="002C1CDC" w:rsidRDefault="00747FB3" w:rsidP="00747FB3">
      <w:pPr>
        <w:ind w:firstLine="567"/>
        <w:rPr>
          <w:rFonts w:eastAsia="Calibri" w:cs="Times New Roman"/>
          <w:color w:val="000000"/>
          <w:szCs w:val="24"/>
        </w:rPr>
      </w:pPr>
      <w:r w:rsidRPr="002C1CDC">
        <w:rPr>
          <w:rFonts w:eastAsia="Calibri" w:cs="Times New Roman"/>
          <w:color w:val="000000"/>
          <w:szCs w:val="24"/>
        </w:rPr>
        <w:lastRenderedPageBreak/>
        <w:t xml:space="preserve">коэффициент концентрации собственного капитала (или финансовая независимость предприятия); </w:t>
      </w:r>
    </w:p>
    <w:p w:rsidR="00747FB3" w:rsidRPr="002C1CDC" w:rsidRDefault="00747FB3" w:rsidP="00747FB3">
      <w:pPr>
        <w:ind w:firstLine="567"/>
        <w:rPr>
          <w:rFonts w:eastAsia="Calibri" w:cs="Times New Roman"/>
          <w:color w:val="000000"/>
          <w:szCs w:val="24"/>
        </w:rPr>
      </w:pPr>
      <w:r w:rsidRPr="002C1CDC">
        <w:rPr>
          <w:rFonts w:eastAsia="Calibri" w:cs="Times New Roman"/>
          <w:color w:val="000000"/>
          <w:szCs w:val="24"/>
        </w:rPr>
        <w:t>обеспеченность недвижимости;</w:t>
      </w:r>
    </w:p>
    <w:p w:rsidR="00747FB3" w:rsidRPr="002C1CDC" w:rsidRDefault="00747FB3" w:rsidP="00747FB3">
      <w:pPr>
        <w:ind w:firstLine="567"/>
        <w:rPr>
          <w:rFonts w:eastAsia="Calibri" w:cs="Times New Roman"/>
          <w:color w:val="000000"/>
          <w:szCs w:val="24"/>
        </w:rPr>
      </w:pPr>
      <w:r w:rsidRPr="002C1CDC">
        <w:rPr>
          <w:rFonts w:eastAsia="Calibri" w:cs="Times New Roman"/>
          <w:color w:val="000000"/>
          <w:szCs w:val="24"/>
        </w:rPr>
        <w:t xml:space="preserve">коэффициент общей ликвидности (ещё называется «коэффициент покрытия»); </w:t>
      </w:r>
    </w:p>
    <w:p w:rsidR="00747FB3" w:rsidRPr="002C1CDC" w:rsidRDefault="00747FB3" w:rsidP="00747FB3">
      <w:pPr>
        <w:ind w:firstLine="567"/>
        <w:rPr>
          <w:rFonts w:eastAsia="Calibri" w:cs="Times New Roman"/>
          <w:color w:val="000000"/>
          <w:szCs w:val="24"/>
        </w:rPr>
      </w:pPr>
      <w:r w:rsidRPr="002C1CDC">
        <w:rPr>
          <w:rFonts w:eastAsia="Calibri" w:cs="Times New Roman"/>
          <w:color w:val="000000"/>
          <w:szCs w:val="24"/>
        </w:rPr>
        <w:t xml:space="preserve">коэффициент быстрой ликвидности; </w:t>
      </w:r>
    </w:p>
    <w:p w:rsidR="00747FB3" w:rsidRPr="002C1CDC" w:rsidRDefault="00747FB3" w:rsidP="00747FB3">
      <w:pPr>
        <w:ind w:firstLine="567"/>
        <w:rPr>
          <w:rFonts w:eastAsia="Calibri" w:cs="Times New Roman"/>
          <w:color w:val="000000"/>
          <w:szCs w:val="24"/>
        </w:rPr>
      </w:pPr>
      <w:r w:rsidRPr="002C1CDC">
        <w:rPr>
          <w:rFonts w:eastAsia="Calibri" w:cs="Times New Roman"/>
          <w:color w:val="000000"/>
          <w:szCs w:val="24"/>
        </w:rPr>
        <w:t xml:space="preserve">коэффициент абсолютной ликвидности. </w:t>
      </w:r>
    </w:p>
    <w:p w:rsidR="00747FB3" w:rsidRPr="002C1CDC" w:rsidRDefault="00747FB3" w:rsidP="00747FB3">
      <w:pPr>
        <w:ind w:firstLine="567"/>
        <w:rPr>
          <w:rFonts w:eastAsia="Calibri" w:cs="Times New Roman"/>
          <w:color w:val="000000"/>
          <w:szCs w:val="24"/>
        </w:rPr>
      </w:pPr>
      <w:r w:rsidRPr="002C1CDC">
        <w:rPr>
          <w:rFonts w:eastAsia="Calibri" w:cs="Times New Roman"/>
          <w:color w:val="000000"/>
          <w:szCs w:val="24"/>
        </w:rPr>
        <w:t xml:space="preserve">Рассмотрим модели расчетов этих показателей: представленных в табл. 1, 2, 3. </w:t>
      </w:r>
    </w:p>
    <w:p w:rsidR="00747FB3" w:rsidRPr="002C1CDC" w:rsidRDefault="00747FB3" w:rsidP="00747FB3">
      <w:pPr>
        <w:ind w:firstLine="567"/>
        <w:jc w:val="left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Коэффициенты, характеризующие платежеспособность предприятия рассмотрены в табл. 1</w:t>
      </w:r>
    </w:p>
    <w:p w:rsidR="00747FB3" w:rsidRPr="002C1CDC" w:rsidRDefault="00747FB3" w:rsidP="00747FB3">
      <w:pPr>
        <w:ind w:firstLine="567"/>
        <w:jc w:val="left"/>
        <w:rPr>
          <w:rFonts w:eastAsia="Calibri" w:cs="Times New Roman"/>
          <w:sz w:val="28"/>
          <w:szCs w:val="28"/>
          <w:lang w:eastAsia="ru-RU"/>
        </w:rPr>
      </w:pPr>
    </w:p>
    <w:p w:rsidR="00747FB3" w:rsidRDefault="00747FB3" w:rsidP="00747FB3">
      <w:pPr>
        <w:ind w:firstLine="567"/>
        <w:jc w:val="right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 xml:space="preserve">        Таблица 1</w:t>
      </w:r>
    </w:p>
    <w:p w:rsidR="00747FB3" w:rsidRPr="00CC4737" w:rsidRDefault="00747FB3" w:rsidP="00747FB3">
      <w:pPr>
        <w:ind w:firstLine="567"/>
        <w:jc w:val="center"/>
        <w:rPr>
          <w:rFonts w:eastAsia="Calibri" w:cs="Times New Roman"/>
          <w:b/>
          <w:szCs w:val="24"/>
          <w:lang w:eastAsia="ru-RU"/>
        </w:rPr>
      </w:pPr>
      <w:r w:rsidRPr="00CC4737">
        <w:rPr>
          <w:rFonts w:eastAsia="Calibri" w:cs="Times New Roman"/>
          <w:b/>
          <w:szCs w:val="24"/>
          <w:lang w:eastAsia="ru-RU"/>
        </w:rPr>
        <w:t>Основные финансовые коэффициенты, характеризующие платежеспособность предприятия</w:t>
      </w:r>
    </w:p>
    <w:tbl>
      <w:tblPr>
        <w:tblStyle w:val="4"/>
        <w:tblW w:w="5000" w:type="pct"/>
        <w:tblLook w:val="0000" w:firstRow="0" w:lastRow="0" w:firstColumn="0" w:lastColumn="0" w:noHBand="0" w:noVBand="0"/>
      </w:tblPr>
      <w:tblGrid>
        <w:gridCol w:w="2921"/>
        <w:gridCol w:w="2011"/>
        <w:gridCol w:w="2533"/>
        <w:gridCol w:w="1880"/>
      </w:tblGrid>
      <w:tr w:rsidR="00747FB3" w:rsidRPr="002C1CDC" w:rsidTr="008A07C0">
        <w:tc>
          <w:tcPr>
            <w:tcW w:w="0" w:type="auto"/>
            <w:vMerge w:val="restart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Наименование финансового коэффициента</w:t>
            </w:r>
          </w:p>
        </w:tc>
        <w:tc>
          <w:tcPr>
            <w:tcW w:w="0" w:type="auto"/>
            <w:vMerge w:val="restart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Рекомендуемое значение</w:t>
            </w:r>
          </w:p>
        </w:tc>
        <w:tc>
          <w:tcPr>
            <w:tcW w:w="0" w:type="auto"/>
            <w:gridSpan w:val="2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Расчетная формула</w:t>
            </w:r>
          </w:p>
        </w:tc>
      </w:tr>
      <w:tr w:rsidR="00747FB3" w:rsidRPr="002C1CDC" w:rsidTr="008A07C0">
        <w:tc>
          <w:tcPr>
            <w:tcW w:w="0" w:type="auto"/>
            <w:vMerge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0" w:type="auto"/>
            <w:vMerge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Числитель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Знаменатель</w:t>
            </w:r>
          </w:p>
        </w:tc>
      </w:tr>
      <w:tr w:rsidR="00747FB3" w:rsidRPr="002C1CDC" w:rsidTr="008A07C0">
        <w:tc>
          <w:tcPr>
            <w:tcW w:w="0" w:type="auto"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Коэффициент финансовой независимости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&gt;=0,5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Собственный капитал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Валюта баланса</w:t>
            </w:r>
          </w:p>
        </w:tc>
      </w:tr>
      <w:tr w:rsidR="00747FB3" w:rsidRPr="002C1CDC" w:rsidTr="008A07C0">
        <w:tc>
          <w:tcPr>
            <w:tcW w:w="0" w:type="auto"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Коэффициент финансовой зависимости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&lt;=2,0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Валюта баланса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Собственный капитал</w:t>
            </w:r>
          </w:p>
        </w:tc>
      </w:tr>
      <w:tr w:rsidR="00747FB3" w:rsidRPr="002C1CDC" w:rsidTr="008A07C0">
        <w:tc>
          <w:tcPr>
            <w:tcW w:w="0" w:type="auto"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Коэффициент концентрации заемного капитала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&lt;=0,5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Заемный капитал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Валюта баланса</w:t>
            </w:r>
          </w:p>
        </w:tc>
      </w:tr>
      <w:tr w:rsidR="00747FB3" w:rsidRPr="002C1CDC" w:rsidTr="008A07C0">
        <w:tc>
          <w:tcPr>
            <w:tcW w:w="0" w:type="auto"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Коэффициент задолженности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&lt;=1,0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Заемный капитал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Собственный капитал</w:t>
            </w:r>
          </w:p>
        </w:tc>
      </w:tr>
      <w:tr w:rsidR="00747FB3" w:rsidRPr="002C1CDC" w:rsidTr="008A07C0">
        <w:tc>
          <w:tcPr>
            <w:tcW w:w="0" w:type="auto"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Коэффициент общей платежеспособности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&gt;=1,0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Валюта баланса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Заемный капитал</w:t>
            </w:r>
          </w:p>
        </w:tc>
      </w:tr>
      <w:tr w:rsidR="00747FB3" w:rsidRPr="002C1CDC" w:rsidTr="008A07C0">
        <w:tc>
          <w:tcPr>
            <w:tcW w:w="0" w:type="auto"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Коэффициент инвестирования (вариант 1)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&gt;0,25 &lt;1,0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Собственный капитал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Внеоборотные активы</w:t>
            </w:r>
          </w:p>
        </w:tc>
      </w:tr>
      <w:tr w:rsidR="00747FB3" w:rsidRPr="002C1CDC" w:rsidTr="008A07C0">
        <w:tc>
          <w:tcPr>
            <w:tcW w:w="0" w:type="auto"/>
          </w:tcPr>
          <w:p w:rsidR="00747FB3" w:rsidRPr="002C1CDC" w:rsidRDefault="00747FB3" w:rsidP="008A07C0">
            <w:pPr>
              <w:jc w:val="left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Коэффициент инвестирования (вариант 2)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&gt;1,0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Собственный капитал + Долгосрочные обязательства</w:t>
            </w:r>
          </w:p>
        </w:tc>
        <w:tc>
          <w:tcPr>
            <w:tcW w:w="0" w:type="auto"/>
          </w:tcPr>
          <w:p w:rsidR="00747FB3" w:rsidRPr="002C1CDC" w:rsidRDefault="00747FB3" w:rsidP="008A07C0">
            <w:pPr>
              <w:jc w:val="center"/>
              <w:rPr>
                <w:rFonts w:eastAsia="Calibri"/>
                <w:szCs w:val="24"/>
              </w:rPr>
            </w:pPr>
            <w:r w:rsidRPr="002C1CDC">
              <w:rPr>
                <w:rFonts w:eastAsia="Calibri"/>
                <w:szCs w:val="24"/>
              </w:rPr>
              <w:t>Внеоборотные активы</w:t>
            </w:r>
          </w:p>
        </w:tc>
      </w:tr>
    </w:tbl>
    <w:p w:rsidR="00747FB3" w:rsidRPr="002C1CDC" w:rsidRDefault="00747FB3" w:rsidP="00747FB3">
      <w:pPr>
        <w:jc w:val="left"/>
        <w:outlineLvl w:val="1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Коэффициенты, характеризующие ликвидность предприятия рассмотрены в табл. 2</w:t>
      </w:r>
    </w:p>
    <w:p w:rsidR="00747FB3" w:rsidRPr="00C95D23" w:rsidRDefault="00747FB3" w:rsidP="00747FB3">
      <w:pPr>
        <w:jc w:val="right"/>
        <w:rPr>
          <w:rFonts w:eastAsia="Calibri" w:cs="Times New Roman"/>
          <w:szCs w:val="24"/>
          <w:lang w:eastAsia="ru-RU"/>
        </w:rPr>
      </w:pPr>
      <w:r w:rsidRPr="00C95D23">
        <w:rPr>
          <w:rFonts w:eastAsia="Calibri" w:cs="Times New Roman"/>
          <w:szCs w:val="24"/>
          <w:lang w:eastAsia="ru-RU"/>
        </w:rPr>
        <w:t>Таблица 2</w:t>
      </w:r>
    </w:p>
    <w:p w:rsidR="00747FB3" w:rsidRPr="00C95D23" w:rsidRDefault="00747FB3" w:rsidP="00747FB3">
      <w:pPr>
        <w:jc w:val="center"/>
        <w:rPr>
          <w:rFonts w:eastAsia="Calibri" w:cs="Times New Roman"/>
          <w:b/>
          <w:szCs w:val="24"/>
          <w:lang w:eastAsia="ru-RU"/>
        </w:rPr>
      </w:pPr>
      <w:r w:rsidRPr="00C95D23">
        <w:rPr>
          <w:rFonts w:eastAsia="Calibri" w:cs="Times New Roman"/>
          <w:b/>
          <w:szCs w:val="24"/>
          <w:lang w:eastAsia="ru-RU"/>
        </w:rPr>
        <w:t>Основные финансовые коэффициенты, характеризующие ликвидность предприятия</w:t>
      </w:r>
    </w:p>
    <w:tbl>
      <w:tblPr>
        <w:tblW w:w="5000" w:type="pct"/>
        <w:tblInd w:w="-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7"/>
        <w:gridCol w:w="1753"/>
        <w:gridCol w:w="3793"/>
        <w:gridCol w:w="1806"/>
      </w:tblGrid>
      <w:tr w:rsidR="00747FB3" w:rsidRPr="002C1CDC" w:rsidTr="008A07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Наименование финансового коэффициента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Рекомендуемое значение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Расчетная формула</w:t>
            </w:r>
          </w:p>
        </w:tc>
      </w:tr>
      <w:tr w:rsidR="00747FB3" w:rsidRPr="002C1CDC" w:rsidTr="008A07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Числитель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Знаменатель</w:t>
            </w:r>
          </w:p>
        </w:tc>
      </w:tr>
      <w:tr w:rsidR="00747FB3" w:rsidRPr="002C1CDC" w:rsidTr="008A07C0">
        <w:trPr>
          <w:trHeight w:val="26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</w:p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4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Коэффициент мгновенной ликвидности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&gt; 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Краткосрочные обязательства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&gt; 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 xml:space="preserve">Денежные средства и денежные эквиваленты + Краткосрочные финансовые вложения (за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Краткосрочные обязательства</w:t>
            </w:r>
          </w:p>
        </w:tc>
      </w:tr>
      <w:tr w:rsidR="00747FB3" w:rsidRPr="002C1CDC" w:rsidTr="008A07C0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7FB3" w:rsidRPr="002C1CDC" w:rsidRDefault="00747FB3" w:rsidP="008A07C0">
            <w:pPr>
              <w:jc w:val="right"/>
              <w:rPr>
                <w:rFonts w:eastAsia="Calibri" w:cs="Times New Roman"/>
                <w:szCs w:val="24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Продолжение табл. 2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4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Cs w:val="24"/>
                <w:lang w:eastAsia="ru-RU"/>
              </w:rPr>
              <w:t>исключением денежных эквивалентов)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Коэффициент быстрой ликвидности (упрощенный вариант)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Денежные средства и денежные эквиваленты + Краткосрочные финансовые вложения (за исключением денежных эквивалентов) + Дебиторская задолженность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Краткосрочные обязательства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Коэффициент средней ликвидности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&gt; 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Денежные средства и денежные эквиваленты + Краткосрочные финансовые вложения (за исключением денежных эквивалентов) + Дебиторская задолженность + Запасы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Краткосрочные обязательства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Коэффициент промежуточной ликвидности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=&gt; 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Денежные средства и денежные эквиваленты + Краткосрочные финансовые вложения (за исключением денежных эквивалентов) + Дебиторская задолженность + Запасы + Налог на добавленную стоимость по приобретенным ценностям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Краткосрочные обязательства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Коэффициент текущей ликвидности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1,5 - 2,0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Оборотные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Краткосрочные обязательства</w:t>
            </w:r>
          </w:p>
        </w:tc>
      </w:tr>
    </w:tbl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 xml:space="preserve">Одной из основных задач анализа показателей ликвидности и платежеспособности компании является оценка степени близости предприятия к </w:t>
      </w:r>
      <w:hyperlink r:id="rId4" w:tooltip="Некоторые аспекты банкротства компании" w:history="1">
        <w:r w:rsidRPr="002C1CDC">
          <w:rPr>
            <w:rFonts w:eastAsia="Calibri" w:cs="Times New Roman"/>
            <w:szCs w:val="24"/>
            <w:lang w:eastAsia="ru-RU"/>
          </w:rPr>
          <w:t>банкротству</w:t>
        </w:r>
      </w:hyperlink>
      <w:r w:rsidRPr="002C1CDC">
        <w:rPr>
          <w:rFonts w:eastAsia="Calibri" w:cs="Times New Roman"/>
          <w:szCs w:val="24"/>
          <w:lang w:eastAsia="ru-RU"/>
        </w:rPr>
        <w:t>. Отметим, что показатели ликвидности не связаны с оценкой потенциала роста компании и отражают преимущественно сиюминутную ситуацию. Если же компания работает на перспективу, значимость показателей ликвидности существенно падает. Соответственно, оценку финансового состояния компании целесообразно начинать с анализа ее платежеспособности [8].Коэффициенты, характеризующие имущественное положение предприятия представлены в табл. 3.</w:t>
      </w:r>
    </w:p>
    <w:p w:rsidR="00747FB3" w:rsidRDefault="00747FB3" w:rsidP="00747FB3">
      <w:pPr>
        <w:jc w:val="right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 xml:space="preserve">   Таблица 3</w:t>
      </w:r>
    </w:p>
    <w:p w:rsidR="00747FB3" w:rsidRPr="00CC4737" w:rsidRDefault="00747FB3" w:rsidP="00747FB3">
      <w:pPr>
        <w:jc w:val="center"/>
        <w:rPr>
          <w:rFonts w:eastAsia="Calibri" w:cs="Times New Roman"/>
          <w:b/>
          <w:szCs w:val="24"/>
          <w:lang w:eastAsia="ru-RU"/>
        </w:rPr>
      </w:pPr>
      <w:r w:rsidRPr="00CC4737">
        <w:rPr>
          <w:rFonts w:eastAsia="Calibri" w:cs="Times New Roman"/>
          <w:b/>
          <w:szCs w:val="24"/>
          <w:lang w:eastAsia="ru-RU"/>
        </w:rPr>
        <w:t>Основные финансовые коэффициенты, характеризующие имущественное положение предприятия</w:t>
      </w:r>
    </w:p>
    <w:tbl>
      <w:tblPr>
        <w:tblW w:w="5000" w:type="pct"/>
        <w:tblInd w:w="-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0"/>
        <w:gridCol w:w="2843"/>
        <w:gridCol w:w="2566"/>
      </w:tblGrid>
      <w:tr w:rsidR="00747FB3" w:rsidRPr="002C1CDC" w:rsidTr="008A07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Наименование финансового коэффициента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Расчетная формула</w:t>
            </w:r>
          </w:p>
        </w:tc>
      </w:tr>
      <w:tr w:rsidR="00747FB3" w:rsidRPr="002C1CDC" w:rsidTr="008A07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Числитель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Знаменатель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Динамика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Валюта баланса на конец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Валюта баланса на начало периода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внеоборотных активов в имуществе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Валюта баланса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оборотных активов в имуществе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Оборотные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Валюта баланса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денежных средств и их эквивалентов в 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 xml:space="preserve">Доля финансовых вложений (за исключением денежных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 xml:space="preserve">Финансовые вложения (за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Оборотные активы</w:t>
            </w:r>
          </w:p>
        </w:tc>
      </w:tr>
      <w:tr w:rsidR="00747FB3" w:rsidRPr="002C1CDC" w:rsidTr="008A07C0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righ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Продолжение табл. 3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3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эквивалентов) в 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исключением денежных эквивалентов)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027E5F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lastRenderedPageBreak/>
              <w:t>Доля запасов в 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027E5F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Запасы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027E5F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027E5F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дебиторской задолженности в 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027E5F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027E5F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основных средств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нематериальных активов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финансовых вложений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Финансовые вложения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результатов исследований и разработок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нематериальных поисковых активов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материальных поисковых активов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долгосрочных вложений в материальные ценности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Долгосрочные вложения в материальные 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</w:tr>
      <w:tr w:rsidR="00747FB3" w:rsidRPr="002C1CDC" w:rsidTr="008A07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left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Доля отложенных налоговых активов во внеоборотных активах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Отложенные налоговые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FB3" w:rsidRPr="002C1CDC" w:rsidRDefault="00747FB3" w:rsidP="008A07C0">
            <w:pPr>
              <w:jc w:val="center"/>
              <w:rPr>
                <w:rFonts w:eastAsia="Calibri" w:cs="Times New Roman"/>
                <w:lang w:eastAsia="ru-RU"/>
              </w:rPr>
            </w:pPr>
            <w:r w:rsidRPr="002C1CDC">
              <w:rPr>
                <w:rFonts w:eastAsia="Calibri" w:cs="Times New Roman"/>
                <w:sz w:val="22"/>
                <w:lang w:eastAsia="ru-RU"/>
              </w:rPr>
              <w:t>Внеоборотные активы</w:t>
            </w:r>
          </w:p>
        </w:tc>
      </w:tr>
    </w:tbl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К оценке рентабельности относятся следующие показатели: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Рентабельность продаж(ROS), % - демонстрирует долю чистой прибыли в объеме продаж предприятия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Рентабельность собственного капитала (ROE), % - показывает, сколько прибыли получает компания от 1р уб., вложенного собственниками компании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Рентабельность текущих активов (RCA), % - показывает возможности предприятия в обеспечении достаточного объема прибыли по отношению к используемым оборотным средствам компании: чем выше значение этого коэффициента, тем более эффективно используются оборотные средства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Рентабельность внеоборотных активов (RFA), % - демонстрирует способность предприятия обеспечивать достаточный объем прибыли по отношению к основным средствам компании: чем выше значение данного коэффициента, тем более эффективно используются основные средства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Рентабельность инвестиций (ROI), % - показывает, сколько денежных единиц потребовалось предприятию для получения одной денежной единицы прибыли; этот показатель является одним из наиболее важных индикаторов конкурентоспособности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  <w:lang w:eastAsia="ru-RU"/>
        </w:rPr>
      </w:pPr>
      <w:r w:rsidRPr="002C1CDC">
        <w:rPr>
          <w:rFonts w:eastAsia="Calibri" w:cs="Times New Roman"/>
          <w:szCs w:val="24"/>
          <w:lang w:eastAsia="ru-RU"/>
        </w:rPr>
        <w:t>Детализация процедурной стороны методики финансового анализа зависит от поставленных целей, а также различных факторов информационного, временного, методического и технического обеспечения. Логика аналитической работы предполагает ее организацию в виде двухмодульной структуры: экспресс-анализ финансового состояния; детализованный анализ финансового состояния.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В современных условиях можно выделить  5 этапов финансового кризиса: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1.Систематизация основных факторов, обуславливающих кризисное финансовое развитие предприятия. Факторный анализ и прогнозирование составляют основу фундаментальной диагностики финансового кризиса, поэтому систематизации отдельных факторов, намечаемых к исследованию, должно быть уделено первостепенное внимание.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В процессе изучения и оценки эти факторы подразделяются на две основные группы: не зависящие от деятельности предприятия (внешние или экзогенные факторы);  зависящие от деятельности предприятия (внутренние или эндогенные факторы).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lastRenderedPageBreak/>
        <w:t>Внешние факторы кризисного финансового развития в свою очередь подразделяются при анализе на три подгруппы: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социально-экономические факторы общего развития страны. В составе этих факторов рассматриваются только те, которые оказывают негативное воздействие на хозяйственную деятельность данного предприятия, т.е. формируют угрозу его финансового кризиса.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 рыночные факторы. При рассмотрении этих факторов исследуются негативные для данного предприятия тенденции развития товарных (как по сырью и материалам, так и по выпускаемой продукции) и финансового рынков;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прочие внешние факторы. Их состав предприятие определяет самостоятельно с учетом специфики своей деятельности.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2.Проведение комплексного фундаментального анализа с использованием специальных методов оценки влияния отдельных факторов на кризисное финансовое развитие предприятия. Основу такого анализа составляет выявление степени негативного воздействия отдельных факторов на различные аспекты финансового развития предприятия. В процессе осуществления такого фундаментального анализа используются следующие основные методы: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полный комплексный анализ финансовых коэффициентов. При осуществлении этого анализа существенно расширяется круг объектов "кризисного поля", а также система показателей-индикаторов возможной угрозы финансового кризиса;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корреляционный анализ. Этот метод используется для определения степени влияния отдельных факторов на характер кризисного финансового развития предприятия. Количественно степень этого влияния может быть измерена с помощью одно- или многофакторных моделей корреляции. По результатам такой оценки проводится ранжирование отдельных факторов по степени их негативного воздействия на финансовое развитие предприятия;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СВОТ-анализ [SWOT-analysis]. Основным содержание СВОТ-анализа является исследование характера сильных и слабых сторон предприятия в разрезе отдельных внутренних эндогенных факторов, а также позитивного или негативного влияния отдельных внешних (экзогенных) факторов, обуславливающих кризисное финансовое развитие предприятия.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Аналитическая "Модель Альтмана". Она представляет собой алгоритм интегральной оценки угрозы банкротства предприятия, основанный на комплексном учете важнейших показателей, диагностирующих кризисное финансовое его состояние. На основе обследования предприятий-банкротов Э. Альтман определил коэффициенты значимости отдельных факторов в интегральной оценке вероятности банкротства. Модель Альтмана имеет следующий вид:</w:t>
      </w:r>
    </w:p>
    <w:p w:rsidR="00747FB3" w:rsidRPr="002C1CDC" w:rsidRDefault="00747FB3" w:rsidP="00747FB3">
      <w:pPr>
        <w:jc w:val="right"/>
        <w:rPr>
          <w:rFonts w:eastAsia="Calibri" w:cs="Times New Roman"/>
          <w:szCs w:val="24"/>
        </w:rPr>
      </w:pPr>
      <m:oMath>
        <m:r>
          <w:rPr>
            <w:rFonts w:ascii="Cambria Math" w:eastAsia="Calibri" w:hAnsi="Cambria Math" w:cs="Times New Roman"/>
            <w:szCs w:val="24"/>
          </w:rPr>
          <m:t>Z=1,2*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="Calibri" w:hAnsi="Cambria Math" w:cs="Times New Roman"/>
            <w:szCs w:val="24"/>
          </w:rPr>
          <m:t>+1,4*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2</m:t>
            </m:r>
          </m:sub>
        </m:sSub>
        <m:r>
          <w:rPr>
            <w:rFonts w:ascii="Cambria Math" w:eastAsia="Calibri" w:hAnsi="Cambria Math" w:cs="Times New Roman"/>
            <w:szCs w:val="24"/>
          </w:rPr>
          <m:t>+3,3*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3</m:t>
            </m:r>
          </m:sub>
        </m:sSub>
        <m:r>
          <w:rPr>
            <w:rFonts w:ascii="Cambria Math" w:eastAsia="Calibri" w:hAnsi="Cambria Math" w:cs="Times New Roman"/>
            <w:szCs w:val="24"/>
          </w:rPr>
          <m:t>+0,6*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4</m:t>
            </m:r>
          </m:sub>
        </m:sSub>
        <m:r>
          <w:rPr>
            <w:rFonts w:ascii="Cambria Math" w:eastAsia="Calibri" w:hAnsi="Cambria Math" w:cs="Times New Roman"/>
            <w:szCs w:val="24"/>
          </w:rPr>
          <m:t>+1,0*</m:t>
        </m:r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5</m:t>
            </m:r>
          </m:sub>
        </m:sSub>
      </m:oMath>
      <w:r w:rsidRPr="002C1CDC">
        <w:rPr>
          <w:rFonts w:eastAsia="Calibri" w:cs="Times New Roman"/>
          <w:szCs w:val="24"/>
        </w:rPr>
        <w:t xml:space="preserve">  ,                 (1)</w:t>
      </w:r>
    </w:p>
    <w:p w:rsidR="00747FB3" w:rsidRPr="002C1CDC" w:rsidRDefault="00747FB3" w:rsidP="00747FB3">
      <w:pPr>
        <w:rPr>
          <w:rFonts w:eastAsia="Calibri" w:cs="Times New Roman"/>
          <w:szCs w:val="24"/>
          <w:lang w:val="uk-UA"/>
        </w:rPr>
      </w:pP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где Z — интегральный показатель уровня угрозы банкротства ("Z-счет Альтмана"); 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Х1 — отношение оборотных активов (рабочего капитала) к сумме всех активов предприятия; 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Х2 — уровень рентабельности капитала; 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Х3 — уровень доходности активов; 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Х4 — коэффициент соотношения собственного и заемного капитала; 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Х5 — оборачиваемость активов (в числе оборотов).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</w:p>
    <w:p w:rsidR="00747FB3" w:rsidRPr="002C1CDC" w:rsidRDefault="00747FB3" w:rsidP="00747FB3">
      <w:pPr>
        <w:ind w:firstLine="426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Несмотря на относительную простоту использования этой модели для оценки финансового кризиса и угрозы банкротства, в наших экономических условиях она не позволяет получить достаточно объективный результат. Это вызывается различиями в учете отдельных показателей, влиянием инфляции на их формирование, несоответствием балансовой и рыночной стоимости отдельных активов и другими объективными причинами, которые определяют необходимость корректировки коэффициентов </w:t>
      </w:r>
      <w:r w:rsidRPr="002C1CDC">
        <w:rPr>
          <w:rFonts w:eastAsia="Calibri" w:cs="Times New Roman"/>
          <w:szCs w:val="24"/>
        </w:rPr>
        <w:lastRenderedPageBreak/>
        <w:t>значимости показателей, приведенных в модели Альтмана, и учета ряда других показателей оценки кризисного развития предприятия.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 3. Прогнозирование развития кризисного финансового состояния предприятия под негативным воздействием отдельных факторов. Такой прогноз осуществляется на основе разработки специальных многофакторных регрессионных моделей, использования в этих целях аналитического аппарата СВОТ-анализа и других методов, подробно рассмотренных ранее при изложении принципов фундаментального анализа. В процессе прогнозирования учитываются факторы, оказывающие наиболее существенное негативное воздействие на финансовое развитие и генерирующие наибольшую угрозу финансового кризиса предприятия в предстоящем периоде.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4. Прогнозирование способности предприятия к нейтрализации финансового кризиса за счет внутреннего финансового потенциала. В процессе такого прогнозирования определяется как быстро и в каком объеме предприятие способно:обеспечить рост чистого денежного потока;снизить общую сумму финансовых обязательств;реструктуризировать свои финансовые обязательства путем перевода их из краткосрочных форм в долгосрочные;снизить уровень текущих затрат и коэффициент операционного левериджа;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снизить уровень финансовых рисков в своей деятельности;положительно изменить другие финансовые показатели несмотря на негативное воздействие отдельных факторов.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Обобщающую оценку способности предприятия к нейтрализации финансового кризиса в краткосрочном перспективном периоде позволяет получить прогнозируемый в динамике коэффициент возможной нейтрализации краткосрочного финансового кризиса предприятия, который рассчитывается по следующей формуле:</w:t>
      </w:r>
    </w:p>
    <w:p w:rsidR="00747FB3" w:rsidRPr="002C1CDC" w:rsidRDefault="00747FB3" w:rsidP="00747FB3">
      <w:pPr>
        <w:jc w:val="right"/>
        <w:rPr>
          <w:rFonts w:eastAsia="Calibri" w:cs="Times New Roman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КН</m:t>
            </m:r>
          </m:e>
          <m:sub>
            <m:r>
              <w:rPr>
                <w:rFonts w:ascii="Cambria Math" w:eastAsia="Calibri" w:hAnsi="Cambria Math" w:cs="Times New Roman"/>
                <w:szCs w:val="24"/>
              </w:rPr>
              <m:t>фк</m:t>
            </m:r>
          </m:sub>
        </m:sSub>
        <m:r>
          <w:rPr>
            <w:rFonts w:ascii="Cambria Math" w:eastAsia="Calibri" w:hAnsi="Cambria Math" w:cs="Times New Roman"/>
            <w:szCs w:val="24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Cs w:val="24"/>
              </w:rPr>
              <m:t>ЧДП</m:t>
            </m:r>
          </m:num>
          <m:den>
            <m:r>
              <w:rPr>
                <w:rFonts w:ascii="Cambria Math" w:eastAsia="Calibri" w:hAnsi="Cambria Math" w:cs="Times New Roman"/>
                <w:szCs w:val="24"/>
              </w:rPr>
              <m:t>ФО</m:t>
            </m:r>
          </m:den>
        </m:f>
      </m:oMath>
      <w:r w:rsidRPr="002C1CDC">
        <w:rPr>
          <w:rFonts w:eastAsia="Calibri" w:cs="Times New Roman"/>
          <w:szCs w:val="24"/>
        </w:rPr>
        <w:t xml:space="preserve">       ,                                                                   (2)</w:t>
      </w:r>
    </w:p>
    <w:p w:rsidR="00747FB3" w:rsidRPr="002C1CDC" w:rsidRDefault="00747FB3" w:rsidP="00747FB3">
      <w:pPr>
        <w:jc w:val="left"/>
        <w:rPr>
          <w:rFonts w:ascii="Calibri" w:eastAsia="Calibri" w:hAnsi="Calibri" w:cs="Calibri"/>
          <w:sz w:val="22"/>
        </w:rPr>
      </w:pP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      где КНфк — коэффициент возможной нейтрализации краткосрочного финансового кризиса предприятия в перспективном периоде; 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     ЧДП — ожидаемая сумма чистого денежного потока; </w:t>
      </w:r>
    </w:p>
    <w:p w:rsidR="00747FB3" w:rsidRPr="002C1CDC" w:rsidRDefault="00747FB3" w:rsidP="00747FB3">
      <w:pPr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    ФО — средняя сумма финансовых обязательств.</w:t>
      </w:r>
    </w:p>
    <w:p w:rsidR="00747FB3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5. Окончательное определение масштабов кризисного финансового состояния предприятия. Идентификация масштабов кризисного финансового состояния должна включать аналитические и прогнозные результаты фундаментальной диагностики банкротства и определять возможные направления восстановления финансового равновесия предприятия.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>
        <w:rPr>
          <w:b/>
          <w:szCs w:val="28"/>
        </w:rPr>
        <w:t>Выводы.</w:t>
      </w:r>
      <w:r w:rsidRPr="002C1CDC">
        <w:rPr>
          <w:rFonts w:eastAsia="Calibri" w:cs="Times New Roman"/>
          <w:szCs w:val="24"/>
        </w:rPr>
        <w:t xml:space="preserve">Таким образом, финансовая стабилизация предприятия в условиях кризисной ситуации последовательно осуществляется по таким основным этапам: устранение неплатежеспособности, восстановление финансовой устойчивости (финансового равновесия), обеспечение финансового равновесия в длительном периоде. Это позволит устранить угрозу возобновления финансового кризиса не только в коротком, но и в относительно более продолжительном промежутке времени. </w:t>
      </w:r>
    </w:p>
    <w:p w:rsidR="00747FB3" w:rsidRDefault="00747FB3" w:rsidP="00747FB3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747FB3" w:rsidRPr="00D3057E" w:rsidRDefault="00747FB3" w:rsidP="00747FB3">
      <w:pPr>
        <w:rPr>
          <w:rFonts w:eastAsia="Calibri" w:cs="Times New Roman"/>
          <w:b/>
          <w:szCs w:val="24"/>
        </w:rPr>
      </w:pP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1.Анискин Ю.П. Организация и управление малым бизнесом: Учеб.Пособие.М. Финансы, статистика / Ю. П. Анискин,2011.– с. 68.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>2. Чалдаева Л.А. «Управление оборотным капиталом» / Л.А. Чалдаев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3. Бланк И. А. Управление финансовой безопасностью предприятия / И. А. Бланк- К.: Эльга, Ника - Центр, 2011.– 784 с.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4.  Вечканов Г. С. Экономическая безопасность: Учебник для вузов / Г. С. Вечканов- СПб: Питер, 2010. - 384 с. </w:t>
      </w:r>
    </w:p>
    <w:p w:rsidR="00747FB3" w:rsidRPr="002C1CDC" w:rsidRDefault="00747FB3" w:rsidP="00747FB3">
      <w:pPr>
        <w:ind w:firstLine="567"/>
        <w:rPr>
          <w:rFonts w:eastAsia="Calibri" w:cs="Times New Roman"/>
          <w:szCs w:val="24"/>
        </w:rPr>
      </w:pPr>
      <w:r w:rsidRPr="002C1CDC">
        <w:rPr>
          <w:rFonts w:eastAsia="Calibri" w:cs="Times New Roman"/>
          <w:szCs w:val="24"/>
        </w:rPr>
        <w:t xml:space="preserve">6. Гапоненко В. Ф. Экономическая безопасность предприятия. Подходы и принципы / В. Ф. Гапоненко, А. А. Беспалько, А. С. Власков- М.: Изд. «Ось - 89», 2010. - 208 с. </w:t>
      </w:r>
    </w:p>
    <w:p w:rsidR="00747FB3" w:rsidRDefault="00747FB3" w:rsidP="00747FB3">
      <w:pPr>
        <w:pStyle w:val="a4"/>
        <w:ind w:left="0" w:firstLine="567"/>
        <w:rPr>
          <w:rFonts w:cs="Times New Roman"/>
          <w:szCs w:val="24"/>
        </w:rPr>
      </w:pPr>
    </w:p>
    <w:p w:rsidR="00306C3B" w:rsidRDefault="00747FB3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3"/>
    <w:rsid w:val="00135C18"/>
    <w:rsid w:val="00747FB3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19E48-D020-48E6-8C59-9AAD228C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B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rsid w:val="0074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7FB3"/>
    <w:pPr>
      <w:ind w:left="720"/>
      <w:contextualSpacing/>
    </w:pPr>
  </w:style>
  <w:style w:type="table" w:styleId="a3">
    <w:name w:val="Table Grid"/>
    <w:basedOn w:val="a1"/>
    <w:uiPriority w:val="39"/>
    <w:rsid w:val="0074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fdanalyse.ru/news/nekotorye_aspekty/2010-03-23-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2016-11-25T13:19:00Z</dcterms:created>
  <dcterms:modified xsi:type="dcterms:W3CDTF">2016-11-25T13:35:00Z</dcterms:modified>
</cp:coreProperties>
</file>