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91" w:rsidRPr="00482E79" w:rsidRDefault="00F90C91" w:rsidP="00F90C91">
      <w:pPr>
        <w:spacing w:after="0" w:line="360" w:lineRule="auto"/>
        <w:jc w:val="right"/>
        <w:rPr>
          <w:rStyle w:val="fontstyle01"/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482E79">
        <w:rPr>
          <w:rStyle w:val="fontstyle01"/>
          <w:rFonts w:ascii="Times New Roman" w:hAnsi="Times New Roman" w:cs="Times New Roman"/>
          <w:b w:val="0"/>
          <w:i/>
          <w:color w:val="auto"/>
          <w:sz w:val="28"/>
          <w:szCs w:val="28"/>
        </w:rPr>
        <w:t>Повышение эффективности управленческой деятельности предприятий ДНР</w:t>
      </w:r>
    </w:p>
    <w:p w:rsidR="00F90C91" w:rsidRPr="00482E79" w:rsidRDefault="00F90C91" w:rsidP="00F90C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E79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УГЛЕДОБЫВАЮЩИХ ПРЕДПРИЯТИЙ</w:t>
      </w:r>
    </w:p>
    <w:p w:rsidR="00F90C91" w:rsidRPr="00482E79" w:rsidRDefault="00F90C91" w:rsidP="00F90C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82E79">
        <w:rPr>
          <w:rFonts w:ascii="Times New Roman" w:hAnsi="Times New Roman" w:cs="Times New Roman"/>
          <w:sz w:val="28"/>
          <w:szCs w:val="28"/>
        </w:rPr>
        <w:t>Какунина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90C91" w:rsidRPr="00482E79" w:rsidRDefault="00F90C91" w:rsidP="00F90C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E79">
        <w:rPr>
          <w:rFonts w:ascii="Times New Roman" w:hAnsi="Times New Roman" w:cs="Times New Roman"/>
          <w:sz w:val="28"/>
          <w:szCs w:val="28"/>
        </w:rPr>
        <w:t>Ст. преподаватель каф. «Экономик</w:t>
      </w:r>
      <w:r w:rsidRPr="00482E79">
        <w:rPr>
          <w:rFonts w:ascii="Times New Roman" w:hAnsi="Times New Roman" w:cs="Times New Roman"/>
          <w:sz w:val="28"/>
          <w:szCs w:val="28"/>
        </w:rPr>
        <w:t>а и маркетинг» ГОУ ВПО «ДОННТУ»</w:t>
      </w:r>
    </w:p>
    <w:p w:rsidR="00F90C91" w:rsidRPr="00482E79" w:rsidRDefault="00F90C91" w:rsidP="00D51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C91" w:rsidRPr="00482E79" w:rsidRDefault="00D511CB" w:rsidP="00D51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E79">
        <w:rPr>
          <w:rFonts w:ascii="Times New Roman" w:hAnsi="Times New Roman" w:cs="Times New Roman"/>
          <w:sz w:val="28"/>
          <w:szCs w:val="28"/>
        </w:rPr>
        <w:t xml:space="preserve">Гарантией устойчивого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>-эколого-экономического развития отечественной экономики является трансформация многих промышленных, в том числе угледобывающих предприятий. Проблемы, связанные с глобализацией и жесткой конкуренцией за рынки сбыта своей продукции, обусловленной рядом факторов, в том числе специфических, могут быть решены с помощью специфики управленческой деятельности. Практика современных российских и европейских горных компаний, функционирующих в системе КСО (корпоративной социальной ответственности) доказывает высокую результативность устойчивого социального развития, способствующего повышению уровня экономического роста</w:t>
      </w:r>
      <w:r w:rsidR="00F90C91" w:rsidRPr="00482E79">
        <w:rPr>
          <w:rFonts w:ascii="Times New Roman" w:hAnsi="Times New Roman" w:cs="Times New Roman"/>
          <w:sz w:val="28"/>
          <w:szCs w:val="28"/>
        </w:rPr>
        <w:t xml:space="preserve"> [1]</w:t>
      </w:r>
      <w:r w:rsidRPr="00482E79">
        <w:rPr>
          <w:rFonts w:ascii="Times New Roman" w:hAnsi="Times New Roman" w:cs="Times New Roman"/>
          <w:sz w:val="28"/>
          <w:szCs w:val="28"/>
        </w:rPr>
        <w:t>.</w:t>
      </w:r>
      <w:r w:rsidR="00F90C91" w:rsidRPr="00482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FBD" w:rsidRPr="00482E79" w:rsidRDefault="00A828EF" w:rsidP="008D4FBD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В ряде исследований зарубежных и российских ученых отмечается устойчивая связь между социальной ответственностью промышленного предприятия и его финансовыми результатами.</w:t>
      </w:r>
      <w:r w:rsidR="008D4FBD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Сегодня экономика республики находится на стадии становления, которой характерны определенные элементы, в силу </w:t>
      </w:r>
      <w:r w:rsidR="00AB7264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сложившихся</w:t>
      </w:r>
      <w:r w:rsidR="008D4FBD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обстоятельств, социальной и экономической нестабильности. Следует учесть опыт российских и зарубежных промышленных предприятий, которые с целью обеспечения высокого уровня конкурентоспособности своей продукции и устойчивого уровня финансовой стабильности достаточно эффективно внедряют элементы КСО.</w:t>
      </w:r>
    </w:p>
    <w:p w:rsidR="00F462D9" w:rsidRPr="00482E79" w:rsidRDefault="00F462D9" w:rsidP="008D4FBD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82E79">
        <w:rPr>
          <w:rFonts w:ascii="Times New Roman" w:hAnsi="Times New Roman" w:cs="Times New Roman"/>
          <w:sz w:val="28"/>
          <w:szCs w:val="28"/>
        </w:rPr>
        <w:t xml:space="preserve">Российские ученые трактуют КСО как </w:t>
      </w:r>
      <w:r w:rsidR="002031ED">
        <w:rPr>
          <w:rFonts w:ascii="Times New Roman" w:hAnsi="Times New Roman" w:cs="Times New Roman"/>
          <w:sz w:val="28"/>
          <w:szCs w:val="28"/>
        </w:rPr>
        <w:t>«</w:t>
      </w:r>
      <w:r w:rsidRPr="00482E79">
        <w:rPr>
          <w:rFonts w:ascii="Times New Roman" w:hAnsi="Times New Roman" w:cs="Times New Roman"/>
          <w:sz w:val="28"/>
          <w:szCs w:val="28"/>
        </w:rPr>
        <w:t xml:space="preserve">добровольный вклад бизнеса в развитие общества в социальной, экономической и экологической </w:t>
      </w:r>
      <w:proofErr w:type="gramStart"/>
      <w:r w:rsidRPr="00482E79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482E79">
        <w:rPr>
          <w:rFonts w:ascii="Times New Roman" w:hAnsi="Times New Roman" w:cs="Times New Roman"/>
          <w:sz w:val="28"/>
          <w:szCs w:val="28"/>
        </w:rPr>
        <w:t>, связанный напрямую с основной деятельностью компании и выходящий за рамки определенного законом минимума</w:t>
      </w:r>
      <w:r w:rsidR="002031ED">
        <w:rPr>
          <w:rFonts w:ascii="Times New Roman" w:hAnsi="Times New Roman" w:cs="Times New Roman"/>
          <w:sz w:val="28"/>
          <w:szCs w:val="28"/>
        </w:rPr>
        <w:t>»</w:t>
      </w:r>
      <w:r w:rsidR="009C14C1" w:rsidRPr="00482E79">
        <w:rPr>
          <w:rFonts w:ascii="Times New Roman" w:hAnsi="Times New Roman" w:cs="Times New Roman"/>
          <w:sz w:val="28"/>
          <w:szCs w:val="28"/>
        </w:rPr>
        <w:t xml:space="preserve"> [2]</w:t>
      </w:r>
      <w:r w:rsidRPr="00482E79">
        <w:rPr>
          <w:rFonts w:ascii="Times New Roman" w:hAnsi="Times New Roman" w:cs="Times New Roman"/>
          <w:sz w:val="28"/>
          <w:szCs w:val="28"/>
        </w:rPr>
        <w:t>.</w:t>
      </w:r>
    </w:p>
    <w:p w:rsidR="008D4FBD" w:rsidRPr="00482E79" w:rsidRDefault="009C14C1" w:rsidP="00C858E0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82E79">
        <w:rPr>
          <w:rFonts w:ascii="Times New Roman" w:hAnsi="Times New Roman" w:cs="Times New Roman"/>
          <w:sz w:val="28"/>
          <w:szCs w:val="28"/>
        </w:rPr>
        <w:lastRenderedPageBreak/>
        <w:t xml:space="preserve">В научных исследованиях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Мартяковой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Е.В.</w:t>
      </w:r>
      <w:r w:rsidR="008C021B" w:rsidRPr="00482E79">
        <w:rPr>
          <w:rFonts w:ascii="Times New Roman" w:hAnsi="Times New Roman" w:cs="Times New Roman"/>
          <w:sz w:val="28"/>
          <w:szCs w:val="28"/>
        </w:rPr>
        <w:t xml:space="preserve"> </w:t>
      </w:r>
      <w:r w:rsidRPr="00482E79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трактуется как</w:t>
      </w:r>
      <w:r w:rsidR="008C021B" w:rsidRPr="00482E79">
        <w:rPr>
          <w:rFonts w:ascii="Times New Roman" w:hAnsi="Times New Roman" w:cs="Times New Roman"/>
          <w:sz w:val="28"/>
          <w:szCs w:val="28"/>
        </w:rPr>
        <w:t xml:space="preserve"> </w:t>
      </w:r>
      <w:r w:rsidR="002031ED">
        <w:rPr>
          <w:rFonts w:ascii="Times New Roman" w:hAnsi="Times New Roman" w:cs="Times New Roman"/>
          <w:sz w:val="28"/>
          <w:szCs w:val="28"/>
        </w:rPr>
        <w:t>«</w:t>
      </w:r>
      <w:r w:rsidR="008C021B" w:rsidRPr="00482E79">
        <w:rPr>
          <w:rFonts w:ascii="Times New Roman" w:hAnsi="Times New Roman" w:cs="Times New Roman"/>
          <w:sz w:val="28"/>
          <w:szCs w:val="28"/>
        </w:rPr>
        <w:t>подход, используемый многими международными компаниями для управления нефинансовыми рисками, которые могут повлиять на финансовые показатели деятельности компании в будущем</w:t>
      </w:r>
      <w:r w:rsidR="002031ED">
        <w:rPr>
          <w:rFonts w:ascii="Times New Roman" w:hAnsi="Times New Roman" w:cs="Times New Roman"/>
          <w:sz w:val="28"/>
          <w:szCs w:val="28"/>
        </w:rPr>
        <w:t>»</w:t>
      </w:r>
      <w:r w:rsidR="008C021B" w:rsidRPr="00482E79">
        <w:rPr>
          <w:rFonts w:ascii="Times New Roman" w:hAnsi="Times New Roman" w:cs="Times New Roman"/>
          <w:sz w:val="28"/>
          <w:szCs w:val="28"/>
        </w:rPr>
        <w:t>.</w:t>
      </w:r>
      <w:r w:rsidR="00DC080A">
        <w:rPr>
          <w:rFonts w:ascii="Times New Roman" w:hAnsi="Times New Roman" w:cs="Times New Roman"/>
          <w:sz w:val="28"/>
          <w:szCs w:val="28"/>
        </w:rPr>
        <w:t xml:space="preserve"> </w:t>
      </w:r>
      <w:r w:rsidR="008C021B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Отечественные угледобывающие предприятия, обладающие огромным потенциалом способны уже сегодня, преследуя стратегические цели (повышение конкурентоспособности продукции, соответствие международным стандартам, привлечение иностранных инвесторов), выйти на фундаментальные уровни КСО (</w:t>
      </w:r>
      <w:r w:rsidR="002031ED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например, </w:t>
      </w:r>
      <w:r w:rsidR="008C021B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уровень законопослушности, который предусматривает: выплату </w:t>
      </w:r>
      <w:r w:rsidR="00482E79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своевременной </w:t>
      </w:r>
      <w:r w:rsidR="008C021B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заработной платы не ниже минимальной, утилизацию отходов производства, соответствие ст</w:t>
      </w:r>
      <w:r w:rsidR="00482E79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андартам безопасности продукции; обеспечение условий безопасности труда работников;  </w:t>
      </w:r>
      <w:r w:rsidR="00482E79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развитие человеческих ресурсов через обучающие программы и программы подготовки</w:t>
      </w:r>
      <w:r w:rsidR="00482E79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82E79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и повышения квалификации</w:t>
      </w:r>
      <w:r w:rsidR="00482E79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).</w:t>
      </w:r>
    </w:p>
    <w:p w:rsidR="00C858E0" w:rsidRPr="00482E79" w:rsidRDefault="00C858E0" w:rsidP="00C858E0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Основными принципами корпоративной социальной ответственности в топливно-энергетическом комплексе республики должны стать: налаживание тесных и долгосрочных отношений с потребителями, работниками, поставщиками и другими деловыми партнерами;</w:t>
      </w:r>
      <w:r w:rsidR="00DC080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031ED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получение репутации надежного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промышленного предприятия, которое ответственно относится к решению социальных и экологических проблем;</w:t>
      </w:r>
      <w:r w:rsidR="00DC080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ориентация на потребителя, лидерство в качестве;</w:t>
      </w:r>
      <w:r w:rsidR="00DC080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повышение конкурентоспособности своей продукции, продвижение её на мировой рынок;</w:t>
      </w:r>
      <w:proofErr w:type="gramEnd"/>
      <w:r w:rsidR="00DC080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новаторство, непрерывное совершенствование;</w:t>
      </w:r>
      <w:r w:rsidR="00DC080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формирование </w:t>
      </w:r>
      <w:r w:rsidR="007D3AB4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сегмента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квалифицированной и мотивированной на высокую производительность рабочей силы.</w:t>
      </w:r>
    </w:p>
    <w:p w:rsidR="00482E79" w:rsidRPr="00482E79" w:rsidRDefault="009F311E" w:rsidP="00482E79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Выгоды отечественных угледобывающих предприятий при реализации принципов КСО следующие: обеспечение общественной репутации </w:t>
      </w:r>
      <w:r w:rsidR="00C858E0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угледобывающего предприятия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DC080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рост доверия населения к деятельности </w:t>
      </w:r>
      <w:r w:rsidR="00C858E0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промышленного предприятия, его продукции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DC080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повышение профессионализма и развитие кадрового потенциала на </w:t>
      </w:r>
      <w:r w:rsidR="00C858E0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угледобывающих предприятиях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, обеспечение лояльности персонала; возможность формирования безопасной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среды деятельности и развития </w:t>
      </w:r>
      <w:r w:rsidR="00C858E0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угледобывающего предприятия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благодаря собственной корпоративной политике; соответствие нормам и стандартам мирового экономического сообщества;</w:t>
      </w:r>
      <w:proofErr w:type="gramEnd"/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возможность формирования партнерских отношений с </w:t>
      </w:r>
      <w:r w:rsidR="00C858E0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собственными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структурами, общественностью и СМИ.</w:t>
      </w:r>
      <w:r w:rsidR="00482E79"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82E79" w:rsidRPr="00482E79" w:rsidRDefault="00482E79" w:rsidP="00482E79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Роль государства должна заключаться в содействии развития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корпоративной социальной ответственности угледобывающих предприятий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путем сочетания инициативных мер государственной политики с применением, в случае необходимости, средств дополнительного регулирования, как механизмов стимулирующего характера (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например,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обеспечение благоприятных правовых, финансовых, налоговых и организационных условий для развития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КСО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в угледобывающей </w:t>
      </w:r>
      <w:r w:rsidR="008F7CD0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отрасли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; внедрение политики социальной ответственности и </w:t>
      </w:r>
      <w:proofErr w:type="gramStart"/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реализация</w:t>
      </w:r>
      <w:proofErr w:type="gramEnd"/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социально значимые программ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;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проведение государственной информационной кампании с целью разъяснения роли 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КСО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в развитии общества путем публикации статей и подготовки тематических телепрограмм в государственны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х средствах массовой информации и т.д.) </w:t>
      </w:r>
      <w:r w:rsidRPr="008F7CD0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[3]</w:t>
      </w: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C14C1" w:rsidRPr="00482E79" w:rsidRDefault="00482E79" w:rsidP="002060EC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Список литературы:</w:t>
      </w:r>
    </w:p>
    <w:p w:rsidR="00482E79" w:rsidRPr="008F7CD0" w:rsidRDefault="00482E79" w:rsidP="00482E79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1. Пономаренко Т.В., Маринина О.А. Корпоративная социальная ответственность угольной отрасли (практика российских и европейских компаний) [Электронный ресурс]. – Режим доступа: </w:t>
      </w:r>
      <w:hyperlink r:id="rId5" w:history="1">
        <w:r w:rsidRPr="008F7C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http://cyberleninka.ru/article/n/korporativnaya-sotsialnaya-otvetstvennost-ugolnoy-otrasli-praktika-rossiyskih-i-evropeyskih-kompaniy</w:t>
        </w:r>
      </w:hyperlink>
    </w:p>
    <w:p w:rsidR="00482E79" w:rsidRPr="008F7CD0" w:rsidRDefault="00482E79" w:rsidP="00482E79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proofErr w:type="spellStart"/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Франкевич</w:t>
      </w:r>
      <w:proofErr w:type="spellEnd"/>
      <w:r w:rsidRPr="00482E79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Ж.А. Формирование рациональной системы корпоративной социальной ответственности угольной компании [Электронный ресурс]. – Режим доступа:</w:t>
      </w:r>
      <w:r w:rsidRPr="00482E79">
        <w:rPr>
          <w:sz w:val="28"/>
          <w:szCs w:val="28"/>
        </w:rPr>
        <w:t xml:space="preserve"> </w:t>
      </w:r>
      <w:hyperlink r:id="rId6" w:history="1">
        <w:r w:rsidRPr="008F7C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http://elibrary.ru/item.asp?id=9496267</w:t>
        </w:r>
      </w:hyperlink>
    </w:p>
    <w:p w:rsidR="00482E79" w:rsidRPr="00482E79" w:rsidRDefault="00482E79" w:rsidP="00482E79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82E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Охріменко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О.О.,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proofErr w:type="gramStart"/>
      <w:r w:rsidRPr="00482E7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82E79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>.</w:t>
      </w:r>
      <w:r w:rsidRPr="00482E79">
        <w:rPr>
          <w:sz w:val="28"/>
          <w:szCs w:val="28"/>
        </w:rPr>
        <w:br/>
      </w:r>
      <w:proofErr w:type="spellStart"/>
      <w:proofErr w:type="gramStart"/>
      <w:r w:rsidRPr="00482E7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82E79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482E79">
        <w:rPr>
          <w:sz w:val="28"/>
          <w:szCs w:val="28"/>
        </w:rPr>
        <w:br/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політехнічний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E7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482E79">
        <w:rPr>
          <w:rFonts w:ascii="Times New Roman" w:hAnsi="Times New Roman" w:cs="Times New Roman"/>
          <w:sz w:val="28"/>
          <w:szCs w:val="28"/>
        </w:rPr>
        <w:t>». – 2015.</w:t>
      </w:r>
      <w:bookmarkStart w:id="0" w:name="_GoBack"/>
      <w:bookmarkEnd w:id="0"/>
      <w:r w:rsidRPr="00482E79">
        <w:rPr>
          <w:rFonts w:ascii="Times New Roman" w:hAnsi="Times New Roman" w:cs="Times New Roman"/>
          <w:sz w:val="28"/>
          <w:szCs w:val="28"/>
        </w:rPr>
        <w:t xml:space="preserve"> –180 с.</w:t>
      </w:r>
    </w:p>
    <w:sectPr w:rsidR="00482E79" w:rsidRPr="00482E79" w:rsidSect="00D511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CB"/>
    <w:rsid w:val="0003361E"/>
    <w:rsid w:val="000E4B22"/>
    <w:rsid w:val="00116E00"/>
    <w:rsid w:val="00173348"/>
    <w:rsid w:val="001C0642"/>
    <w:rsid w:val="002024CB"/>
    <w:rsid w:val="002031ED"/>
    <w:rsid w:val="002060EC"/>
    <w:rsid w:val="002C1161"/>
    <w:rsid w:val="00315F55"/>
    <w:rsid w:val="00482E79"/>
    <w:rsid w:val="00584BA6"/>
    <w:rsid w:val="005B0D9F"/>
    <w:rsid w:val="005E4332"/>
    <w:rsid w:val="00631DDB"/>
    <w:rsid w:val="006A08AC"/>
    <w:rsid w:val="007039E3"/>
    <w:rsid w:val="007C5479"/>
    <w:rsid w:val="007D3AB4"/>
    <w:rsid w:val="008B5F13"/>
    <w:rsid w:val="008C021B"/>
    <w:rsid w:val="008D4FBD"/>
    <w:rsid w:val="008F7CD0"/>
    <w:rsid w:val="00997DCC"/>
    <w:rsid w:val="009C14C1"/>
    <w:rsid w:val="009F311E"/>
    <w:rsid w:val="00A828EF"/>
    <w:rsid w:val="00AA1F05"/>
    <w:rsid w:val="00AB7264"/>
    <w:rsid w:val="00AE124F"/>
    <w:rsid w:val="00AF3C18"/>
    <w:rsid w:val="00B22150"/>
    <w:rsid w:val="00C325B5"/>
    <w:rsid w:val="00C858E0"/>
    <w:rsid w:val="00C865DC"/>
    <w:rsid w:val="00C87A3C"/>
    <w:rsid w:val="00D511CB"/>
    <w:rsid w:val="00DA1B8F"/>
    <w:rsid w:val="00DB0D77"/>
    <w:rsid w:val="00DC080A"/>
    <w:rsid w:val="00E93CBB"/>
    <w:rsid w:val="00ED589E"/>
    <w:rsid w:val="00F462D9"/>
    <w:rsid w:val="00F90C91"/>
    <w:rsid w:val="00FA7543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511C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82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511C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82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rary.ru/item.asp?id=9496267" TargetMode="External"/><Relationship Id="rId5" Type="http://schemas.openxmlformats.org/officeDocument/2006/relationships/hyperlink" Target="http://cyberleninka.ru/article/n/korporativnaya-sotsialnaya-otvetstvennost-ugolnoy-otrasli-praktika-rossiyskih-i-evropeyskih-kompan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dcterms:created xsi:type="dcterms:W3CDTF">2017-05-09T21:07:00Z</dcterms:created>
  <dcterms:modified xsi:type="dcterms:W3CDTF">2017-05-09T23:36:00Z</dcterms:modified>
</cp:coreProperties>
</file>