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6B" w:rsidRDefault="00F75B6B" w:rsidP="00F75B6B">
      <w:pPr>
        <w:spacing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F75B6B" w:rsidRPr="00F75B6B" w:rsidRDefault="00F75B6B" w:rsidP="00F75B6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B6B">
        <w:rPr>
          <w:rFonts w:ascii="Times New Roman" w:hAnsi="Times New Roman" w:cs="Times New Roman"/>
          <w:b/>
          <w:sz w:val="28"/>
          <w:szCs w:val="28"/>
        </w:rPr>
        <w:t>Рудченко</w:t>
      </w:r>
      <w:proofErr w:type="spellEnd"/>
      <w:r w:rsidRPr="00F75B6B">
        <w:rPr>
          <w:rFonts w:ascii="Times New Roman" w:hAnsi="Times New Roman" w:cs="Times New Roman"/>
          <w:b/>
          <w:sz w:val="28"/>
          <w:szCs w:val="28"/>
        </w:rPr>
        <w:t xml:space="preserve"> Т.И.</w:t>
      </w:r>
    </w:p>
    <w:p w:rsidR="00F75B6B" w:rsidRPr="00F75B6B" w:rsidRDefault="00F75B6B" w:rsidP="00F75B6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75B6B">
        <w:rPr>
          <w:rFonts w:ascii="Times New Roman" w:hAnsi="Times New Roman" w:cs="Times New Roman"/>
          <w:b/>
          <w:i/>
          <w:sz w:val="28"/>
          <w:szCs w:val="28"/>
        </w:rPr>
        <w:t xml:space="preserve"> канд. </w:t>
      </w:r>
      <w:r>
        <w:rPr>
          <w:rFonts w:ascii="Times New Roman" w:hAnsi="Times New Roman" w:cs="Times New Roman"/>
          <w:b/>
          <w:i/>
          <w:sz w:val="28"/>
          <w:szCs w:val="28"/>
        </w:rPr>
        <w:t>эконом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аук, </w:t>
      </w:r>
      <w:r w:rsidRPr="00F75B6B">
        <w:rPr>
          <w:rFonts w:ascii="Times New Roman" w:hAnsi="Times New Roman" w:cs="Times New Roman"/>
          <w:b/>
          <w:i/>
          <w:sz w:val="28"/>
          <w:szCs w:val="28"/>
        </w:rPr>
        <w:t>доцент кафедры экономической теории и государственного управления</w:t>
      </w:r>
    </w:p>
    <w:p w:rsidR="00F75B6B" w:rsidRPr="00F75B6B" w:rsidRDefault="00F75B6B" w:rsidP="00F75B6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75B6B">
        <w:rPr>
          <w:rFonts w:ascii="Times New Roman" w:hAnsi="Times New Roman" w:cs="Times New Roman"/>
          <w:b/>
          <w:i/>
          <w:sz w:val="28"/>
          <w:szCs w:val="28"/>
        </w:rPr>
        <w:t>Донецкий национальный технический университет</w:t>
      </w:r>
    </w:p>
    <w:p w:rsidR="00F75B6B" w:rsidRPr="00F75B6B" w:rsidRDefault="00C16E84" w:rsidP="00F75B6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Камедина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 О.</w:t>
      </w:r>
    </w:p>
    <w:p w:rsidR="00F75B6B" w:rsidRPr="00F75B6B" w:rsidRDefault="00F75B6B" w:rsidP="00F75B6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75B6B">
        <w:rPr>
          <w:rFonts w:ascii="Times New Roman" w:hAnsi="Times New Roman" w:cs="Times New Roman"/>
          <w:b/>
          <w:i/>
          <w:sz w:val="28"/>
          <w:szCs w:val="28"/>
        </w:rPr>
        <w:t>студентка 1 курса магистратуры государственного управления</w:t>
      </w:r>
    </w:p>
    <w:p w:rsidR="00F75B6B" w:rsidRDefault="00F75B6B" w:rsidP="00F75B6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75B6B">
        <w:rPr>
          <w:rFonts w:ascii="Times New Roman" w:hAnsi="Times New Roman" w:cs="Times New Roman"/>
          <w:b/>
          <w:i/>
          <w:sz w:val="28"/>
          <w:szCs w:val="28"/>
        </w:rPr>
        <w:t>Донецкий национальный технический университет</w:t>
      </w:r>
    </w:p>
    <w:p w:rsidR="00F75B6B" w:rsidRPr="00F75B6B" w:rsidRDefault="00F75B6B" w:rsidP="00F75B6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75B6B" w:rsidRDefault="00F75B6B" w:rsidP="00F75B6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5EB">
        <w:rPr>
          <w:rFonts w:ascii="Times New Roman" w:hAnsi="Times New Roman" w:cs="Times New Roman"/>
          <w:b/>
          <w:sz w:val="28"/>
          <w:szCs w:val="28"/>
        </w:rPr>
        <w:t>СОЦИАЛЬНЫЕ ИННОВАЦИИ И ИХ РЕАЛИЗАЦИЯ В СОВРЕМЕННЫХ УСЛОВИЯХ</w:t>
      </w:r>
    </w:p>
    <w:p w:rsidR="00F75B6B" w:rsidRPr="00F75B6B" w:rsidRDefault="00F75B6B" w:rsidP="00F75B6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B6B" w:rsidRDefault="00F75B6B" w:rsidP="009653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Успешное с</w:t>
      </w:r>
      <w:r w:rsidRPr="00D74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оциально-экономическое 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современном этапе предполагает инновационный путь, содержащий  этапы генерирования идеи, ее при</w:t>
      </w:r>
      <w:r w:rsidR="001D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кладную разработку, адаптацию 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современным потребностям и реализацию на практике. Важное место в этом процессе занимают социальные инновации как  форма активизации человеческого фактора и  важный инструмент </w:t>
      </w:r>
      <w:r w:rsidR="00B9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качества жизни людей, они тесно связаны с такими понятиями, как государственно-частное партнерство, корпоративная социальная ответственность,</w:t>
      </w:r>
      <w:r w:rsidR="007B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социальное предпринимательство, благотворительность.</w:t>
      </w:r>
      <w:r w:rsidR="00965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Социальные инновации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направлены на улучшение условий труда, здравоохранение, науку и образование, культуру, спорт, организацию досуга. </w:t>
      </w:r>
      <w:r w:rsidR="00492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Социальная инновационная деятельность предполагает новый способ разрешения социальных проблем и используется социальными службами, работниками социальных служб </w:t>
      </w:r>
      <w:r w:rsidR="004928CB" w:rsidRPr="0047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[1]</w:t>
      </w:r>
      <w:r w:rsidR="00492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социальным инновациям относят новые идеи, технологии, системы образования, здравоохранения, общественные коммуникации. Термин «социальная инновация» ввел  лауреат Нобелевской премии мира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Мухаммад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Проблемой социальных инноваций занимались М. Вебер, Э. Дюркгейм, М. Янг,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Друкер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Розанваллон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конца ХХ в. произошел всплеск внимания к социальным факторам и их влиянию на распространение технологий, что требует </w:t>
      </w:r>
      <w:r w:rsidR="001D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подробных и дополнительных исследований, а также анализ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новых условиях.</w:t>
      </w:r>
    </w:p>
    <w:p w:rsidR="001D7FCA" w:rsidRDefault="001D7FCA" w:rsidP="004928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рассмотрения различных видов инноваций составим их классификацию</w:t>
      </w:r>
      <w:r w:rsidR="00DC40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выделим место социальных инноваций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40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(таблица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="00DC40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5B6B" w:rsidRDefault="00F75B6B" w:rsidP="0047439D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Таблица 1</w:t>
      </w:r>
    </w:p>
    <w:p w:rsidR="00F75B6B" w:rsidRDefault="00F75B6B" w:rsidP="0047439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Классификация инноваций</w:t>
      </w:r>
      <w:r w:rsidR="00DC40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место социальных инноваций</w:t>
      </w:r>
    </w:p>
    <w:p w:rsidR="00F75B6B" w:rsidRDefault="00F75B6B" w:rsidP="0047439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817"/>
        <w:gridCol w:w="4253"/>
        <w:gridCol w:w="4501"/>
      </w:tblGrid>
      <w:tr w:rsidR="00F75B6B" w:rsidTr="00FB642A">
        <w:tc>
          <w:tcPr>
            <w:tcW w:w="817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Признаки</w:t>
            </w:r>
            <w:r w:rsidR="00DC4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инноваций </w:t>
            </w:r>
          </w:p>
        </w:tc>
        <w:tc>
          <w:tcPr>
            <w:tcW w:w="4501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Виды</w:t>
            </w:r>
            <w:r w:rsidR="00DC4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инноваций</w:t>
            </w:r>
          </w:p>
        </w:tc>
      </w:tr>
      <w:tr w:rsidR="0047439D" w:rsidTr="0047439D">
        <w:tc>
          <w:tcPr>
            <w:tcW w:w="817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степени охвата социальных факторов</w:t>
            </w:r>
          </w:p>
        </w:tc>
        <w:tc>
          <w:tcPr>
            <w:tcW w:w="4501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45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Комплексные</w:t>
            </w:r>
          </w:p>
          <w:p w:rsidR="00F75B6B" w:rsidRPr="005C45EB" w:rsidRDefault="00F75B6B" w:rsidP="0047439D">
            <w:pPr>
              <w:pStyle w:val="a4"/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45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Локальные</w:t>
            </w:r>
          </w:p>
        </w:tc>
      </w:tr>
      <w:tr w:rsidR="0047439D" w:rsidTr="0047439D">
        <w:tc>
          <w:tcPr>
            <w:tcW w:w="817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сферам применения</w:t>
            </w:r>
          </w:p>
        </w:tc>
        <w:tc>
          <w:tcPr>
            <w:tcW w:w="4501" w:type="dxa"/>
          </w:tcPr>
          <w:p w:rsidR="00F75B6B" w:rsidRDefault="00F75B6B" w:rsidP="0047439D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Политические</w:t>
            </w:r>
          </w:p>
          <w:p w:rsidR="00F75B6B" w:rsidRDefault="00F75B6B" w:rsidP="0047439D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Экономические</w:t>
            </w:r>
          </w:p>
          <w:p w:rsidR="00F75B6B" w:rsidRDefault="00F75B6B" w:rsidP="0047439D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Социальные</w:t>
            </w:r>
          </w:p>
          <w:p w:rsidR="00F75B6B" w:rsidRPr="000C571C" w:rsidRDefault="00F75B6B" w:rsidP="0047439D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Культурные</w:t>
            </w:r>
          </w:p>
        </w:tc>
      </w:tr>
      <w:tr w:rsidR="0047439D" w:rsidTr="0047439D">
        <w:tc>
          <w:tcPr>
            <w:tcW w:w="817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периоду реализации</w:t>
            </w:r>
          </w:p>
        </w:tc>
        <w:tc>
          <w:tcPr>
            <w:tcW w:w="4501" w:type="dxa"/>
          </w:tcPr>
          <w:p w:rsidR="00F75B6B" w:rsidRDefault="00F75B6B" w:rsidP="0047439D">
            <w:pPr>
              <w:pStyle w:val="a4"/>
              <w:numPr>
                <w:ilvl w:val="0"/>
                <w:numId w:val="6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Стратегические</w:t>
            </w:r>
          </w:p>
          <w:p w:rsidR="00F75B6B" w:rsidRPr="00B13573" w:rsidRDefault="00F75B6B" w:rsidP="0047439D">
            <w:pPr>
              <w:pStyle w:val="a4"/>
              <w:numPr>
                <w:ilvl w:val="0"/>
                <w:numId w:val="6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Тактические</w:t>
            </w:r>
          </w:p>
        </w:tc>
      </w:tr>
      <w:tr w:rsidR="00F75B6B" w:rsidTr="0047439D">
        <w:tc>
          <w:tcPr>
            <w:tcW w:w="817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типу нововведения</w:t>
            </w:r>
          </w:p>
        </w:tc>
        <w:tc>
          <w:tcPr>
            <w:tcW w:w="4501" w:type="dxa"/>
          </w:tcPr>
          <w:p w:rsidR="00F75B6B" w:rsidRPr="001F7F27" w:rsidRDefault="00A8246D" w:rsidP="0047439D">
            <w:pPr>
              <w:pStyle w:val="a4"/>
              <w:numPr>
                <w:ilvl w:val="0"/>
                <w:numId w:val="10"/>
              </w:num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Материально-технические</w:t>
            </w:r>
          </w:p>
          <w:p w:rsidR="00F75B6B" w:rsidRPr="001F7F27" w:rsidRDefault="00A8246D" w:rsidP="0047439D">
            <w:pPr>
              <w:pStyle w:val="a4"/>
              <w:numPr>
                <w:ilvl w:val="0"/>
                <w:numId w:val="10"/>
              </w:num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75B6B" w:rsidRPr="001F7F27">
              <w:rPr>
                <w:rFonts w:ascii="Times New Roman" w:hAnsi="Times New Roman" w:cs="Times New Roman"/>
                <w:sz w:val="28"/>
                <w:szCs w:val="28"/>
              </w:rPr>
              <w:t>оциальные</w:t>
            </w:r>
          </w:p>
        </w:tc>
      </w:tr>
      <w:tr w:rsidR="0047439D" w:rsidTr="0047439D">
        <w:tc>
          <w:tcPr>
            <w:tcW w:w="817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параметрам социальной сферы организации</w:t>
            </w:r>
          </w:p>
        </w:tc>
        <w:tc>
          <w:tcPr>
            <w:tcW w:w="4501" w:type="dxa"/>
          </w:tcPr>
          <w:p w:rsidR="00F75B6B" w:rsidRDefault="00F75B6B" w:rsidP="0047439D">
            <w:pPr>
              <w:pStyle w:val="a4"/>
              <w:numPr>
                <w:ilvl w:val="0"/>
                <w:numId w:val="7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Персонал</w:t>
            </w:r>
          </w:p>
          <w:p w:rsidR="00F75B6B" w:rsidRDefault="00F75B6B" w:rsidP="0047439D">
            <w:pPr>
              <w:pStyle w:val="a4"/>
              <w:numPr>
                <w:ilvl w:val="0"/>
                <w:numId w:val="7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Условия труда </w:t>
            </w:r>
          </w:p>
          <w:p w:rsidR="00F75B6B" w:rsidRDefault="00F75B6B" w:rsidP="0047439D">
            <w:pPr>
              <w:pStyle w:val="a4"/>
              <w:numPr>
                <w:ilvl w:val="0"/>
                <w:numId w:val="7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Организационная культура</w:t>
            </w:r>
          </w:p>
          <w:p w:rsidR="00F75B6B" w:rsidRPr="00B13573" w:rsidRDefault="00F75B6B" w:rsidP="0047439D">
            <w:pPr>
              <w:pStyle w:val="a4"/>
              <w:numPr>
                <w:ilvl w:val="0"/>
                <w:numId w:val="7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Социальная инфраструктура</w:t>
            </w:r>
          </w:p>
        </w:tc>
      </w:tr>
      <w:tr w:rsidR="0047439D" w:rsidTr="0047439D">
        <w:tc>
          <w:tcPr>
            <w:tcW w:w="817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форме реализации</w:t>
            </w:r>
          </w:p>
        </w:tc>
        <w:tc>
          <w:tcPr>
            <w:tcW w:w="4501" w:type="dxa"/>
          </w:tcPr>
          <w:p w:rsidR="00F75B6B" w:rsidRDefault="00F75B6B" w:rsidP="0047439D">
            <w:pPr>
              <w:pStyle w:val="a4"/>
              <w:numPr>
                <w:ilvl w:val="0"/>
                <w:numId w:val="8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Вещественные</w:t>
            </w:r>
          </w:p>
          <w:p w:rsidR="00F75B6B" w:rsidRDefault="00F75B6B" w:rsidP="0047439D">
            <w:pPr>
              <w:pStyle w:val="a4"/>
              <w:numPr>
                <w:ilvl w:val="0"/>
                <w:numId w:val="8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Организационные</w:t>
            </w:r>
          </w:p>
          <w:p w:rsidR="00F75B6B" w:rsidRPr="00B13573" w:rsidRDefault="00F75B6B" w:rsidP="0047439D">
            <w:pPr>
              <w:pStyle w:val="a4"/>
              <w:numPr>
                <w:ilvl w:val="0"/>
                <w:numId w:val="8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Культурные</w:t>
            </w:r>
          </w:p>
        </w:tc>
      </w:tr>
      <w:tr w:rsidR="00F75B6B" w:rsidTr="0047439D">
        <w:tc>
          <w:tcPr>
            <w:tcW w:w="817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содержанию </w:t>
            </w:r>
          </w:p>
        </w:tc>
        <w:tc>
          <w:tcPr>
            <w:tcW w:w="4501" w:type="dxa"/>
          </w:tcPr>
          <w:p w:rsidR="00F75B6B" w:rsidRDefault="00F75B6B" w:rsidP="0047439D">
            <w:pPr>
              <w:pStyle w:val="a4"/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Продукты</w:t>
            </w:r>
          </w:p>
          <w:p w:rsidR="00F75B6B" w:rsidRDefault="00F75B6B" w:rsidP="0047439D">
            <w:pPr>
              <w:pStyle w:val="a4"/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Технологии</w:t>
            </w:r>
          </w:p>
          <w:p w:rsidR="00F75B6B" w:rsidRDefault="00F75B6B" w:rsidP="0047439D">
            <w:pPr>
              <w:pStyle w:val="a4"/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Услуги</w:t>
            </w:r>
          </w:p>
        </w:tc>
      </w:tr>
      <w:tr w:rsidR="0047439D" w:rsidTr="0047439D">
        <w:tc>
          <w:tcPr>
            <w:tcW w:w="817" w:type="dxa"/>
          </w:tcPr>
          <w:p w:rsidR="00F75B6B" w:rsidRPr="005C45EB" w:rsidRDefault="00F75B6B" w:rsidP="004743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F75B6B" w:rsidRDefault="00F75B6B" w:rsidP="004743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масштабу </w:t>
            </w:r>
          </w:p>
        </w:tc>
        <w:tc>
          <w:tcPr>
            <w:tcW w:w="4501" w:type="dxa"/>
          </w:tcPr>
          <w:p w:rsidR="00F75B6B" w:rsidRDefault="00F75B6B" w:rsidP="0047439D">
            <w:pPr>
              <w:pStyle w:val="a4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Единичные</w:t>
            </w:r>
          </w:p>
          <w:p w:rsidR="00F75B6B" w:rsidRPr="00B13573" w:rsidRDefault="00F75B6B" w:rsidP="0047439D">
            <w:pPr>
              <w:pStyle w:val="a4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Диффузные</w:t>
            </w:r>
          </w:p>
        </w:tc>
      </w:tr>
    </w:tbl>
    <w:p w:rsidR="00F75B6B" w:rsidRPr="0047439D" w:rsidRDefault="00F75B6B" w:rsidP="0047439D">
      <w:pPr>
        <w:spacing w:line="360" w:lineRule="auto"/>
        <w:contextualSpacing/>
        <w:jc w:val="both"/>
        <w:rPr>
          <w:lang w:val="en-US"/>
        </w:rPr>
      </w:pPr>
    </w:p>
    <w:p w:rsidR="00F75B6B" w:rsidRDefault="00C544AA" w:rsidP="0047439D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</w:t>
      </w:r>
      <w:r w:rsidRPr="00BB37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собенность социальных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инноваций в</w:t>
      </w:r>
      <w:r w:rsidR="00F75B6B" w:rsidRPr="00BB37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сравнении с техническими, технологическими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или продуктовыми нововведениями  </w:t>
      </w:r>
      <w:r w:rsidR="00F75B6B" w:rsidRPr="00BB37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проявляется в следующем:  </w:t>
      </w:r>
      <w:r w:rsidR="00F75B6B" w:rsidRPr="00BB37E8">
        <w:rPr>
          <w:rFonts w:ascii="Times New Roman" w:hAnsi="Times New Roman" w:cs="Times New Roman"/>
          <w:color w:val="000000"/>
          <w:sz w:val="28"/>
          <w:szCs w:val="28"/>
        </w:rPr>
        <w:t>гораздо большая зона применения; «длинноволновая», многозве</w:t>
      </w:r>
      <w:r w:rsidR="00A8246D">
        <w:rPr>
          <w:rFonts w:ascii="Times New Roman" w:hAnsi="Times New Roman" w:cs="Times New Roman"/>
          <w:color w:val="000000"/>
          <w:sz w:val="28"/>
          <w:szCs w:val="28"/>
        </w:rPr>
        <w:t>нная резонансная сфера; не всегда явно</w:t>
      </w:r>
      <w:r w:rsidR="00F75B6B" w:rsidRPr="00BB37E8">
        <w:rPr>
          <w:rFonts w:ascii="Times New Roman" w:hAnsi="Times New Roman" w:cs="Times New Roman"/>
          <w:color w:val="000000"/>
          <w:sz w:val="28"/>
          <w:szCs w:val="28"/>
        </w:rPr>
        <w:t xml:space="preserve"> осязаемые и доказуемые преимущества; отсутствие общепринятой в технике стадии изготовления; размытость, неопределенность реальной цены; превалирующее значение коллективных разработок; сильная зависимость новшеств от групповых и личных качеств пользователей;</w:t>
      </w:r>
      <w:proofErr w:type="gramEnd"/>
      <w:r w:rsidR="00F75B6B" w:rsidRPr="00BB37E8">
        <w:rPr>
          <w:rFonts w:ascii="Times New Roman" w:hAnsi="Times New Roman" w:cs="Times New Roman"/>
          <w:color w:val="000000"/>
          <w:sz w:val="28"/>
          <w:szCs w:val="28"/>
        </w:rPr>
        <w:t xml:space="preserve"> тесная связь с общим комплексом </w:t>
      </w:r>
      <w:r w:rsidR="00F75B6B" w:rsidRPr="00BB37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общественных отношений; </w:t>
      </w:r>
      <w:r w:rsidR="00F75B6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75B6B" w:rsidRPr="00BB37E8">
        <w:rPr>
          <w:rFonts w:ascii="Times New Roman" w:hAnsi="Times New Roman" w:cs="Times New Roman"/>
          <w:color w:val="000000"/>
          <w:sz w:val="28"/>
          <w:szCs w:val="28"/>
        </w:rPr>
        <w:t xml:space="preserve">отребность выходить за рамки нормативных социальных установлений </w:t>
      </w:r>
      <w:r w:rsidR="0047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47439D" w:rsidRPr="0047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2]</w:t>
      </w:r>
      <w:r w:rsidR="0047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5334" w:rsidRDefault="00285A48" w:rsidP="00B92FA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Базисными компонентами социально-инновационной среды являются: государство как субъект организуемых социальных инноваций; общественные институты и структуры как объекты организуемых инноваций и субъекты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саоорганизующихся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социальных инноваций; социальные индивиды как конечные потребители результатов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B9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7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92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5B6B" w:rsidRPr="00E3561C">
        <w:rPr>
          <w:rFonts w:ascii="Times New Roman" w:eastAsia="Times New Roman" w:hAnsi="Times New Roman" w:cs="Times New Roman"/>
          <w:sz w:val="28"/>
          <w:szCs w:val="28"/>
        </w:rPr>
        <w:t>Социальные инновации могут иметь место в государственном секторе, в коммерческом,</w:t>
      </w:r>
      <w:r w:rsidR="00965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B6B" w:rsidRPr="00E3561C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некоммерческом и общественном секторах, а также в сферах взаимодействия между ними</w:t>
      </w:r>
      <w:r w:rsidR="00F75B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439D" w:rsidRPr="00474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92FAA" w:rsidRDefault="00F75B6B" w:rsidP="00B92FA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FF">
        <w:rPr>
          <w:rFonts w:ascii="Times New Roman" w:hAnsi="Times New Roman" w:cs="Times New Roman"/>
          <w:sz w:val="28"/>
          <w:szCs w:val="28"/>
        </w:rPr>
        <w:t xml:space="preserve">Отдельно следует выделить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инновационной </w:t>
      </w:r>
      <w:r w:rsidR="00C544AA">
        <w:rPr>
          <w:rFonts w:ascii="Times New Roman" w:hAnsi="Times New Roman" w:cs="Times New Roman"/>
          <w:sz w:val="28"/>
          <w:szCs w:val="28"/>
        </w:rPr>
        <w:t xml:space="preserve">и социальной </w:t>
      </w:r>
      <w:r>
        <w:rPr>
          <w:rFonts w:ascii="Times New Roman" w:hAnsi="Times New Roman" w:cs="Times New Roman"/>
          <w:sz w:val="28"/>
          <w:szCs w:val="28"/>
        </w:rPr>
        <w:t>ориентации функций государства, что определяется возрастающей сложностью управления инновационными социальными процессами, в которых государство само становится источником соци</w:t>
      </w:r>
      <w:r w:rsidR="00A8246D">
        <w:rPr>
          <w:rFonts w:ascii="Times New Roman" w:hAnsi="Times New Roman" w:cs="Times New Roman"/>
          <w:sz w:val="28"/>
          <w:szCs w:val="28"/>
        </w:rPr>
        <w:t xml:space="preserve">альных инноваций. </w:t>
      </w:r>
      <w:proofErr w:type="gramStart"/>
      <w:r w:rsidR="00A8246D">
        <w:rPr>
          <w:rFonts w:ascii="Times New Roman" w:hAnsi="Times New Roman" w:cs="Times New Roman"/>
          <w:sz w:val="28"/>
          <w:szCs w:val="28"/>
        </w:rPr>
        <w:t>Более того, «</w:t>
      </w:r>
      <w:r>
        <w:rPr>
          <w:rFonts w:ascii="Times New Roman" w:hAnsi="Times New Roman" w:cs="Times New Roman"/>
          <w:sz w:val="28"/>
          <w:szCs w:val="28"/>
        </w:rPr>
        <w:t>к социальным инновациям следует относить не все изменения, а лишь управляемые, то есть те, которые осуществляются сверху как политическая или управленческая воля соответств</w:t>
      </w:r>
      <w:r w:rsidR="0047439D">
        <w:rPr>
          <w:rFonts w:ascii="Times New Roman" w:hAnsi="Times New Roman" w:cs="Times New Roman"/>
          <w:sz w:val="28"/>
          <w:szCs w:val="28"/>
        </w:rPr>
        <w:t>ующего уровня (</w:t>
      </w:r>
      <w:r>
        <w:rPr>
          <w:rFonts w:ascii="Times New Roman" w:hAnsi="Times New Roman" w:cs="Times New Roman"/>
          <w:sz w:val="28"/>
          <w:szCs w:val="28"/>
        </w:rPr>
        <w:t>страны, региона, предприятия, фирмы и т.д.»</w:t>
      </w:r>
      <w:r w:rsidR="0047439D">
        <w:rPr>
          <w:rFonts w:ascii="Times New Roman" w:hAnsi="Times New Roman" w:cs="Times New Roman"/>
          <w:sz w:val="28"/>
          <w:szCs w:val="28"/>
        </w:rPr>
        <w:t xml:space="preserve"> </w:t>
      </w:r>
      <w:r w:rsidR="0047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B9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7439D" w:rsidRPr="0047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47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7439D" w:rsidRPr="00474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92FAA" w:rsidRDefault="00B92FAA" w:rsidP="00B92F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кризисного состояния экономики необходимо широко применять прямые методы государственного регулирования социальных инновационных процессов:  как административно - </w:t>
      </w:r>
      <w:r w:rsidR="00965334">
        <w:rPr>
          <w:rFonts w:ascii="Times New Roman" w:hAnsi="Times New Roman" w:cs="Times New Roman"/>
          <w:sz w:val="28"/>
          <w:szCs w:val="28"/>
        </w:rPr>
        <w:t xml:space="preserve"> ведомственные (</w:t>
      </w:r>
      <w:r>
        <w:rPr>
          <w:rFonts w:ascii="Times New Roman" w:hAnsi="Times New Roman" w:cs="Times New Roman"/>
          <w:sz w:val="28"/>
          <w:szCs w:val="28"/>
        </w:rPr>
        <w:t>прямое дотационное финансирование в соответствии со специальными законами, с целью непосредственного содействия социальным инновациям), так и программно</w:t>
      </w:r>
      <w:r w:rsidR="00965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целевые</w:t>
      </w:r>
      <w:r w:rsidR="007B57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финансирование государственных целевых программ поддержки социальных инноваций).</w:t>
      </w:r>
      <w:r w:rsidR="007B5786">
        <w:rPr>
          <w:rFonts w:ascii="Times New Roman" w:hAnsi="Times New Roman" w:cs="Times New Roman"/>
          <w:sz w:val="28"/>
          <w:szCs w:val="28"/>
        </w:rPr>
        <w:t xml:space="preserve"> Важно перейти от разрозненных мероприятий и акций к планомерным долгосрочным стратегиям на всех уровнях осуществления социальных инноваций. </w:t>
      </w:r>
    </w:p>
    <w:p w:rsidR="00486F0C" w:rsidRPr="0047439D" w:rsidRDefault="00965334" w:rsidP="00B92FA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тем, о</w:t>
      </w:r>
      <w:r w:rsidR="00F7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существление социальных инноваций  вызывает определенные затруднения, связанные с расчетом  конкретных параметров, их состоянием и степенью реализации, что обусловливает  разные проявления социальных инноваций.</w:t>
      </w:r>
      <w:r w:rsidR="0047439D" w:rsidRPr="0047439D">
        <w:rPr>
          <w:rFonts w:ascii="Times New Roman" w:hAnsi="Times New Roman" w:cs="Times New Roman"/>
          <w:sz w:val="28"/>
          <w:szCs w:val="28"/>
        </w:rPr>
        <w:t xml:space="preserve"> </w:t>
      </w:r>
      <w:r w:rsidR="0047439D">
        <w:rPr>
          <w:rFonts w:ascii="Times New Roman" w:hAnsi="Times New Roman" w:cs="Times New Roman"/>
          <w:sz w:val="28"/>
          <w:szCs w:val="28"/>
        </w:rPr>
        <w:t xml:space="preserve">Социальные инновации как целенаправленно </w:t>
      </w:r>
      <w:r w:rsidR="0047439D">
        <w:rPr>
          <w:rFonts w:ascii="Times New Roman" w:hAnsi="Times New Roman" w:cs="Times New Roman"/>
          <w:sz w:val="28"/>
          <w:szCs w:val="28"/>
        </w:rPr>
        <w:lastRenderedPageBreak/>
        <w:t xml:space="preserve">создаваемые, так и спонтанно возникающие могут проявлять себя неоднозначно по отношению к обществу. </w:t>
      </w:r>
      <w:r w:rsidR="00F7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того, они носят рисковый характер, так как непосредственно связаны с людьми и могут иметь необратимый характер.  </w:t>
      </w:r>
      <w:r w:rsidR="00F75B6B">
        <w:rPr>
          <w:rFonts w:ascii="Times New Roman" w:hAnsi="Times New Roman" w:cs="Times New Roman"/>
          <w:sz w:val="28"/>
          <w:szCs w:val="28"/>
        </w:rPr>
        <w:t>Поэтому необходима государственная поддержка социально-конструктивных инноваций и противодействие инновациям социально-негативного характера, что требует, с одной стороны, исполнения функций стимулирования для первых и функций корректировки и пресечения - для вторых.</w:t>
      </w:r>
    </w:p>
    <w:p w:rsidR="00F75B6B" w:rsidRPr="00F75B6B" w:rsidRDefault="00F75B6B" w:rsidP="008C124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5B6B">
        <w:rPr>
          <w:rFonts w:ascii="Times New Roman" w:hAnsi="Times New Roman" w:cs="Times New Roman"/>
          <w:sz w:val="24"/>
          <w:szCs w:val="24"/>
        </w:rPr>
        <w:t>Перечень литературы</w:t>
      </w:r>
    </w:p>
    <w:p w:rsidR="00F75B6B" w:rsidRPr="00F75B6B" w:rsidRDefault="00F75B6B" w:rsidP="0047439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B6B">
        <w:rPr>
          <w:rFonts w:ascii="Times New Roman" w:hAnsi="Times New Roman" w:cs="Times New Roman"/>
          <w:sz w:val="24"/>
          <w:szCs w:val="24"/>
        </w:rPr>
        <w:t>Нагорнова</w:t>
      </w:r>
      <w:proofErr w:type="spellEnd"/>
      <w:r w:rsidRPr="00F75B6B">
        <w:rPr>
          <w:rFonts w:ascii="Times New Roman" w:hAnsi="Times New Roman" w:cs="Times New Roman"/>
          <w:sz w:val="24"/>
          <w:szCs w:val="24"/>
        </w:rPr>
        <w:t xml:space="preserve"> А.Ю. Социальные инновации: Учебное пособие для студентов по специальности «Социальная рабо</w:t>
      </w:r>
      <w:r>
        <w:rPr>
          <w:rFonts w:ascii="Times New Roman" w:hAnsi="Times New Roman" w:cs="Times New Roman"/>
          <w:sz w:val="24"/>
          <w:szCs w:val="24"/>
        </w:rPr>
        <w:t xml:space="preserve">та». - Ульяновск: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2003. - </w:t>
      </w:r>
      <w:r w:rsidRPr="00F75B6B">
        <w:rPr>
          <w:rFonts w:ascii="Times New Roman" w:hAnsi="Times New Roman" w:cs="Times New Roman"/>
          <w:sz w:val="24"/>
          <w:szCs w:val="24"/>
        </w:rPr>
        <w:t>87 с.</w:t>
      </w:r>
    </w:p>
    <w:p w:rsidR="00F75B6B" w:rsidRPr="00B92FAA" w:rsidRDefault="00F75B6B" w:rsidP="0047439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B6B">
        <w:rPr>
          <w:rFonts w:ascii="Times New Roman" w:hAnsi="Times New Roman" w:cs="Times New Roman"/>
          <w:sz w:val="24"/>
          <w:szCs w:val="24"/>
          <w:shd w:val="clear" w:color="auto" w:fill="FFFFFF"/>
        </w:rPr>
        <w:t>Усманов</w:t>
      </w:r>
      <w:proofErr w:type="spellEnd"/>
      <w:r w:rsidRPr="00F75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 Ф. Социальная </w:t>
      </w:r>
      <w:proofErr w:type="spellStart"/>
      <w:r w:rsidRPr="00F75B6B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инноватика</w:t>
      </w:r>
      <w:proofErr w:type="spellEnd"/>
      <w:r w:rsidRPr="00F75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Учебное пособие. М., Социум, 2009.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75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</w:t>
      </w:r>
      <w:proofErr w:type="gramStart"/>
      <w:r w:rsidRPr="00F75B6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F75B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92FAA" w:rsidRPr="00B92FAA" w:rsidRDefault="00B92FAA" w:rsidP="00B92FAA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B6B">
        <w:rPr>
          <w:rFonts w:ascii="Times New Roman" w:hAnsi="Times New Roman" w:cs="Times New Roman"/>
          <w:iCs/>
          <w:sz w:val="24"/>
          <w:szCs w:val="24"/>
        </w:rPr>
        <w:t>Романов В. Л. Социально-инновационный контекст эволюции парадигмы государственного управления / Государственное управление в XXI веке: традиции и инновации. - М.: Российская политическая энциклопедия .- 2007.-  С. 36-41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75B6B" w:rsidRPr="00F75B6B" w:rsidRDefault="00F75B6B" w:rsidP="0047439D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B6B">
        <w:rPr>
          <w:rFonts w:ascii="Times New Roman" w:hAnsi="Times New Roman" w:cs="Times New Roman"/>
          <w:sz w:val="24"/>
          <w:szCs w:val="24"/>
        </w:rPr>
        <w:t xml:space="preserve">Щавель С.А. Социальные инновации как источник развития общества / С.А. Щавель // Научные основы идентификации и использования общественно-функциональных инноваций / Под ред. П.Г. Никитенко. Минск.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75B6B">
        <w:rPr>
          <w:rFonts w:ascii="Times New Roman" w:hAnsi="Times New Roman" w:cs="Times New Roman"/>
          <w:sz w:val="24"/>
          <w:szCs w:val="24"/>
        </w:rPr>
        <w:t xml:space="preserve"> 2004. </w:t>
      </w:r>
    </w:p>
    <w:p w:rsidR="00B92FAA" w:rsidRPr="0047439D" w:rsidRDefault="00B92FAA" w:rsidP="00B92FAA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92FAA" w:rsidRPr="0047439D" w:rsidSect="00F75B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BBB"/>
    <w:multiLevelType w:val="hybridMultilevel"/>
    <w:tmpl w:val="6C66196A"/>
    <w:lvl w:ilvl="0" w:tplc="3848A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1">
    <w:nsid w:val="17CA4CEB"/>
    <w:multiLevelType w:val="hybridMultilevel"/>
    <w:tmpl w:val="3C226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74D95"/>
    <w:multiLevelType w:val="hybridMultilevel"/>
    <w:tmpl w:val="EF84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D3367"/>
    <w:multiLevelType w:val="hybridMultilevel"/>
    <w:tmpl w:val="CF58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31707"/>
    <w:multiLevelType w:val="hybridMultilevel"/>
    <w:tmpl w:val="EC5AD7B8"/>
    <w:lvl w:ilvl="0" w:tplc="3848A31C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C95789F"/>
    <w:multiLevelType w:val="multilevel"/>
    <w:tmpl w:val="FB00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22B6C"/>
    <w:multiLevelType w:val="hybridMultilevel"/>
    <w:tmpl w:val="EF5C50C2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35C05D5"/>
    <w:multiLevelType w:val="multilevel"/>
    <w:tmpl w:val="BEE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36211"/>
    <w:multiLevelType w:val="hybridMultilevel"/>
    <w:tmpl w:val="EA9C1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F7087"/>
    <w:multiLevelType w:val="hybridMultilevel"/>
    <w:tmpl w:val="62AAA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83F58"/>
    <w:multiLevelType w:val="hybridMultilevel"/>
    <w:tmpl w:val="877E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F4420"/>
    <w:multiLevelType w:val="hybridMultilevel"/>
    <w:tmpl w:val="10F266C0"/>
    <w:lvl w:ilvl="0" w:tplc="4D146286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FB61DF8"/>
    <w:multiLevelType w:val="hybridMultilevel"/>
    <w:tmpl w:val="5BFE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96F8A"/>
    <w:multiLevelType w:val="hybridMultilevel"/>
    <w:tmpl w:val="BA5CD4B6"/>
    <w:lvl w:ilvl="0" w:tplc="C8CCB07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6CA00845"/>
    <w:multiLevelType w:val="hybridMultilevel"/>
    <w:tmpl w:val="DBA4E1E4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13"/>
  </w:num>
  <w:num w:numId="12">
    <w:abstractNumId w:val="5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ED4"/>
    <w:rsid w:val="00110CC9"/>
    <w:rsid w:val="00167CAA"/>
    <w:rsid w:val="001D7FCA"/>
    <w:rsid w:val="00285A48"/>
    <w:rsid w:val="002E14BA"/>
    <w:rsid w:val="003D212A"/>
    <w:rsid w:val="00463D1F"/>
    <w:rsid w:val="0047439D"/>
    <w:rsid w:val="00475320"/>
    <w:rsid w:val="00486F0C"/>
    <w:rsid w:val="004928CB"/>
    <w:rsid w:val="005B5ABA"/>
    <w:rsid w:val="00722972"/>
    <w:rsid w:val="00737E84"/>
    <w:rsid w:val="0075361A"/>
    <w:rsid w:val="00780265"/>
    <w:rsid w:val="007B5786"/>
    <w:rsid w:val="008C124B"/>
    <w:rsid w:val="00964ED4"/>
    <w:rsid w:val="00965334"/>
    <w:rsid w:val="00A0617D"/>
    <w:rsid w:val="00A53DF4"/>
    <w:rsid w:val="00A8246D"/>
    <w:rsid w:val="00AA66FB"/>
    <w:rsid w:val="00B92FAA"/>
    <w:rsid w:val="00C06695"/>
    <w:rsid w:val="00C16E84"/>
    <w:rsid w:val="00C544AA"/>
    <w:rsid w:val="00CB6F56"/>
    <w:rsid w:val="00D15AF9"/>
    <w:rsid w:val="00D307A1"/>
    <w:rsid w:val="00DC4083"/>
    <w:rsid w:val="00F75B6B"/>
    <w:rsid w:val="00FA4CBF"/>
    <w:rsid w:val="00FC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F4"/>
  </w:style>
  <w:style w:type="paragraph" w:styleId="1">
    <w:name w:val="heading 1"/>
    <w:basedOn w:val="a"/>
    <w:link w:val="10"/>
    <w:uiPriority w:val="9"/>
    <w:qFormat/>
    <w:rsid w:val="00722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9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29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2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67CAA"/>
  </w:style>
  <w:style w:type="table" w:styleId="a5">
    <w:name w:val="Table Grid"/>
    <w:basedOn w:val="a1"/>
    <w:uiPriority w:val="59"/>
    <w:rsid w:val="00F75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Kamedin</dc:creator>
  <cp:lastModifiedBy>user</cp:lastModifiedBy>
  <cp:revision>15</cp:revision>
  <dcterms:created xsi:type="dcterms:W3CDTF">2016-03-15T21:42:00Z</dcterms:created>
  <dcterms:modified xsi:type="dcterms:W3CDTF">2016-03-26T10:58:00Z</dcterms:modified>
</cp:coreProperties>
</file>