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617"/>
      </w:tblGrid>
      <w:tr w:rsidR="00FD7D33" w:rsidRPr="00FD7D33" w:rsidTr="00DC10B6">
        <w:tc>
          <w:tcPr>
            <w:tcW w:w="9464" w:type="dxa"/>
            <w:gridSpan w:val="2"/>
            <w:hideMark/>
          </w:tcPr>
          <w:p w:rsidR="00FD7D33" w:rsidRPr="00FD7D33" w:rsidRDefault="00FD7D33" w:rsidP="00FD7D33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FD7D33">
              <w:rPr>
                <w:rFonts w:ascii="Times New Roman" w:hAnsi="Times New Roman"/>
                <w:b/>
                <w:sz w:val="28"/>
              </w:rPr>
              <w:t xml:space="preserve">УДК </w:t>
            </w:r>
            <w:r w:rsidRPr="00FD7D33">
              <w:rPr>
                <w:rFonts w:ascii="Times New Roman" w:hAnsi="Times New Roman"/>
                <w:b/>
                <w:sz w:val="28"/>
                <w:szCs w:val="28"/>
              </w:rPr>
              <w:t>338.467</w:t>
            </w:r>
          </w:p>
        </w:tc>
      </w:tr>
      <w:tr w:rsidR="00FD7D33" w:rsidRPr="00FD7D33" w:rsidTr="00DC10B6">
        <w:tc>
          <w:tcPr>
            <w:tcW w:w="9464" w:type="dxa"/>
            <w:gridSpan w:val="2"/>
          </w:tcPr>
          <w:p w:rsidR="00FD7D33" w:rsidRPr="00FD7D33" w:rsidRDefault="00FD7D33" w:rsidP="00FD7D33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956"/>
            <w:bookmarkStart w:id="1" w:name="_Toc480537180"/>
            <w:r w:rsidRPr="00FD7D33">
              <w:rPr>
                <w:rFonts w:ascii="Times New Roman" w:hAnsi="Times New Roman"/>
                <w:b/>
                <w:bCs/>
                <w:sz w:val="28"/>
                <w:szCs w:val="28"/>
              </w:rPr>
              <w:t>ГОСУДАРСТВЕННОЕ РЕГУЛИРОВАНИЕ СФЕРЫ ОБРАЩЕНИЯ С ОТХОДАМИ</w:t>
            </w:r>
            <w:bookmarkEnd w:id="0"/>
            <w:bookmarkEnd w:id="1"/>
          </w:p>
        </w:tc>
      </w:tr>
      <w:tr w:rsidR="00FD7D33" w:rsidRPr="00FD7D33" w:rsidTr="00DC10B6">
        <w:tc>
          <w:tcPr>
            <w:tcW w:w="4735" w:type="dxa"/>
          </w:tcPr>
          <w:p w:rsidR="00FD7D33" w:rsidRPr="00FD7D33" w:rsidRDefault="00FD7D33" w:rsidP="00FD7D33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:rsidR="00FD7D33" w:rsidRPr="00FD7D33" w:rsidRDefault="00FD7D33" w:rsidP="00FD7D33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D33" w:rsidRPr="00FD7D33" w:rsidTr="00DC10B6">
        <w:tc>
          <w:tcPr>
            <w:tcW w:w="4735" w:type="dxa"/>
          </w:tcPr>
          <w:p w:rsidR="00FD7D33" w:rsidRPr="00FD7D33" w:rsidRDefault="00FD7D33" w:rsidP="00FD7D33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29" w:type="dxa"/>
          </w:tcPr>
          <w:p w:rsidR="00FD7D33" w:rsidRPr="00FD7D33" w:rsidRDefault="00FD7D33" w:rsidP="00FD7D33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2" w:name="_Toc480490957"/>
            <w:bookmarkStart w:id="3" w:name="_Toc480537181"/>
            <w:r w:rsidRPr="00FD7D33">
              <w:rPr>
                <w:rFonts w:ascii="Times New Roman" w:hAnsi="Times New Roman"/>
                <w:b/>
                <w:bCs/>
                <w:sz w:val="28"/>
                <w:szCs w:val="26"/>
              </w:rPr>
              <w:t>А.В. Островская</w:t>
            </w:r>
            <w:bookmarkEnd w:id="2"/>
            <w:bookmarkEnd w:id="3"/>
          </w:p>
          <w:p w:rsidR="00FD7D33" w:rsidRPr="00FD7D33" w:rsidRDefault="00FD7D33" w:rsidP="00FD7D33">
            <w:pPr>
              <w:widowControl w:val="0"/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FD7D33">
              <w:rPr>
                <w:rFonts w:ascii="Times New Roman" w:hAnsi="Times New Roman"/>
                <w:i/>
                <w:sz w:val="28"/>
                <w:szCs w:val="28"/>
              </w:rPr>
              <w:t xml:space="preserve">ГОУ ВПО «Донецкий национальный университет» </w:t>
            </w:r>
          </w:p>
          <w:p w:rsidR="00FD7D33" w:rsidRPr="00FD7D33" w:rsidRDefault="00FD7D33" w:rsidP="00FD7D3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7D33">
              <w:rPr>
                <w:rFonts w:ascii="Times New Roman" w:hAnsi="Times New Roman"/>
                <w:i/>
                <w:sz w:val="28"/>
                <w:szCs w:val="28"/>
              </w:rPr>
              <w:t>г. Донецк, Донецкая Народная Республика</w:t>
            </w:r>
          </w:p>
        </w:tc>
      </w:tr>
    </w:tbl>
    <w:p w:rsidR="00FD7D33" w:rsidRPr="00FD7D33" w:rsidRDefault="00FD7D33" w:rsidP="00FD7D3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33" w:rsidRPr="00FD7D33" w:rsidRDefault="00FD7D33" w:rsidP="00FD7D3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рассматриваются актуальные вопросы формирования системы управления твердыми бытовыми отходами. Анализируется состояние системы сбора отходов производства и потребления. Предложены рекомендации по совершенствованию процесса сбора отходов производства и потребления.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Ключевые слова: вторичные ресурсы, твердые бытовые отходы, сфера обращения с отходами, государственное регулирование.  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D33" w:rsidRPr="00FD7D33" w:rsidRDefault="00FD7D33" w:rsidP="00FD7D3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D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Summary. In </w:t>
      </w:r>
      <w:proofErr w:type="gramStart"/>
      <w:r w:rsidRPr="00FD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article</w:t>
      </w:r>
      <w:proofErr w:type="gramEnd"/>
      <w:r w:rsidRPr="00FD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topical issues of formation of a control system are considered by a firm household waste. The condition of system of collecting production wastes and consumption in Russia and abroad for the last years </w:t>
      </w:r>
      <w:proofErr w:type="gramStart"/>
      <w:r w:rsidRPr="00FD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is analyzed</w:t>
      </w:r>
      <w:proofErr w:type="gramEnd"/>
      <w:r w:rsidRPr="00FD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Recommendations about improvement of process of collecting production wastes and consumption </w:t>
      </w:r>
      <w:proofErr w:type="gramStart"/>
      <w:r w:rsidRPr="00FD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are made</w:t>
      </w:r>
      <w:proofErr w:type="gramEnd"/>
      <w:r w:rsidRPr="00FD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FD7D33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Keywords: secondary resources, municipal solid waste, solid waste burying, solid waste incineration, recycling, separate collection of solid waste. 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Безопасное и эффективное обращение с отходами – одна из наиболее сложных экологических задач, стоящих перед руководством крупных промышленных городов. Ежедневно один городской житель образует от 1 до 3 кг твердых бытовых отходов, что в годовом исчислении составляет порядка 1 млн тонн бытового мусора или твердых бытовых отходов (ТБО). Таким образом, возникает вопрос о переработке или полном уничтожении отходов путем вовлечения данной категории в процесс вторичного использования с целью извлечения ценного или пригодного для дальнейшего использования сырья либо получения энергии для последующего использования в хозяйственных целях. </w:t>
      </w:r>
    </w:p>
    <w:p w:rsidR="00FD7D33" w:rsidRPr="00FD7D33" w:rsidRDefault="00FD7D33" w:rsidP="00FD7D3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обращения с отходами рассматривалась в работах Иванцовой Е.А. [1], Павленкова М.Н., Воронина П.М. [2], в работах Ахметовой Г.З. [3] акцентировалось внимание на региональных аспектах сферы обращения с отходами, Пинаев В.Е. [4] уделял особое внимание государственному регулированию обращения с отходами в сфере производства и потребления.</w:t>
      </w:r>
    </w:p>
    <w:p w:rsidR="00FD7D33" w:rsidRPr="00FD7D33" w:rsidRDefault="00FD7D33" w:rsidP="00FD7D3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является изучение проблем государственного регулирования сферы обращения с отходами и поиска возможных путей решения с учетом современных мировых тенденций.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результаты исследования. </w:t>
      </w: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утилизации отходов существует во всем мире. Государство выступает главным участником в вопросе формирования культуры обращения с отходами, обеспечивая путем совершенствования действующего законодательства непрерывность, экономическую эффективность и безопасность для окружающей среды всех этапов обращения с отходами [1].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Сфера обращения с отходами – это процесс, который включает в себя организацию сбора отходов, их утилизацию (переработку, сжигание или захоронение), а также мероприятия по снижению объемов образования и накопления. Инструментом регулирования этой сферы должна являться региональная стратегия управления отходами, которая базировалась бы на экологических, ресурсных и экономических требованиях региона.  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стратегия должна отвечать следующим основным принципам: [2]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соответствовать стратегическим планам развития региона и действующему законодательству;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структурированной по разделам, отражающим различные аспекты обращения с отходами, в том числе со специфическими, к которым относятся отходы строительства и строительный мусор, что особенно актуально в нынешней социально-политической ситуации, связанной с ведением военных действий;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отражать особенности региона, отвечать потребностям его развития;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обладать полной информационной обеспеченностью.</w:t>
      </w:r>
    </w:p>
    <w:p w:rsidR="00FD7D33" w:rsidRPr="00FD7D33" w:rsidRDefault="00FD7D33" w:rsidP="00FD7D33">
      <w:pPr>
        <w:widowControl w:val="0"/>
        <w:tabs>
          <w:tab w:val="left" w:pos="1036"/>
        </w:tabs>
        <w:spacing w:after="0" w:line="240" w:lineRule="auto"/>
        <w:ind w:lef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Базовыми принципами формирования и реализации такой стратегии должны </w:t>
      </w:r>
      <w:proofErr w:type="gramStart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быть:[</w:t>
      </w:r>
      <w:proofErr w:type="gramEnd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3]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отходами начинать не со стадии сбора, а со стадии образования;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баланс экологических и экономических интересов общества в целях устойчивого развития;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реализация принципа «загрязнитель платит»;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партнерства государства, региональных властей и населения данного региона с общественными организациями, предпринимательскими структурами, наукой;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соответствия данной стратегии ресурсному потенциалу и инфраструктуре региона;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 мониторинг и гласность в реализации стратегии.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государства в реализации стратегии обращения с отходами на региональном уровне сводится, в основном, к координирующим и контрольно-надзорным функциям, а именно: [4]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принятия законов и нормативных актов;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единой государственной политики;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государственного экологического контроля и надзора за деятельностью на объектах;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по сбору, использованию, обезвреживанию, транспортированию, размещению отходов I-IV классов </w:t>
      </w: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опасности;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установлению государственных стандартов, правил, нормативов и требований безопасного обращения с отходами;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государственного учета и отчетности, определение порядка ведения государственного кадастра отходов и организация его ведения.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уровне органов местного самоуправления реализация стратегии управления отходами заключается в следующем: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сбора и вывоза бытовых отходов и мусора;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утилизации и переработки бытовых и промышленных отходов;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сбора, вывоза, утилизации и переработки бытовых и промышленных отходов.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все реальная деятельность в сфере обращения с отходами возлагается на органы местного самоуправления, где государству отводится роль исключительно административно-надзорного органа. Учитывая данную специфику, для рационального решения проблем отходов с наименьшими затратами и экологическими рисками на региональном уровне, необходимо проводить единую социально-образовательную политику, направленную на формирование у населения экологического сознания и повышения ответственности за последствия загрязнения окружающей среды. 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такой политики подразумевает ряд последовательных действий, а именно: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разъяснительной работы среди населения (развитие понимания важности и необходимости раздельного сбора мусора, формирование положительного общественного мнения в этой сфере, разъяснение правил сортировки);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активного участия населения в раздельном сборе мусора на начальной стадии его образования, то есть непосредственно в квартирах и домах, путем сортировки его на вторсырье, которое впоследствии можно сдать за определенную плату, и на отходы, подлежащие утилизации;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в удобных местах необходимого количества </w:t>
      </w:r>
      <w:proofErr w:type="spellStart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спецконтейнеров</w:t>
      </w:r>
      <w:proofErr w:type="spellEnd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собранных фракций вторсырья и отходов;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современных комплексов по сортировке и </w:t>
      </w:r>
      <w:proofErr w:type="spellStart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компактированию</w:t>
      </w:r>
      <w:proofErr w:type="spellEnd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ТБО и отходов нежилого сектора;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централизованного управления потоками отходов и вторсырья с последующим направлением каждого потока на переработку оптимальным способом;</w:t>
      </w:r>
    </w:p>
    <w:p w:rsidR="00FD7D33" w:rsidRPr="00FD7D33" w:rsidRDefault="00FD7D33" w:rsidP="00FD7D33">
      <w:pPr>
        <w:widowControl w:val="0"/>
        <w:numPr>
          <w:ilvl w:val="0"/>
          <w:numId w:val="1"/>
        </w:numPr>
        <w:tabs>
          <w:tab w:val="left" w:pos="1036"/>
        </w:tabs>
        <w:spacing w:after="0" w:line="240" w:lineRule="auto"/>
        <w:ind w:left="28"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экономическое стимулирование населения для внедрения раздельного сбора мусора путем дифференциации тарифов на вывоз бытовых отходов. 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действия требуют вовлечения средств массовой информации, рекламных служб, образовательных учреждений в согласованную разъяснительную программу работы с населением, начиная от детей дошкольного возраста и заканчивая пенсионерами и неработающими </w:t>
      </w: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гражданами. Тут уместно будет вспомнить положительный опыт Советского Союза, когда сбор вторсырья (макулатуры, ветоши, металлолома, а позднее – люминесцентных ламп, батареек и стеклянной тары) являлся социально важным мероприятием. При этом основным мотивирующим побуждением выдвигался тезис о рациональном использовании природных ресурсов, и лишь во вторую очередь – материальное поощрение.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Европе на тему раздельного сбора мусора издается большое количество литературы, существуют и он-</w:t>
      </w:r>
      <w:proofErr w:type="spellStart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</w:t>
      </w:r>
      <w:proofErr w:type="spellEnd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активно пропагандируется </w:t>
      </w:r>
      <w:proofErr w:type="spellStart"/>
      <w:proofErr w:type="gramStart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экологичный</w:t>
      </w:r>
      <w:proofErr w:type="spellEnd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</w:t>
      </w:r>
      <w:proofErr w:type="gramEnd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в школах и детских дошкольных учреждениях. 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Разъясняя экологические задачи в прессе, по радио, телевидению, путем размещения социальной рекламы на </w:t>
      </w:r>
      <w:proofErr w:type="spellStart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биг-бордах</w:t>
      </w:r>
      <w:proofErr w:type="spellEnd"/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общественном транспорте, необходимо готовить население к практике раздельного сбора бытовых отходов. Стимулы для раздельного сбора мусора могут варьироваться от добровольных до принудительных. Например, в некоторых странах у населения несортированный мусор не принимают вообще, либо за его вывоз необходимо платить по довольно-таки высоким тарифам. Если же мусор уже отсортирован, то он вывозится бесплатно.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в реализации стратегии комплексного управления отходами населению отводится ключевая роль.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улучшению ситуации в сфере обращения с отходами будут способствовать вовлечение отходов во вторичную переработку и использование, привлечение внимания населения к данной проблеме.</w:t>
      </w:r>
    </w:p>
    <w:p w:rsidR="00FD7D33" w:rsidRPr="00FD7D33" w:rsidRDefault="00FD7D33" w:rsidP="00FD7D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Pr="00FD7D3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государственная политика в сфере управления отходами должна быть ориентирована на снижение количества отходов, подлежащих захоронению, и на развитие методов их максимального использования. Организация раздельного сбора требует детального планирования, включает в себя затраты, но эколого-экономическая выгода от его реализации значительно выше. Прежде всего, это улучшение экологической ситуации региона, снижение угрозы здоровью населения, а также экономические выгоды, связанные с вторичным использованием ресурсов и др.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078"/>
        <w:gridCol w:w="4609"/>
      </w:tblGrid>
      <w:tr w:rsidR="00FD7D33" w:rsidRPr="00FD7D33" w:rsidTr="00DC10B6">
        <w:tc>
          <w:tcPr>
            <w:tcW w:w="4819" w:type="dxa"/>
            <w:gridSpan w:val="2"/>
          </w:tcPr>
          <w:p w:rsidR="00FD7D33" w:rsidRPr="00FD7D33" w:rsidRDefault="00FD7D33" w:rsidP="00FD7D3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7D33" w:rsidRPr="00FD7D33" w:rsidRDefault="00FD7D33" w:rsidP="00FD7D33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7D33" w:rsidRPr="00FD7D33" w:rsidTr="00DC10B6">
        <w:tc>
          <w:tcPr>
            <w:tcW w:w="9639" w:type="dxa"/>
            <w:gridSpan w:val="3"/>
          </w:tcPr>
          <w:p w:rsidR="00FD7D33" w:rsidRPr="00FD7D33" w:rsidRDefault="00FD7D33" w:rsidP="00FD7D33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D33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FD7D33" w:rsidRPr="00FD7D33" w:rsidTr="00DC10B6">
        <w:tc>
          <w:tcPr>
            <w:tcW w:w="567" w:type="dxa"/>
          </w:tcPr>
          <w:p w:rsidR="00FD7D33" w:rsidRPr="00FD7D33" w:rsidRDefault="00FD7D33" w:rsidP="00FD7D33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D7D33" w:rsidRPr="00FD7D33" w:rsidRDefault="00FD7D33" w:rsidP="00FD7D3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7D33">
              <w:rPr>
                <w:rFonts w:ascii="Times New Roman" w:hAnsi="Times New Roman"/>
                <w:sz w:val="24"/>
                <w:szCs w:val="24"/>
              </w:rPr>
              <w:t xml:space="preserve">Иванцова Е.А. Проблемы и перспективы управления твердыми бытовыми отходами // </w:t>
            </w:r>
            <w:proofErr w:type="spellStart"/>
            <w:r w:rsidRPr="00FD7D33">
              <w:rPr>
                <w:rFonts w:ascii="Times New Roman" w:hAnsi="Times New Roman"/>
                <w:sz w:val="24"/>
                <w:szCs w:val="24"/>
              </w:rPr>
              <w:t>Вестн</w:t>
            </w:r>
            <w:proofErr w:type="spellEnd"/>
            <w:r w:rsidRPr="00FD7D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D7D33">
              <w:rPr>
                <w:rFonts w:ascii="Times New Roman" w:hAnsi="Times New Roman"/>
                <w:sz w:val="24"/>
                <w:szCs w:val="24"/>
              </w:rPr>
              <w:t>Волгогр</w:t>
            </w:r>
            <w:proofErr w:type="spellEnd"/>
            <w:r w:rsidRPr="00FD7D33">
              <w:rPr>
                <w:rFonts w:ascii="Times New Roman" w:hAnsi="Times New Roman"/>
                <w:sz w:val="24"/>
                <w:szCs w:val="24"/>
              </w:rPr>
              <w:t xml:space="preserve">. гос. ун-та. Сер. 3, </w:t>
            </w:r>
            <w:proofErr w:type="spellStart"/>
            <w:r w:rsidRPr="00FD7D33">
              <w:rPr>
                <w:rFonts w:ascii="Times New Roman" w:hAnsi="Times New Roman"/>
                <w:sz w:val="24"/>
                <w:szCs w:val="24"/>
              </w:rPr>
              <w:t>Экон</w:t>
            </w:r>
            <w:proofErr w:type="spellEnd"/>
            <w:r w:rsidRPr="00FD7D3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D7D33">
              <w:rPr>
                <w:rFonts w:ascii="Times New Roman" w:hAnsi="Times New Roman"/>
                <w:sz w:val="24"/>
                <w:szCs w:val="24"/>
              </w:rPr>
              <w:t>Экол</w:t>
            </w:r>
            <w:proofErr w:type="spellEnd"/>
            <w:r w:rsidRPr="00FD7D33">
              <w:rPr>
                <w:rFonts w:ascii="Times New Roman" w:hAnsi="Times New Roman"/>
                <w:sz w:val="24"/>
                <w:szCs w:val="24"/>
              </w:rPr>
              <w:t>. -  2016. -  № 2(35)</w:t>
            </w:r>
          </w:p>
        </w:tc>
      </w:tr>
      <w:tr w:rsidR="00FD7D33" w:rsidRPr="00FD7D33" w:rsidTr="00DC10B6">
        <w:tc>
          <w:tcPr>
            <w:tcW w:w="567" w:type="dxa"/>
          </w:tcPr>
          <w:p w:rsidR="00FD7D33" w:rsidRPr="00FD7D33" w:rsidRDefault="00FD7D33" w:rsidP="00FD7D33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D7D33" w:rsidRPr="00FD7D33" w:rsidRDefault="00FD7D33" w:rsidP="00FD7D3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7D33">
              <w:rPr>
                <w:rFonts w:ascii="Times New Roman" w:hAnsi="Times New Roman"/>
                <w:sz w:val="24"/>
                <w:szCs w:val="24"/>
              </w:rPr>
              <w:t xml:space="preserve">Павленков М.Н., Воронин П.М.  Организационно-экономические </w:t>
            </w:r>
            <w:proofErr w:type="gramStart"/>
            <w:r w:rsidRPr="00FD7D33">
              <w:rPr>
                <w:rFonts w:ascii="Times New Roman" w:hAnsi="Times New Roman"/>
                <w:sz w:val="24"/>
                <w:szCs w:val="24"/>
              </w:rPr>
              <w:t>проблемы  и</w:t>
            </w:r>
            <w:proofErr w:type="gramEnd"/>
            <w:r w:rsidRPr="00FD7D33">
              <w:rPr>
                <w:rFonts w:ascii="Times New Roman" w:hAnsi="Times New Roman"/>
                <w:sz w:val="24"/>
                <w:szCs w:val="24"/>
              </w:rPr>
              <w:t xml:space="preserve"> направления утилизации отходов // Вестник Нижегородского университета им. </w:t>
            </w:r>
            <w:proofErr w:type="spellStart"/>
            <w:r w:rsidRPr="00FD7D33">
              <w:rPr>
                <w:rFonts w:ascii="Times New Roman" w:hAnsi="Times New Roman"/>
                <w:sz w:val="24"/>
                <w:szCs w:val="24"/>
              </w:rPr>
              <w:t>Н.И.Лобачевского</w:t>
            </w:r>
            <w:proofErr w:type="spellEnd"/>
            <w:r w:rsidRPr="00FD7D33">
              <w:rPr>
                <w:rFonts w:ascii="Times New Roman" w:hAnsi="Times New Roman"/>
                <w:sz w:val="24"/>
                <w:szCs w:val="24"/>
              </w:rPr>
              <w:t xml:space="preserve">. Экономические науки. -  2013. - №3 (3) </w:t>
            </w:r>
          </w:p>
        </w:tc>
      </w:tr>
      <w:tr w:rsidR="00FD7D33" w:rsidRPr="00FD7D33" w:rsidTr="00DC10B6">
        <w:tc>
          <w:tcPr>
            <w:tcW w:w="567" w:type="dxa"/>
          </w:tcPr>
          <w:p w:rsidR="00FD7D33" w:rsidRPr="00FD7D33" w:rsidRDefault="00FD7D33" w:rsidP="00FD7D33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D7D33" w:rsidRPr="00FD7D33" w:rsidRDefault="00FD7D33" w:rsidP="00FD7D3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7D33">
              <w:rPr>
                <w:rFonts w:ascii="Times New Roman" w:hAnsi="Times New Roman"/>
                <w:sz w:val="24"/>
                <w:szCs w:val="24"/>
              </w:rPr>
              <w:t>Ахметова Г.З., Федоров М.А.  Особенности разработки региональной стратегии управления твердыми бытовыми отходами // Транспортное дело России. -  2013 - №2</w:t>
            </w:r>
          </w:p>
        </w:tc>
      </w:tr>
      <w:tr w:rsidR="00FD7D33" w:rsidRPr="00FD7D33" w:rsidTr="00DC10B6">
        <w:tc>
          <w:tcPr>
            <w:tcW w:w="567" w:type="dxa"/>
          </w:tcPr>
          <w:p w:rsidR="00FD7D33" w:rsidRPr="00FD7D33" w:rsidRDefault="00FD7D33" w:rsidP="00FD7D33">
            <w:pPr>
              <w:widowControl w:val="0"/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FD7D33" w:rsidRPr="00FD7D33" w:rsidRDefault="00FD7D33" w:rsidP="00FD7D3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D7D33">
              <w:rPr>
                <w:rFonts w:ascii="Times New Roman" w:hAnsi="Times New Roman"/>
                <w:sz w:val="24"/>
                <w:szCs w:val="24"/>
              </w:rPr>
              <w:t xml:space="preserve">Пинаев В.Е., Чернышев Д.А. Обращение с отходами производства и потребления – вопросы лицензирования // </w:t>
            </w:r>
            <w:proofErr w:type="spellStart"/>
            <w:r w:rsidRPr="00FD7D33">
              <w:rPr>
                <w:rFonts w:ascii="Times New Roman" w:hAnsi="Times New Roman"/>
                <w:sz w:val="24"/>
                <w:szCs w:val="24"/>
              </w:rPr>
              <w:t>Науковедение</w:t>
            </w:r>
            <w:proofErr w:type="spellEnd"/>
            <w:r w:rsidRPr="00FD7D33">
              <w:rPr>
                <w:rFonts w:ascii="Times New Roman" w:hAnsi="Times New Roman"/>
                <w:sz w:val="24"/>
                <w:szCs w:val="24"/>
              </w:rPr>
              <w:t>. -  2014. -  Выпуск 3</w:t>
            </w:r>
          </w:p>
        </w:tc>
      </w:tr>
    </w:tbl>
    <w:p w:rsidR="00C808F0" w:rsidRDefault="00C808F0">
      <w:bookmarkStart w:id="4" w:name="_GoBack"/>
      <w:bookmarkEnd w:id="4"/>
    </w:p>
    <w:sectPr w:rsidR="00C8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D46A5"/>
    <w:multiLevelType w:val="hybridMultilevel"/>
    <w:tmpl w:val="C9346622"/>
    <w:lvl w:ilvl="0" w:tplc="FB5A37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45011"/>
    <w:multiLevelType w:val="hybridMultilevel"/>
    <w:tmpl w:val="A3CEB7EA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33"/>
    <w:rsid w:val="00C808F0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97C80-F3DC-434B-80D5-0058544D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D3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2017-12-04T12:28:00Z</dcterms:created>
  <dcterms:modified xsi:type="dcterms:W3CDTF">2017-12-04T12:28:00Z</dcterms:modified>
</cp:coreProperties>
</file>