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28" w:rsidRPr="00D22AF9" w:rsidRDefault="005D5F28" w:rsidP="005D5F28">
      <w:pPr>
        <w:widowControl w:val="0"/>
        <w:ind w:firstLine="567"/>
        <w:jc w:val="center"/>
        <w:rPr>
          <w:b/>
          <w:szCs w:val="28"/>
          <w:lang w:val="uk-UA"/>
        </w:rPr>
      </w:pPr>
    </w:p>
    <w:tbl>
      <w:tblPr>
        <w:tblStyle w:val="a6"/>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664"/>
      </w:tblGrid>
      <w:tr w:rsidR="005D5F28" w:rsidRPr="00D22AF9" w:rsidTr="004E1C7B">
        <w:tc>
          <w:tcPr>
            <w:tcW w:w="9520" w:type="dxa"/>
            <w:gridSpan w:val="2"/>
            <w:hideMark/>
          </w:tcPr>
          <w:p w:rsidR="005D5F28" w:rsidRPr="00D22AF9" w:rsidRDefault="005D5F28" w:rsidP="004E1C7B">
            <w:pPr>
              <w:widowControl w:val="0"/>
              <w:ind w:firstLine="0"/>
              <w:jc w:val="both"/>
              <w:rPr>
                <w:b/>
                <w:sz w:val="27"/>
                <w:szCs w:val="27"/>
              </w:rPr>
            </w:pPr>
            <w:r w:rsidRPr="00D22AF9">
              <w:rPr>
                <w:b/>
              </w:rPr>
              <w:t xml:space="preserve">УДК </w:t>
            </w:r>
            <w:r w:rsidRPr="00D22AF9">
              <w:rPr>
                <w:b/>
                <w:sz w:val="27"/>
                <w:szCs w:val="27"/>
              </w:rPr>
              <w:t>656.8</w:t>
            </w:r>
          </w:p>
        </w:tc>
      </w:tr>
      <w:tr w:rsidR="005D5F28" w:rsidRPr="00D22AF9" w:rsidTr="004E1C7B">
        <w:tc>
          <w:tcPr>
            <w:tcW w:w="9520" w:type="dxa"/>
            <w:gridSpan w:val="2"/>
          </w:tcPr>
          <w:p w:rsidR="005D5F28" w:rsidRPr="00D22AF9" w:rsidRDefault="005D5F28" w:rsidP="004E1C7B">
            <w:pPr>
              <w:pStyle w:val="1"/>
              <w:keepNext w:val="0"/>
              <w:keepLines w:val="0"/>
              <w:widowControl w:val="0"/>
              <w:outlineLvl w:val="0"/>
            </w:pPr>
            <w:bookmarkStart w:id="0" w:name="_Toc480491008"/>
            <w:bookmarkStart w:id="1" w:name="_Toc480537232"/>
            <w:r w:rsidRPr="00D22AF9">
              <w:t>СТРАТЕГИЯ РАЗВИТИЯ ПРЕДОСТАВЛЕНИЯ УСЛУГ ПОЧТОВОЙ СВЯЗИ В СОВРЕМЕННЫХ УСЛОВИЯХ</w:t>
            </w:r>
            <w:bookmarkEnd w:id="0"/>
            <w:bookmarkEnd w:id="1"/>
          </w:p>
        </w:tc>
      </w:tr>
      <w:tr w:rsidR="005D5F28" w:rsidRPr="00D22AF9" w:rsidTr="004E1C7B">
        <w:tc>
          <w:tcPr>
            <w:tcW w:w="4735" w:type="dxa"/>
          </w:tcPr>
          <w:p w:rsidR="005D5F28" w:rsidRPr="00D22AF9" w:rsidRDefault="005D5F28" w:rsidP="004E1C7B">
            <w:pPr>
              <w:widowControl w:val="0"/>
              <w:ind w:firstLine="0"/>
              <w:jc w:val="right"/>
              <w:rPr>
                <w:szCs w:val="28"/>
              </w:rPr>
            </w:pPr>
          </w:p>
        </w:tc>
        <w:tc>
          <w:tcPr>
            <w:tcW w:w="4785" w:type="dxa"/>
          </w:tcPr>
          <w:p w:rsidR="005D5F28" w:rsidRPr="00D22AF9" w:rsidRDefault="005D5F28" w:rsidP="004E1C7B">
            <w:pPr>
              <w:widowControl w:val="0"/>
              <w:ind w:firstLine="0"/>
              <w:jc w:val="right"/>
              <w:rPr>
                <w:szCs w:val="28"/>
              </w:rPr>
            </w:pPr>
          </w:p>
        </w:tc>
      </w:tr>
      <w:tr w:rsidR="005D5F28" w:rsidRPr="00D22AF9" w:rsidTr="004E1C7B">
        <w:tc>
          <w:tcPr>
            <w:tcW w:w="4735" w:type="dxa"/>
          </w:tcPr>
          <w:p w:rsidR="005D5F28" w:rsidRPr="00D22AF9" w:rsidRDefault="005D5F28" w:rsidP="004E1C7B">
            <w:pPr>
              <w:pStyle w:val="1"/>
              <w:keepNext w:val="0"/>
              <w:keepLines w:val="0"/>
              <w:widowControl w:val="0"/>
              <w:outlineLvl w:val="0"/>
            </w:pPr>
          </w:p>
        </w:tc>
        <w:tc>
          <w:tcPr>
            <w:tcW w:w="4785" w:type="dxa"/>
          </w:tcPr>
          <w:p w:rsidR="005D5F28" w:rsidRPr="00D22AF9" w:rsidRDefault="005D5F28" w:rsidP="004E1C7B">
            <w:pPr>
              <w:widowControl w:val="0"/>
              <w:shd w:val="clear" w:color="auto" w:fill="FFFFFF"/>
              <w:ind w:firstLine="0"/>
              <w:rPr>
                <w:b/>
                <w:szCs w:val="28"/>
              </w:rPr>
            </w:pPr>
            <w:bookmarkStart w:id="2" w:name="_Toc480491009"/>
            <w:bookmarkStart w:id="3" w:name="_Toc480537233"/>
            <w:r w:rsidRPr="00D22AF9">
              <w:rPr>
                <w:rStyle w:val="20"/>
              </w:rPr>
              <w:t>О.Н.</w:t>
            </w:r>
            <w:r>
              <w:rPr>
                <w:rStyle w:val="20"/>
              </w:rPr>
              <w:t xml:space="preserve"> </w:t>
            </w:r>
            <w:r w:rsidRPr="00D22AF9">
              <w:rPr>
                <w:rStyle w:val="20"/>
              </w:rPr>
              <w:t>Шарнопольская,</w:t>
            </w:r>
            <w:bookmarkEnd w:id="2"/>
            <w:bookmarkEnd w:id="3"/>
            <w:r>
              <w:rPr>
                <w:rStyle w:val="20"/>
              </w:rPr>
              <w:t xml:space="preserve"> </w:t>
            </w:r>
            <w:r w:rsidRPr="00D22AF9">
              <w:rPr>
                <w:i/>
                <w:szCs w:val="28"/>
              </w:rPr>
              <w:t>к. э. н., доц.</w:t>
            </w:r>
          </w:p>
          <w:p w:rsidR="005D5F28" w:rsidRPr="00D22AF9" w:rsidRDefault="005D5F28" w:rsidP="004E1C7B">
            <w:pPr>
              <w:pStyle w:val="2"/>
              <w:keepNext w:val="0"/>
              <w:keepLines w:val="0"/>
              <w:widowControl w:val="0"/>
              <w:outlineLvl w:val="1"/>
            </w:pPr>
            <w:bookmarkStart w:id="4" w:name="_Toc480491010"/>
            <w:bookmarkStart w:id="5" w:name="_Toc480537234"/>
            <w:r w:rsidRPr="00D22AF9">
              <w:t>В.В.</w:t>
            </w:r>
            <w:r>
              <w:t xml:space="preserve"> </w:t>
            </w:r>
            <w:r w:rsidRPr="00D22AF9">
              <w:t>Яценко</w:t>
            </w:r>
            <w:bookmarkEnd w:id="4"/>
            <w:bookmarkEnd w:id="5"/>
          </w:p>
          <w:p w:rsidR="005D5F28" w:rsidRPr="00D22AF9" w:rsidRDefault="005D5F28" w:rsidP="004E1C7B">
            <w:pPr>
              <w:pStyle w:val="Default"/>
              <w:widowControl w:val="0"/>
              <w:rPr>
                <w:i/>
                <w:color w:val="auto"/>
                <w:sz w:val="28"/>
                <w:szCs w:val="28"/>
              </w:rPr>
            </w:pPr>
            <w:r w:rsidRPr="00D22AF9">
              <w:rPr>
                <w:i/>
                <w:color w:val="auto"/>
                <w:sz w:val="28"/>
                <w:szCs w:val="28"/>
              </w:rPr>
              <w:t xml:space="preserve">ГОУ ВПО «Донецкий национальный технический университет» </w:t>
            </w:r>
          </w:p>
          <w:p w:rsidR="005D5F28" w:rsidRPr="00D22AF9" w:rsidRDefault="005D5F28" w:rsidP="005D5F28">
            <w:pPr>
              <w:pStyle w:val="21"/>
              <w:numPr>
                <w:ilvl w:val="0"/>
                <w:numId w:val="1"/>
              </w:numPr>
              <w:contextualSpacing/>
              <w:jc w:val="left"/>
            </w:pPr>
            <w:r w:rsidRPr="00D22AF9">
              <w:rPr>
                <w:rFonts w:ascii="Times New Roman" w:eastAsia="Times New Roman" w:hAnsi="Times New Roman"/>
                <w:i/>
                <w:szCs w:val="28"/>
                <w:lang w:eastAsia="ru-RU"/>
              </w:rPr>
              <w:t>г. Донецк, Донецкая Народная Республика</w:t>
            </w:r>
          </w:p>
        </w:tc>
      </w:tr>
    </w:tbl>
    <w:p w:rsidR="005D5F28" w:rsidRPr="00D22AF9" w:rsidRDefault="005D5F28" w:rsidP="005D5F28">
      <w:pPr>
        <w:widowControl w:val="0"/>
        <w:ind w:firstLine="567"/>
        <w:jc w:val="center"/>
        <w:rPr>
          <w:b/>
          <w:szCs w:val="28"/>
        </w:rPr>
      </w:pPr>
    </w:p>
    <w:p w:rsidR="005D5F28" w:rsidRPr="00D22AF9" w:rsidRDefault="005D5F28" w:rsidP="005D5F28">
      <w:pPr>
        <w:widowControl w:val="0"/>
        <w:jc w:val="both"/>
        <w:rPr>
          <w:i/>
          <w:szCs w:val="28"/>
        </w:rPr>
      </w:pPr>
      <w:r w:rsidRPr="00D22AF9">
        <w:rPr>
          <w:i/>
          <w:szCs w:val="28"/>
        </w:rPr>
        <w:t>Аннотация. В статье рассмотрен рынок услуг почтовой связи как важная составляющая развития экономики и социальной сферы. Проанализирована динамика почтового дохода за 2005, 2015 гг. по сегментам предоставляемых услуг и регионам мира. Определены стратегические направления развития почтовой связи.</w:t>
      </w:r>
    </w:p>
    <w:p w:rsidR="005D5F28" w:rsidRPr="00D22AF9" w:rsidRDefault="005D5F28" w:rsidP="005D5F28">
      <w:pPr>
        <w:widowControl w:val="0"/>
        <w:jc w:val="both"/>
        <w:rPr>
          <w:i/>
          <w:szCs w:val="28"/>
        </w:rPr>
      </w:pPr>
      <w:r w:rsidRPr="00D22AF9">
        <w:rPr>
          <w:i/>
          <w:szCs w:val="28"/>
        </w:rPr>
        <w:t>Ключевые слова: рынок услуг почтовой связи, почтовый доход, стратегия развития.</w:t>
      </w:r>
    </w:p>
    <w:p w:rsidR="005D5F28" w:rsidRPr="00D22AF9" w:rsidRDefault="005D5F28" w:rsidP="005D5F28">
      <w:pPr>
        <w:widowControl w:val="0"/>
        <w:jc w:val="both"/>
        <w:rPr>
          <w:i/>
          <w:szCs w:val="28"/>
          <w:lang w:val="en-US"/>
        </w:rPr>
      </w:pPr>
      <w:r w:rsidRPr="00D22AF9">
        <w:rPr>
          <w:i/>
          <w:szCs w:val="28"/>
          <w:lang w:val="en-US"/>
        </w:rPr>
        <w:t>Summary. The article considers the market of postal services as an important component of the economy and social sphere development. The dynamics of postal income is analyzed by segments of services provided and of the world regions in 2005, 2015. Strategic directions for the development of postal communication have been determined.</w:t>
      </w:r>
    </w:p>
    <w:p w:rsidR="005D5F28" w:rsidRPr="00D22AF9" w:rsidRDefault="005D5F28" w:rsidP="005D5F28">
      <w:pPr>
        <w:widowControl w:val="0"/>
        <w:shd w:val="clear" w:color="auto" w:fill="FFFFFF"/>
        <w:jc w:val="both"/>
        <w:rPr>
          <w:i/>
          <w:szCs w:val="28"/>
          <w:lang w:val="en-US"/>
        </w:rPr>
      </w:pPr>
      <w:r w:rsidRPr="00D22AF9">
        <w:rPr>
          <w:i/>
          <w:szCs w:val="28"/>
          <w:lang w:val="en-US"/>
        </w:rPr>
        <w:t>Keywords: postal services market, postal income, development strategy</w:t>
      </w:r>
    </w:p>
    <w:p w:rsidR="005D5F28" w:rsidRPr="00D22AF9" w:rsidRDefault="005D5F28" w:rsidP="005D5F28">
      <w:pPr>
        <w:widowControl w:val="0"/>
        <w:shd w:val="clear" w:color="auto" w:fill="FFFFFF"/>
        <w:jc w:val="both"/>
        <w:rPr>
          <w:i/>
          <w:szCs w:val="28"/>
          <w:lang w:val="en-US"/>
        </w:rPr>
      </w:pPr>
    </w:p>
    <w:p w:rsidR="005D5F28" w:rsidRPr="00D22AF9" w:rsidRDefault="005D5F28" w:rsidP="005D5F28">
      <w:pPr>
        <w:pStyle w:val="Default"/>
        <w:widowControl w:val="0"/>
        <w:ind w:firstLine="709"/>
        <w:jc w:val="both"/>
        <w:rPr>
          <w:color w:val="auto"/>
        </w:rPr>
      </w:pPr>
      <w:r w:rsidRPr="00D22AF9">
        <w:rPr>
          <w:b/>
          <w:color w:val="auto"/>
          <w:sz w:val="28"/>
          <w:szCs w:val="28"/>
        </w:rPr>
        <w:t xml:space="preserve">Постановка проблемы. </w:t>
      </w:r>
      <w:r w:rsidRPr="00D22AF9">
        <w:rPr>
          <w:color w:val="auto"/>
          <w:sz w:val="28"/>
          <w:szCs w:val="28"/>
        </w:rPr>
        <w:t>Развитие экономики большинства стран мира происходит под влиянием процессов глобализации и либерализации, что влияет на все сферы экономики. Особенно влияние этих процессов отражается на развитии мирового и национальных рынков услуг связи, где происходят существенные структурные изменения, обусловленные стремительным развитием современных инфокоммуникационных технологий, которые существенным образом влияют на дальнейшее развитие традиционных услуг связи. Рынок услуг почтовой связи является важной составной частью мирового и национальных рынков услуг связи, способствует развитию всех сфер бизнеса, вносит существенный вклад в развитие экономики и социальной сферы. Поэтому исследование вопросов, связанных с определением основных направления перспективного развития почтовой связи в условиях происходящих изменений, является актуальным.</w:t>
      </w:r>
    </w:p>
    <w:p w:rsidR="005D5F28" w:rsidRPr="00D22AF9" w:rsidRDefault="005D5F28" w:rsidP="005D5F28">
      <w:pPr>
        <w:widowControl w:val="0"/>
        <w:shd w:val="clear" w:color="auto" w:fill="FFFFFF"/>
        <w:jc w:val="both"/>
        <w:rPr>
          <w:szCs w:val="28"/>
        </w:rPr>
      </w:pPr>
      <w:r w:rsidRPr="00D22AF9">
        <w:rPr>
          <w:b/>
          <w:szCs w:val="28"/>
        </w:rPr>
        <w:t xml:space="preserve">Анализ предшествующих исследований и публикаций. </w:t>
      </w:r>
      <w:r w:rsidRPr="00D22AF9">
        <w:rPr>
          <w:szCs w:val="28"/>
        </w:rPr>
        <w:t>Вопросам технико-экономического развития почтовой и телекоммуникационной связи посвящены работы многих отечественных и зарубежных ученых. Так, вопросам технологического развития отрасли связи, ее оптимизации и реструктуризации, посвящены работы Бутенко Б.П. Воробиенко П.П., Князева Е.А., Криля С.С., Скляренко С.М., Стеклова В.К., Ящука Л.Е. и др.</w:t>
      </w:r>
    </w:p>
    <w:p w:rsidR="005D5F28" w:rsidRPr="00D22AF9" w:rsidRDefault="005D5F28" w:rsidP="005D5F28">
      <w:pPr>
        <w:widowControl w:val="0"/>
        <w:shd w:val="clear" w:color="auto" w:fill="FFFFFF"/>
        <w:jc w:val="both"/>
        <w:rPr>
          <w:b/>
          <w:szCs w:val="28"/>
        </w:rPr>
      </w:pPr>
      <w:r w:rsidRPr="00D22AF9">
        <w:rPr>
          <w:b/>
          <w:szCs w:val="28"/>
        </w:rPr>
        <w:lastRenderedPageBreak/>
        <w:t xml:space="preserve">Целью </w:t>
      </w:r>
      <w:r w:rsidRPr="00D22AF9">
        <w:rPr>
          <w:szCs w:val="28"/>
        </w:rPr>
        <w:t>исследования является изучение рынка услуг почтовой связи как важной составляющей развития экономики и социальной сферы, анализ динамики почтового дохода в зависимости от предоставляемых услуг, определение стратегических направлений развития современной почтовой связи.</w:t>
      </w:r>
    </w:p>
    <w:p w:rsidR="005D5F28" w:rsidRPr="00D22AF9" w:rsidRDefault="005D5F28" w:rsidP="005D5F28">
      <w:pPr>
        <w:widowControl w:val="0"/>
        <w:shd w:val="clear" w:color="auto" w:fill="FFFFFF"/>
        <w:jc w:val="both"/>
        <w:rPr>
          <w:szCs w:val="28"/>
        </w:rPr>
      </w:pPr>
      <w:r w:rsidRPr="00D22AF9">
        <w:rPr>
          <w:b/>
          <w:szCs w:val="28"/>
        </w:rPr>
        <w:t xml:space="preserve">Основные результаты исследования. </w:t>
      </w:r>
      <w:r w:rsidRPr="00D22AF9">
        <w:rPr>
          <w:szCs w:val="28"/>
        </w:rPr>
        <w:t xml:space="preserve">Рынок услуг почтовой связи </w:t>
      </w:r>
      <w:r w:rsidRPr="00D22AF9">
        <w:rPr>
          <w:szCs w:val="28"/>
        </w:rPr>
        <w:sym w:font="Symbol" w:char="F02D"/>
      </w:r>
      <w:r w:rsidRPr="00D22AF9">
        <w:rPr>
          <w:szCs w:val="28"/>
        </w:rPr>
        <w:t xml:space="preserve"> это совокупность экономических отношений по поводу производства и потребления услуг почтовой связи, а также механизм взаимодействия между производителями этих услуг и их потребителями, основанный на отношении спроса и предложения. Под спросом на услуги почтовой связи понимается готовность пользователей оплатить определенное число услуг почтовой связи конкретного вида с учетом действующих тарифов. Предложение услуг связи </w:t>
      </w:r>
      <w:r w:rsidRPr="00D22AF9">
        <w:rPr>
          <w:szCs w:val="28"/>
        </w:rPr>
        <w:sym w:font="Symbol" w:char="F02D"/>
      </w:r>
      <w:r w:rsidRPr="00D22AF9">
        <w:rPr>
          <w:szCs w:val="28"/>
        </w:rPr>
        <w:t xml:space="preserve"> это число услуг почтовой связи определенного вида и качества, которое предприятие может предоставить пользователям исходя из своих производственных возможностей </w:t>
      </w:r>
      <w:r w:rsidRPr="00D22AF9">
        <w:rPr>
          <w:szCs w:val="28"/>
        </w:rPr>
        <w:sym w:font="Symbol" w:char="F05B"/>
      </w:r>
      <w:r w:rsidRPr="00D22AF9">
        <w:rPr>
          <w:szCs w:val="28"/>
        </w:rPr>
        <w:t>3</w:t>
      </w:r>
      <w:r w:rsidRPr="00D22AF9">
        <w:rPr>
          <w:szCs w:val="28"/>
        </w:rPr>
        <w:sym w:font="Symbol" w:char="F05D"/>
      </w:r>
      <w:r w:rsidRPr="00D22AF9">
        <w:rPr>
          <w:szCs w:val="28"/>
        </w:rPr>
        <w:t>.</w:t>
      </w:r>
    </w:p>
    <w:p w:rsidR="005D5F28" w:rsidRPr="00D22AF9" w:rsidRDefault="005D5F28" w:rsidP="005D5F28">
      <w:pPr>
        <w:widowControl w:val="0"/>
        <w:contextualSpacing/>
        <w:jc w:val="both"/>
        <w:rPr>
          <w:szCs w:val="28"/>
        </w:rPr>
      </w:pPr>
      <w:r w:rsidRPr="00D22AF9">
        <w:rPr>
          <w:szCs w:val="28"/>
        </w:rPr>
        <w:t xml:space="preserve">Инфраструктурная роль почтовой связи в экономике и социальной сфере, сетевой характер построения, неразрывность процессов производства и потребления услуг обусловливают важные особенности производственной деятельности и рыночной структуры в области почтовой связи. Деятельность организаций почтовой связи связана с удовлетворением потребностей экономики, населения и государственного управления в услугах по пересылке письменных сообщений, товарно-материальных ценностей и денежных средств. Рынок услуг почтовой связи условно разделяется на четыре сегмента: письменная корреспонденция; почтовые посылки и логистические услуги; почтовые финансовые услуги и другие услуги, включающие в себя торговлю товарами народного потребления и немаркированной продукцией, доставка и размещение рекламно-информационного материала, продажа стартовых пакетов и прием платежей за услуги мобильной связи. На рис. 1 представлена динамика почтового дохода по перечисленным сегментам за 2005 г. </w:t>
      </w:r>
      <w:r w:rsidRPr="00D22AF9">
        <w:rPr>
          <w:szCs w:val="28"/>
        </w:rPr>
        <w:sym w:font="Symbol" w:char="F05B"/>
      </w:r>
      <w:r w:rsidRPr="00D22AF9">
        <w:rPr>
          <w:szCs w:val="28"/>
        </w:rPr>
        <w:t>1</w:t>
      </w:r>
      <w:r w:rsidRPr="00D22AF9">
        <w:rPr>
          <w:szCs w:val="28"/>
        </w:rPr>
        <w:sym w:font="Symbol" w:char="F05D"/>
      </w:r>
      <w:r w:rsidRPr="00D22AF9">
        <w:rPr>
          <w:szCs w:val="28"/>
        </w:rPr>
        <w:t>.</w:t>
      </w:r>
    </w:p>
    <w:p w:rsidR="005D5F28" w:rsidRPr="00D22AF9" w:rsidRDefault="005D5F28" w:rsidP="005D5F28">
      <w:pPr>
        <w:widowControl w:val="0"/>
        <w:ind w:firstLine="0"/>
        <w:contextualSpacing/>
        <w:jc w:val="both"/>
      </w:pPr>
      <w:r w:rsidRPr="00D22AF9">
        <w:rPr>
          <w:noProof/>
        </w:rPr>
        <w:drawing>
          <wp:inline distT="0" distB="0" distL="0" distR="0" wp14:anchorId="56371BB4" wp14:editId="1B2E9FD6">
            <wp:extent cx="6134100" cy="2171700"/>
            <wp:effectExtent l="0" t="0" r="0" b="0"/>
            <wp:docPr id="1640" name="Диаграмма 16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D5F28" w:rsidRPr="00D22AF9" w:rsidRDefault="005D5F28" w:rsidP="005D5F28">
      <w:pPr>
        <w:widowControl w:val="0"/>
        <w:contextualSpacing/>
        <w:jc w:val="center"/>
        <w:rPr>
          <w:szCs w:val="28"/>
        </w:rPr>
      </w:pPr>
      <w:r w:rsidRPr="00D22AF9">
        <w:rPr>
          <w:szCs w:val="28"/>
        </w:rPr>
        <w:t>Рисунок 1</w:t>
      </w:r>
      <w:r w:rsidRPr="00D22AF9">
        <w:rPr>
          <w:szCs w:val="28"/>
        </w:rPr>
        <w:sym w:font="Symbol" w:char="F02D"/>
      </w:r>
      <w:r w:rsidRPr="00D22AF9">
        <w:rPr>
          <w:szCs w:val="28"/>
        </w:rPr>
        <w:t xml:space="preserve"> Динамика почтового дохода по видам услуг за 2005 г.</w:t>
      </w:r>
    </w:p>
    <w:p w:rsidR="005D5F28" w:rsidRPr="00D22AF9" w:rsidRDefault="005D5F28" w:rsidP="005D5F28">
      <w:pPr>
        <w:widowControl w:val="0"/>
        <w:contextualSpacing/>
        <w:jc w:val="both"/>
        <w:rPr>
          <w:szCs w:val="28"/>
        </w:rPr>
      </w:pPr>
      <w:r w:rsidRPr="00D22AF9">
        <w:rPr>
          <w:szCs w:val="28"/>
        </w:rPr>
        <w:t xml:space="preserve">Как видно из рис. 1, в 2005 г. наибольший почтовый доход  по всему миру и каждому из регионов приносила письменная корреспонденция, составляющая около 50% всего дохода. Для промышленно развитых стран оставшиеся сегменты занимают практически равную долю около 10-15%. В </w:t>
      </w:r>
      <w:r w:rsidRPr="00D22AF9">
        <w:rPr>
          <w:szCs w:val="28"/>
        </w:rPr>
        <w:lastRenderedPageBreak/>
        <w:t xml:space="preserve">Арабском мире практически не развит сегмент почтовых посылок и логистических услуг. Для Европы и СНГ важными источниками дохода являются предоставление услуг по письменной корреспонденции и других услуг. Азиатско-Тихоокеанский регион, как и Африка, наименее заинтересован в предоставлении услуг по пересылке посылок, в то время как страны Латинской Америки меньшего всего предоставляют почтово-финансовые услуги. </w:t>
      </w:r>
    </w:p>
    <w:p w:rsidR="005D5F28" w:rsidRPr="00D22AF9" w:rsidRDefault="005D5F28" w:rsidP="005D5F28">
      <w:pPr>
        <w:widowControl w:val="0"/>
        <w:contextualSpacing/>
        <w:jc w:val="both"/>
        <w:rPr>
          <w:szCs w:val="28"/>
        </w:rPr>
      </w:pPr>
      <w:r w:rsidRPr="00D22AF9">
        <w:rPr>
          <w:szCs w:val="28"/>
        </w:rPr>
        <w:t xml:space="preserve">Учитывая влияние интернета и вопросов глобализации информационного общества, целесообразно провести анализ по таким же сегментам и регионам спустя 10 лет. На рис. 2 представлена динамика почтового дохода по перечисленным сегментам за 2015 г. </w:t>
      </w:r>
      <w:r w:rsidRPr="00D22AF9">
        <w:rPr>
          <w:szCs w:val="28"/>
        </w:rPr>
        <w:sym w:font="Symbol" w:char="F05B"/>
      </w:r>
      <w:r w:rsidRPr="00D22AF9">
        <w:rPr>
          <w:szCs w:val="28"/>
        </w:rPr>
        <w:t>2</w:t>
      </w:r>
      <w:r w:rsidRPr="00D22AF9">
        <w:rPr>
          <w:szCs w:val="28"/>
        </w:rPr>
        <w:sym w:font="Symbol" w:char="F05D"/>
      </w:r>
      <w:r w:rsidRPr="00D22AF9">
        <w:rPr>
          <w:szCs w:val="28"/>
        </w:rPr>
        <w:t>.</w:t>
      </w:r>
    </w:p>
    <w:p w:rsidR="005D5F28" w:rsidRPr="00D22AF9" w:rsidRDefault="005D5F28" w:rsidP="005D5F28">
      <w:pPr>
        <w:widowControl w:val="0"/>
        <w:ind w:firstLine="28"/>
        <w:contextualSpacing/>
        <w:jc w:val="both"/>
      </w:pPr>
      <w:r w:rsidRPr="00D22AF9">
        <w:rPr>
          <w:noProof/>
        </w:rPr>
        <w:drawing>
          <wp:inline distT="0" distB="0" distL="0" distR="0" wp14:anchorId="66B6873E" wp14:editId="036F3FB3">
            <wp:extent cx="6048375" cy="2592070"/>
            <wp:effectExtent l="0" t="0" r="0" b="0"/>
            <wp:docPr id="1641" name="Диаграмма 16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D5F28" w:rsidRPr="00D22AF9" w:rsidRDefault="005D5F28" w:rsidP="005D5F28">
      <w:pPr>
        <w:widowControl w:val="0"/>
        <w:contextualSpacing/>
        <w:jc w:val="center"/>
        <w:rPr>
          <w:szCs w:val="28"/>
        </w:rPr>
      </w:pPr>
      <w:r w:rsidRPr="00D22AF9">
        <w:rPr>
          <w:szCs w:val="28"/>
        </w:rPr>
        <w:t xml:space="preserve">Рисунок 2 </w:t>
      </w:r>
      <w:r w:rsidRPr="00D22AF9">
        <w:rPr>
          <w:szCs w:val="28"/>
        </w:rPr>
        <w:sym w:font="Symbol" w:char="F02D"/>
      </w:r>
      <w:r w:rsidRPr="00D22AF9">
        <w:rPr>
          <w:szCs w:val="28"/>
        </w:rPr>
        <w:t xml:space="preserve"> Динамика почтового дохода по видам услуг за 2015 г.</w:t>
      </w:r>
    </w:p>
    <w:p w:rsidR="005D5F28" w:rsidRPr="00D22AF9" w:rsidRDefault="005D5F28" w:rsidP="005D5F28">
      <w:pPr>
        <w:widowControl w:val="0"/>
        <w:contextualSpacing/>
        <w:jc w:val="both"/>
        <w:rPr>
          <w:szCs w:val="28"/>
        </w:rPr>
      </w:pPr>
      <w:r w:rsidRPr="00D22AF9">
        <w:rPr>
          <w:szCs w:val="28"/>
        </w:rPr>
        <w:t xml:space="preserve">Как видно из рис. 2, в 2015 г. на первом месте по почтовому доходу для всего мира и каждого из регионов, кроме Арабского мира, по-прежнему остается письменная корреспонденция, однако по сравнению с 2005 г. объем дохода снизился на 9%. В тоже время наибольший рост наблюдается у сегмента почтовых посылок и логистических услуг – на 9,4%, рост в предоставлении почтово-финансовых услуг не очень значительный – на 1%, другие услуги снизились на 1,4%. У промышленно развитых стран наиболее существенные изменения произошли в снижении письменной корреспонденции – на 12,9% и рост почтовых посылок и логистических услуг – на 9,4%. В Арабском мире за 10 лет активное развитие получил сегмент почтовых посылок и логистических услуг и составил 27,3%. В Европе и странах СНГ снизился только сегмент предоставления других услуг на 13,8%, другие сегменты незначительно увеличились. Письменная корреспонденция Азиатско-Тихоокеанского региона снизилась на 13,5%, как и почтово-финансовые услуги на 6,7%, соответственно вырос доход от почтовых посылок и логистических услуг на 12,9%, других услуг </w:t>
      </w:r>
      <w:r w:rsidRPr="00D22AF9">
        <w:rPr>
          <w:szCs w:val="28"/>
        </w:rPr>
        <w:sym w:font="Symbol" w:char="F02D"/>
      </w:r>
      <w:r w:rsidRPr="00D22AF9">
        <w:rPr>
          <w:szCs w:val="28"/>
        </w:rPr>
        <w:t xml:space="preserve"> на 7,3%. В странах Латинской Америки произошло снижение дохода от всех услуг, кроме почтовых посылок и логистических услуг, которые увеличились на 15,4%. В Африке снизился доход от письменной корреспонденции почти на 19%, в тоже время вырос доход от других сегментов.</w:t>
      </w:r>
    </w:p>
    <w:p w:rsidR="005D5F28" w:rsidRPr="00D22AF9" w:rsidRDefault="005D5F28" w:rsidP="005D5F28">
      <w:pPr>
        <w:widowControl w:val="0"/>
        <w:contextualSpacing/>
        <w:jc w:val="both"/>
        <w:rPr>
          <w:szCs w:val="28"/>
        </w:rPr>
      </w:pPr>
      <w:r w:rsidRPr="00D22AF9">
        <w:rPr>
          <w:szCs w:val="28"/>
        </w:rPr>
        <w:lastRenderedPageBreak/>
        <w:t>Динамика почтового дохода за 2005-2015 гг. отражает глобальные изменения в потребностях клиентов. По экспертным оценкам в количественном выражении среднегодовой темп прироста сегмента почтовых посылок и логистических услуг составит примерно 5% в год в зависимости от региона мира. В связи с активным развитием электронных технологий на период до 2020 г. прогнозируется дальнейшее сокращение количества почтовых отправлений, пересылаемых на бумажном носителе. В сегменте отправлений с товарными вложениями на период до 2020 г. прогнозируется активный рост за счет развития каталожной и интернет-торговли. Поскольку в сегменте отправлений с товарными вложениями существует конкурентная среда, то развитие данного сегмента будет обеспечено рыночными механизмами. В связи с развитием современных банковских услуг и платежных систем доля почтовых переводов денежных средств тоже будет постепенно снижаться.</w:t>
      </w:r>
    </w:p>
    <w:p w:rsidR="005D5F28" w:rsidRDefault="005D5F28" w:rsidP="005D5F28">
      <w:pPr>
        <w:widowControl w:val="0"/>
        <w:shd w:val="clear" w:color="auto" w:fill="FFFFFF"/>
        <w:jc w:val="both"/>
        <w:rPr>
          <w:szCs w:val="28"/>
        </w:rPr>
      </w:pPr>
      <w:r w:rsidRPr="00D22AF9">
        <w:rPr>
          <w:szCs w:val="28"/>
        </w:rPr>
        <w:t xml:space="preserve">Перспективы развития почтовой связи должны быть скорректированы с основными тенденциями развития мирового почтового пространства и анализом динамики почтового дохода. В табл. 1 представлены следующие стратегические направления развития современной почтовой связи </w:t>
      </w:r>
      <w:r w:rsidRPr="00D22AF9">
        <w:rPr>
          <w:szCs w:val="28"/>
        </w:rPr>
        <w:sym w:font="Symbol" w:char="F05B"/>
      </w:r>
      <w:r w:rsidRPr="00D22AF9">
        <w:rPr>
          <w:szCs w:val="28"/>
        </w:rPr>
        <w:t>2</w:t>
      </w:r>
      <w:r w:rsidRPr="00D22AF9">
        <w:rPr>
          <w:szCs w:val="28"/>
        </w:rPr>
        <w:sym w:font="Symbol" w:char="F05D"/>
      </w:r>
      <w:r w:rsidRPr="00D22AF9">
        <w:rPr>
          <w:szCs w:val="28"/>
        </w:rPr>
        <w:t>.</w:t>
      </w:r>
    </w:p>
    <w:p w:rsidR="005D5F28" w:rsidRPr="00D22AF9" w:rsidRDefault="005D5F28" w:rsidP="005D5F28">
      <w:pPr>
        <w:widowControl w:val="0"/>
        <w:shd w:val="clear" w:color="auto" w:fill="FFFFFF"/>
        <w:jc w:val="both"/>
        <w:rPr>
          <w:szCs w:val="28"/>
        </w:rPr>
      </w:pPr>
      <w:r w:rsidRPr="00D22AF9">
        <w:rPr>
          <w:szCs w:val="28"/>
        </w:rPr>
        <w:t>В соответствии с глобальной стратегией развития, современная почта должна претерпеть инновационные изменения и преобразоваться в полифункциональную трехмерную структуру, обеспечивающую возможность предоставления услуг физической почты, электронных и финансовых услуг. При этом инновационные изменения должны ориентироваться на предоставление новых услуг, адаптируемых к потребностям информационного общества, при одновременном сохранении традиционной почты.</w:t>
      </w:r>
    </w:p>
    <w:p w:rsidR="005D5F28" w:rsidRPr="00D22AF9" w:rsidRDefault="005D5F28" w:rsidP="005D5F28">
      <w:pPr>
        <w:widowControl w:val="0"/>
        <w:shd w:val="clear" w:color="auto" w:fill="FFFFFF"/>
        <w:jc w:val="both"/>
        <w:rPr>
          <w:szCs w:val="28"/>
        </w:rPr>
      </w:pPr>
    </w:p>
    <w:p w:rsidR="005D5F28" w:rsidRPr="00D22AF9" w:rsidRDefault="005D5F28" w:rsidP="005D5F28">
      <w:pPr>
        <w:widowControl w:val="0"/>
        <w:shd w:val="clear" w:color="auto" w:fill="FFFFFF"/>
        <w:jc w:val="right"/>
        <w:rPr>
          <w:szCs w:val="28"/>
        </w:rPr>
      </w:pPr>
      <w:r w:rsidRPr="00D22AF9">
        <w:rPr>
          <w:szCs w:val="28"/>
        </w:rPr>
        <w:t>Таблица 1</w:t>
      </w:r>
    </w:p>
    <w:p w:rsidR="005D5F28" w:rsidRPr="00D22AF9" w:rsidRDefault="005D5F28" w:rsidP="005D5F28">
      <w:pPr>
        <w:widowControl w:val="0"/>
        <w:shd w:val="clear" w:color="auto" w:fill="FFFFFF"/>
        <w:jc w:val="center"/>
        <w:rPr>
          <w:szCs w:val="28"/>
        </w:rPr>
      </w:pPr>
      <w:r w:rsidRPr="00D22AF9">
        <w:rPr>
          <w:szCs w:val="28"/>
        </w:rPr>
        <w:t>Стратегические направления развития почтовой связи</w:t>
      </w:r>
    </w:p>
    <w:tbl>
      <w:tblPr>
        <w:tblStyle w:val="a6"/>
        <w:tblW w:w="0" w:type="auto"/>
        <w:tblLook w:val="04A0" w:firstRow="1" w:lastRow="0" w:firstColumn="1" w:lastColumn="0" w:noHBand="0" w:noVBand="1"/>
      </w:tblPr>
      <w:tblGrid>
        <w:gridCol w:w="2247"/>
        <w:gridCol w:w="7098"/>
      </w:tblGrid>
      <w:tr w:rsidR="005D5F28" w:rsidRPr="00D22AF9" w:rsidTr="004E1C7B">
        <w:tc>
          <w:tcPr>
            <w:tcW w:w="2263" w:type="dxa"/>
          </w:tcPr>
          <w:p w:rsidR="005D5F28" w:rsidRPr="00D22AF9" w:rsidRDefault="005D5F28" w:rsidP="004E1C7B">
            <w:pPr>
              <w:widowControl w:val="0"/>
              <w:ind w:firstLine="0"/>
              <w:jc w:val="center"/>
              <w:rPr>
                <w:sz w:val="24"/>
                <w:szCs w:val="24"/>
              </w:rPr>
            </w:pPr>
            <w:r w:rsidRPr="00D22AF9">
              <w:rPr>
                <w:sz w:val="24"/>
                <w:szCs w:val="24"/>
              </w:rPr>
              <w:t>Стратегии развития</w:t>
            </w:r>
          </w:p>
        </w:tc>
        <w:tc>
          <w:tcPr>
            <w:tcW w:w="7365" w:type="dxa"/>
          </w:tcPr>
          <w:p w:rsidR="005D5F28" w:rsidRPr="00D22AF9" w:rsidRDefault="005D5F28" w:rsidP="004E1C7B">
            <w:pPr>
              <w:widowControl w:val="0"/>
              <w:ind w:firstLine="0"/>
              <w:jc w:val="center"/>
              <w:rPr>
                <w:sz w:val="24"/>
                <w:szCs w:val="24"/>
              </w:rPr>
            </w:pPr>
            <w:r w:rsidRPr="00D22AF9">
              <w:rPr>
                <w:sz w:val="24"/>
                <w:szCs w:val="24"/>
              </w:rPr>
              <w:t>Конкретные направления</w:t>
            </w:r>
          </w:p>
        </w:tc>
      </w:tr>
      <w:tr w:rsidR="005D5F28" w:rsidRPr="00D22AF9" w:rsidTr="004E1C7B">
        <w:tc>
          <w:tcPr>
            <w:tcW w:w="2263" w:type="dxa"/>
          </w:tcPr>
          <w:p w:rsidR="005D5F28" w:rsidRPr="00D22AF9" w:rsidRDefault="005D5F28" w:rsidP="004E1C7B">
            <w:pPr>
              <w:widowControl w:val="0"/>
              <w:ind w:firstLine="0"/>
              <w:jc w:val="both"/>
              <w:rPr>
                <w:sz w:val="24"/>
                <w:szCs w:val="24"/>
              </w:rPr>
            </w:pPr>
            <w:r w:rsidRPr="00D22AF9">
              <w:rPr>
                <w:sz w:val="24"/>
                <w:szCs w:val="24"/>
              </w:rPr>
              <w:t>Повышение качества службы и эффективности почтовой сети</w:t>
            </w:r>
          </w:p>
        </w:tc>
        <w:tc>
          <w:tcPr>
            <w:tcW w:w="7365" w:type="dxa"/>
          </w:tcPr>
          <w:p w:rsidR="005D5F28" w:rsidRPr="00D22AF9" w:rsidRDefault="005D5F28" w:rsidP="004E1C7B">
            <w:pPr>
              <w:widowControl w:val="0"/>
              <w:ind w:firstLine="0"/>
              <w:jc w:val="both"/>
              <w:rPr>
                <w:sz w:val="24"/>
                <w:szCs w:val="24"/>
              </w:rPr>
            </w:pPr>
            <w:r w:rsidRPr="00D22AF9">
              <w:rPr>
                <w:sz w:val="24"/>
                <w:szCs w:val="24"/>
              </w:rPr>
              <w:t>увеличение инвестиций в технологии и развитие почтовой инфраструктуры;</w:t>
            </w:r>
          </w:p>
          <w:p w:rsidR="005D5F28" w:rsidRPr="00D22AF9" w:rsidRDefault="005D5F28" w:rsidP="004E1C7B">
            <w:pPr>
              <w:widowControl w:val="0"/>
              <w:ind w:firstLine="0"/>
              <w:jc w:val="both"/>
              <w:rPr>
                <w:sz w:val="24"/>
                <w:szCs w:val="24"/>
              </w:rPr>
            </w:pPr>
            <w:r w:rsidRPr="00D22AF9">
              <w:rPr>
                <w:sz w:val="24"/>
                <w:szCs w:val="24"/>
              </w:rPr>
              <w:t>улучшение качества обслуживания клиентуры внутренней и международной почты;</w:t>
            </w:r>
          </w:p>
          <w:p w:rsidR="005D5F28" w:rsidRPr="00D22AF9" w:rsidRDefault="005D5F28" w:rsidP="004E1C7B">
            <w:pPr>
              <w:widowControl w:val="0"/>
              <w:ind w:firstLine="0"/>
              <w:jc w:val="both"/>
              <w:rPr>
                <w:sz w:val="24"/>
                <w:szCs w:val="24"/>
              </w:rPr>
            </w:pPr>
            <w:r w:rsidRPr="00D22AF9">
              <w:rPr>
                <w:sz w:val="24"/>
                <w:szCs w:val="24"/>
              </w:rPr>
              <w:t>присоединение к глобальной системе мониторинга;</w:t>
            </w:r>
          </w:p>
          <w:p w:rsidR="005D5F28" w:rsidRPr="00D22AF9" w:rsidRDefault="005D5F28" w:rsidP="004E1C7B">
            <w:pPr>
              <w:widowControl w:val="0"/>
              <w:ind w:firstLine="0"/>
              <w:jc w:val="both"/>
              <w:rPr>
                <w:sz w:val="24"/>
                <w:szCs w:val="24"/>
              </w:rPr>
            </w:pPr>
            <w:r w:rsidRPr="00D22AF9">
              <w:rPr>
                <w:sz w:val="24"/>
                <w:szCs w:val="24"/>
              </w:rPr>
              <w:t>укрепление региональной почтовой безопасности международной почты, сохранность почтовых отправлений и пресечение попыток использования почтовых каналов для пересылки опасных и запрещенных предметов</w:t>
            </w:r>
          </w:p>
        </w:tc>
      </w:tr>
      <w:tr w:rsidR="005D5F28" w:rsidRPr="00D22AF9" w:rsidTr="004E1C7B">
        <w:tc>
          <w:tcPr>
            <w:tcW w:w="2263" w:type="dxa"/>
          </w:tcPr>
          <w:p w:rsidR="005D5F28" w:rsidRPr="00D22AF9" w:rsidRDefault="005D5F28" w:rsidP="004E1C7B">
            <w:pPr>
              <w:widowControl w:val="0"/>
              <w:ind w:firstLine="0"/>
              <w:jc w:val="both"/>
              <w:rPr>
                <w:sz w:val="24"/>
                <w:szCs w:val="24"/>
              </w:rPr>
            </w:pPr>
            <w:r w:rsidRPr="00D22AF9">
              <w:rPr>
                <w:sz w:val="24"/>
                <w:szCs w:val="24"/>
              </w:rPr>
              <w:t xml:space="preserve">Расширение почтового рынка за счет внедрения почтово-финансовых, электронных и логистических услуг, а также </w:t>
            </w:r>
            <w:r w:rsidRPr="00D22AF9">
              <w:rPr>
                <w:sz w:val="24"/>
                <w:szCs w:val="24"/>
              </w:rPr>
              <w:lastRenderedPageBreak/>
              <w:t>диверсификации почтовых услуг</w:t>
            </w:r>
          </w:p>
        </w:tc>
        <w:tc>
          <w:tcPr>
            <w:tcW w:w="7365" w:type="dxa"/>
          </w:tcPr>
          <w:p w:rsidR="005D5F28" w:rsidRPr="00D22AF9" w:rsidRDefault="005D5F28" w:rsidP="004E1C7B">
            <w:pPr>
              <w:widowControl w:val="0"/>
              <w:ind w:firstLine="0"/>
              <w:jc w:val="both"/>
              <w:rPr>
                <w:sz w:val="24"/>
                <w:szCs w:val="24"/>
              </w:rPr>
            </w:pPr>
            <w:r w:rsidRPr="00D22AF9">
              <w:rPr>
                <w:sz w:val="24"/>
                <w:szCs w:val="24"/>
              </w:rPr>
              <w:lastRenderedPageBreak/>
              <w:t>осуществление мероприятий в области маркетинга и рекламы электронных почтовых, финансовых, коммерческих услуг и услуг электронного правительства;</w:t>
            </w:r>
          </w:p>
          <w:p w:rsidR="005D5F28" w:rsidRPr="00D22AF9" w:rsidRDefault="005D5F28" w:rsidP="004E1C7B">
            <w:pPr>
              <w:widowControl w:val="0"/>
              <w:ind w:firstLine="0"/>
              <w:jc w:val="both"/>
              <w:rPr>
                <w:sz w:val="24"/>
                <w:szCs w:val="24"/>
              </w:rPr>
            </w:pPr>
            <w:r w:rsidRPr="00D22AF9">
              <w:rPr>
                <w:sz w:val="24"/>
                <w:szCs w:val="24"/>
              </w:rPr>
              <w:t>дальнейшее развитие и модернизация электронных платежных услуг;</w:t>
            </w:r>
          </w:p>
          <w:p w:rsidR="005D5F28" w:rsidRPr="00D22AF9" w:rsidRDefault="005D5F28" w:rsidP="004E1C7B">
            <w:pPr>
              <w:widowControl w:val="0"/>
              <w:ind w:firstLine="0"/>
              <w:jc w:val="both"/>
              <w:rPr>
                <w:sz w:val="24"/>
                <w:szCs w:val="24"/>
              </w:rPr>
            </w:pPr>
            <w:r w:rsidRPr="00D22AF9">
              <w:rPr>
                <w:sz w:val="24"/>
                <w:szCs w:val="24"/>
              </w:rPr>
              <w:t>обеспечение доступа к эффективным, надежным, защищенным и приемлемым по цене электронным платежным услугам;</w:t>
            </w:r>
          </w:p>
          <w:p w:rsidR="005D5F28" w:rsidRPr="00D22AF9" w:rsidRDefault="005D5F28" w:rsidP="004E1C7B">
            <w:pPr>
              <w:widowControl w:val="0"/>
              <w:ind w:firstLine="0"/>
              <w:jc w:val="both"/>
              <w:rPr>
                <w:sz w:val="24"/>
                <w:szCs w:val="24"/>
              </w:rPr>
            </w:pPr>
            <w:r w:rsidRPr="00D22AF9">
              <w:rPr>
                <w:sz w:val="24"/>
                <w:szCs w:val="24"/>
              </w:rPr>
              <w:t>развитие услуги/системы экспресс-почты (EMS PCC);</w:t>
            </w:r>
          </w:p>
          <w:p w:rsidR="005D5F28" w:rsidRPr="00D22AF9" w:rsidRDefault="005D5F28" w:rsidP="004E1C7B">
            <w:pPr>
              <w:widowControl w:val="0"/>
              <w:ind w:firstLine="0"/>
              <w:jc w:val="both"/>
              <w:rPr>
                <w:sz w:val="24"/>
                <w:szCs w:val="24"/>
              </w:rPr>
            </w:pPr>
            <w:r w:rsidRPr="00D22AF9">
              <w:rPr>
                <w:sz w:val="24"/>
                <w:szCs w:val="24"/>
              </w:rPr>
              <w:lastRenderedPageBreak/>
              <w:t>развитие рынка дистанционной торговли;</w:t>
            </w:r>
          </w:p>
          <w:p w:rsidR="005D5F28" w:rsidRPr="00D22AF9" w:rsidRDefault="005D5F28" w:rsidP="004E1C7B">
            <w:pPr>
              <w:widowControl w:val="0"/>
              <w:ind w:firstLine="0"/>
              <w:jc w:val="both"/>
              <w:rPr>
                <w:sz w:val="24"/>
                <w:szCs w:val="24"/>
              </w:rPr>
            </w:pPr>
            <w:r w:rsidRPr="00D22AF9">
              <w:rPr>
                <w:sz w:val="24"/>
                <w:szCs w:val="24"/>
              </w:rPr>
              <w:t>содействие сотрудничеству между назначенными операторами</w:t>
            </w:r>
          </w:p>
        </w:tc>
      </w:tr>
      <w:tr w:rsidR="005D5F28" w:rsidRPr="00D22AF9" w:rsidTr="004E1C7B">
        <w:tc>
          <w:tcPr>
            <w:tcW w:w="2263" w:type="dxa"/>
          </w:tcPr>
          <w:p w:rsidR="005D5F28" w:rsidRPr="00D22AF9" w:rsidRDefault="005D5F28" w:rsidP="004E1C7B">
            <w:pPr>
              <w:widowControl w:val="0"/>
              <w:ind w:firstLine="0"/>
              <w:jc w:val="both"/>
              <w:rPr>
                <w:sz w:val="24"/>
                <w:szCs w:val="24"/>
              </w:rPr>
            </w:pPr>
            <w:r w:rsidRPr="00D22AF9">
              <w:rPr>
                <w:sz w:val="24"/>
                <w:szCs w:val="24"/>
              </w:rPr>
              <w:lastRenderedPageBreak/>
              <w:t>Модернизация почтовой сети и реформирование структуры управления</w:t>
            </w:r>
          </w:p>
        </w:tc>
        <w:tc>
          <w:tcPr>
            <w:tcW w:w="7365" w:type="dxa"/>
          </w:tcPr>
          <w:p w:rsidR="005D5F28" w:rsidRPr="00D22AF9" w:rsidRDefault="005D5F28" w:rsidP="004E1C7B">
            <w:pPr>
              <w:widowControl w:val="0"/>
              <w:ind w:firstLine="0"/>
              <w:jc w:val="both"/>
              <w:rPr>
                <w:sz w:val="24"/>
                <w:szCs w:val="24"/>
              </w:rPr>
            </w:pPr>
            <w:r w:rsidRPr="00D22AF9">
              <w:rPr>
                <w:sz w:val="24"/>
                <w:szCs w:val="24"/>
              </w:rPr>
              <w:t>осуществление оценки передовых продуктов, решений, коммерческих моделей и методов управления;</w:t>
            </w:r>
          </w:p>
          <w:p w:rsidR="005D5F28" w:rsidRPr="00D22AF9" w:rsidRDefault="005D5F28" w:rsidP="004E1C7B">
            <w:pPr>
              <w:widowControl w:val="0"/>
              <w:ind w:firstLine="0"/>
              <w:jc w:val="both"/>
              <w:rPr>
                <w:sz w:val="24"/>
                <w:szCs w:val="24"/>
              </w:rPr>
            </w:pPr>
            <w:r w:rsidRPr="00D22AF9">
              <w:rPr>
                <w:sz w:val="24"/>
                <w:szCs w:val="24"/>
              </w:rPr>
              <w:t>стремление к созданию новых и адаптированных услуг и направлений;</w:t>
            </w:r>
          </w:p>
          <w:p w:rsidR="005D5F28" w:rsidRPr="00D22AF9" w:rsidRDefault="005D5F28" w:rsidP="004E1C7B">
            <w:pPr>
              <w:widowControl w:val="0"/>
              <w:ind w:firstLine="0"/>
              <w:jc w:val="both"/>
              <w:rPr>
                <w:sz w:val="24"/>
                <w:szCs w:val="24"/>
              </w:rPr>
            </w:pPr>
            <w:r w:rsidRPr="00D22AF9">
              <w:rPr>
                <w:sz w:val="24"/>
                <w:szCs w:val="24"/>
              </w:rPr>
              <w:t>использование преимущества почтовой инфраструктуры, для разнообразия спектра предоставляемых посредством почтовой сети продуктов и услуг;</w:t>
            </w:r>
          </w:p>
          <w:p w:rsidR="005D5F28" w:rsidRPr="00D22AF9" w:rsidRDefault="005D5F28" w:rsidP="004E1C7B">
            <w:pPr>
              <w:widowControl w:val="0"/>
              <w:ind w:firstLine="0"/>
              <w:jc w:val="both"/>
              <w:rPr>
                <w:sz w:val="24"/>
                <w:szCs w:val="24"/>
              </w:rPr>
            </w:pPr>
            <w:r w:rsidRPr="00D22AF9">
              <w:rPr>
                <w:sz w:val="24"/>
                <w:szCs w:val="24"/>
              </w:rPr>
              <w:t>разработка принципов управления, ориентированных на достижение результатов.</w:t>
            </w:r>
          </w:p>
        </w:tc>
      </w:tr>
    </w:tbl>
    <w:p w:rsidR="005D5F28" w:rsidRPr="00D22AF9" w:rsidRDefault="005D5F28" w:rsidP="005D5F28">
      <w:pPr>
        <w:widowControl w:val="0"/>
        <w:shd w:val="clear" w:color="auto" w:fill="FFFFFF"/>
        <w:jc w:val="both"/>
        <w:rPr>
          <w:szCs w:val="28"/>
        </w:rPr>
      </w:pPr>
      <w:r w:rsidRPr="00D22AF9">
        <w:rPr>
          <w:b/>
          <w:szCs w:val="28"/>
        </w:rPr>
        <w:t xml:space="preserve">Выводы. </w:t>
      </w:r>
      <w:r w:rsidRPr="00D22AF9">
        <w:rPr>
          <w:szCs w:val="28"/>
        </w:rPr>
        <w:t>Таким образом, почтовая связь является важной составной частью национальной экономики, так как несет на себе экономическую и социальную нагрузку, способствует развитию информационного общества и обеспечивает информационными услугами все слои населения. Для дальнейшего развития современной почтовой связи предложены перспективные стратегические направления, которые отвечают мировым тенденциям и учитывают социально-экономическую значимость почтовой связи как элемента национальной экономики.</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4092"/>
        <w:gridCol w:w="4597"/>
      </w:tblGrid>
      <w:tr w:rsidR="005D5F28" w:rsidRPr="00D22AF9" w:rsidTr="004E1C7B">
        <w:tc>
          <w:tcPr>
            <w:tcW w:w="4819" w:type="dxa"/>
            <w:gridSpan w:val="2"/>
          </w:tcPr>
          <w:p w:rsidR="005D5F28" w:rsidRPr="00D22AF9" w:rsidRDefault="005D5F28" w:rsidP="004E1C7B">
            <w:pPr>
              <w:widowControl w:val="0"/>
              <w:ind w:firstLine="0"/>
              <w:jc w:val="both"/>
              <w:rPr>
                <w:szCs w:val="28"/>
              </w:rPr>
            </w:pPr>
          </w:p>
        </w:tc>
        <w:tc>
          <w:tcPr>
            <w:tcW w:w="4820" w:type="dxa"/>
          </w:tcPr>
          <w:p w:rsidR="005D5F28" w:rsidRPr="00D22AF9" w:rsidRDefault="005D5F28" w:rsidP="004E1C7B">
            <w:pPr>
              <w:widowControl w:val="0"/>
              <w:ind w:firstLine="0"/>
              <w:jc w:val="both"/>
              <w:rPr>
                <w:szCs w:val="28"/>
              </w:rPr>
            </w:pPr>
          </w:p>
        </w:tc>
      </w:tr>
      <w:tr w:rsidR="005D5F28" w:rsidRPr="00D22AF9" w:rsidTr="004E1C7B">
        <w:tc>
          <w:tcPr>
            <w:tcW w:w="9639" w:type="dxa"/>
            <w:gridSpan w:val="3"/>
          </w:tcPr>
          <w:p w:rsidR="005D5F28" w:rsidRPr="00D22AF9" w:rsidRDefault="005D5F28" w:rsidP="004E1C7B">
            <w:pPr>
              <w:widowControl w:val="0"/>
              <w:ind w:firstLine="0"/>
              <w:jc w:val="center"/>
              <w:rPr>
                <w:szCs w:val="28"/>
              </w:rPr>
            </w:pPr>
            <w:r w:rsidRPr="00D22AF9">
              <w:rPr>
                <w:b/>
                <w:szCs w:val="28"/>
              </w:rPr>
              <w:t>Список литературы</w:t>
            </w:r>
          </w:p>
        </w:tc>
      </w:tr>
      <w:tr w:rsidR="005D5F28" w:rsidRPr="00D22AF9" w:rsidTr="004E1C7B">
        <w:tc>
          <w:tcPr>
            <w:tcW w:w="567" w:type="dxa"/>
          </w:tcPr>
          <w:p w:rsidR="005D5F28" w:rsidRPr="00D22AF9" w:rsidRDefault="005D5F28" w:rsidP="005D5F28">
            <w:pPr>
              <w:pStyle w:val="a3"/>
              <w:widowControl w:val="0"/>
              <w:numPr>
                <w:ilvl w:val="0"/>
                <w:numId w:val="2"/>
              </w:numPr>
              <w:ind w:left="0" w:firstLine="0"/>
              <w:jc w:val="both"/>
              <w:rPr>
                <w:sz w:val="24"/>
                <w:szCs w:val="24"/>
              </w:rPr>
            </w:pPr>
          </w:p>
        </w:tc>
        <w:tc>
          <w:tcPr>
            <w:tcW w:w="9072" w:type="dxa"/>
            <w:gridSpan w:val="2"/>
          </w:tcPr>
          <w:p w:rsidR="005D5F28" w:rsidRPr="00D22AF9" w:rsidRDefault="005D5F28" w:rsidP="004E1C7B">
            <w:pPr>
              <w:widowControl w:val="0"/>
              <w:tabs>
                <w:tab w:val="left" w:pos="0"/>
                <w:tab w:val="left" w:pos="426"/>
                <w:tab w:val="left" w:pos="993"/>
              </w:tabs>
              <w:ind w:firstLine="0"/>
              <w:jc w:val="both"/>
              <w:rPr>
                <w:sz w:val="24"/>
                <w:szCs w:val="24"/>
              </w:rPr>
            </w:pPr>
            <w:r w:rsidRPr="00D22AF9">
              <w:rPr>
                <w:sz w:val="24"/>
                <w:szCs w:val="24"/>
              </w:rPr>
              <w:t xml:space="preserve">Всемирный почтовый союз [Электронный ресурс]: официальный сайт ВПС – Электрон. текстовые дан. и граф. дан. – Режим доступа: </w:t>
            </w:r>
            <w:hyperlink r:id="rId7" w:history="1">
              <w:r w:rsidRPr="00D22AF9">
                <w:rPr>
                  <w:rStyle w:val="a5"/>
                  <w:sz w:val="24"/>
                  <w:szCs w:val="24"/>
                </w:rPr>
                <w:t>http://www.un.org/ru/ecosoc/upu/</w:t>
              </w:r>
            </w:hyperlink>
          </w:p>
        </w:tc>
      </w:tr>
      <w:tr w:rsidR="005D5F28" w:rsidRPr="00D22AF9" w:rsidTr="004E1C7B">
        <w:tc>
          <w:tcPr>
            <w:tcW w:w="567" w:type="dxa"/>
          </w:tcPr>
          <w:p w:rsidR="005D5F28" w:rsidRPr="00D22AF9" w:rsidRDefault="005D5F28" w:rsidP="005D5F28">
            <w:pPr>
              <w:pStyle w:val="a3"/>
              <w:widowControl w:val="0"/>
              <w:numPr>
                <w:ilvl w:val="0"/>
                <w:numId w:val="2"/>
              </w:numPr>
              <w:ind w:left="0" w:firstLine="0"/>
              <w:jc w:val="both"/>
              <w:rPr>
                <w:sz w:val="24"/>
                <w:szCs w:val="24"/>
              </w:rPr>
            </w:pPr>
          </w:p>
        </w:tc>
        <w:tc>
          <w:tcPr>
            <w:tcW w:w="9072" w:type="dxa"/>
            <w:gridSpan w:val="2"/>
          </w:tcPr>
          <w:p w:rsidR="005D5F28" w:rsidRPr="00D22AF9" w:rsidRDefault="005D5F28" w:rsidP="004E1C7B">
            <w:pPr>
              <w:widowControl w:val="0"/>
              <w:tabs>
                <w:tab w:val="left" w:pos="0"/>
                <w:tab w:val="left" w:pos="426"/>
                <w:tab w:val="left" w:pos="993"/>
              </w:tabs>
              <w:ind w:firstLine="0"/>
              <w:jc w:val="both"/>
              <w:rPr>
                <w:sz w:val="24"/>
                <w:szCs w:val="24"/>
              </w:rPr>
            </w:pPr>
            <w:r w:rsidRPr="00D22AF9">
              <w:rPr>
                <w:sz w:val="24"/>
                <w:szCs w:val="24"/>
              </w:rPr>
              <w:t xml:space="preserve">Князева Е.А. Развитие почтовой связи как элемента национальной экономики Украины // Наукові праці ОНАЗ ім. О.С. Попова. – 2010. – № 1. – С. 164-169. </w:t>
            </w:r>
          </w:p>
        </w:tc>
      </w:tr>
      <w:tr w:rsidR="005D5F28" w:rsidRPr="00D22AF9" w:rsidTr="004E1C7B">
        <w:tc>
          <w:tcPr>
            <w:tcW w:w="567" w:type="dxa"/>
          </w:tcPr>
          <w:p w:rsidR="005D5F28" w:rsidRPr="00D22AF9" w:rsidRDefault="005D5F28" w:rsidP="005D5F28">
            <w:pPr>
              <w:pStyle w:val="a3"/>
              <w:widowControl w:val="0"/>
              <w:numPr>
                <w:ilvl w:val="0"/>
                <w:numId w:val="2"/>
              </w:numPr>
              <w:ind w:left="0" w:firstLine="0"/>
              <w:jc w:val="both"/>
              <w:rPr>
                <w:sz w:val="24"/>
                <w:szCs w:val="24"/>
              </w:rPr>
            </w:pPr>
          </w:p>
        </w:tc>
        <w:tc>
          <w:tcPr>
            <w:tcW w:w="9072" w:type="dxa"/>
            <w:gridSpan w:val="2"/>
          </w:tcPr>
          <w:p w:rsidR="005D5F28" w:rsidRPr="00D22AF9" w:rsidRDefault="005D5F28" w:rsidP="004E1C7B">
            <w:pPr>
              <w:widowControl w:val="0"/>
              <w:tabs>
                <w:tab w:val="left" w:pos="0"/>
                <w:tab w:val="left" w:pos="426"/>
                <w:tab w:val="left" w:pos="993"/>
              </w:tabs>
              <w:ind w:firstLine="0"/>
              <w:jc w:val="both"/>
              <w:rPr>
                <w:sz w:val="24"/>
                <w:szCs w:val="24"/>
              </w:rPr>
            </w:pPr>
            <w:r w:rsidRPr="00D22AF9">
              <w:rPr>
                <w:sz w:val="24"/>
                <w:szCs w:val="24"/>
              </w:rPr>
              <w:t>Савченкова Е.В. Услуги почтовой связи – проблемы спроса и потребления // Инновационные технологии управления и права. – 2012. – № 1-2 (2). – С. 60-69.</w:t>
            </w:r>
          </w:p>
        </w:tc>
      </w:tr>
    </w:tbl>
    <w:p w:rsidR="005D5F28" w:rsidRPr="00D22AF9" w:rsidRDefault="005D5F28" w:rsidP="005D5F28">
      <w:pPr>
        <w:widowControl w:val="0"/>
        <w:ind w:firstLine="567"/>
        <w:jc w:val="center"/>
        <w:rPr>
          <w:b/>
          <w:szCs w:val="28"/>
        </w:rPr>
      </w:pPr>
    </w:p>
    <w:p w:rsidR="00530D6A" w:rsidRDefault="00530D6A">
      <w:bookmarkStart w:id="6" w:name="_GoBack"/>
      <w:bookmarkEnd w:id="6"/>
    </w:p>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C1A16"/>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28"/>
    <w:rsid w:val="00530D6A"/>
    <w:rsid w:val="005D5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4AF52-9361-494C-833E-283DD038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28"/>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5D5F28"/>
    <w:pPr>
      <w:keepNext/>
      <w:keepLines/>
      <w:ind w:firstLine="0"/>
      <w:jc w:val="center"/>
      <w:outlineLvl w:val="0"/>
    </w:pPr>
    <w:rPr>
      <w:b/>
      <w:bCs/>
      <w:szCs w:val="28"/>
    </w:rPr>
  </w:style>
  <w:style w:type="paragraph" w:styleId="2">
    <w:name w:val="heading 2"/>
    <w:basedOn w:val="a"/>
    <w:next w:val="a"/>
    <w:link w:val="20"/>
    <w:uiPriority w:val="9"/>
    <w:unhideWhenUsed/>
    <w:qFormat/>
    <w:rsid w:val="005D5F28"/>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F2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5D5F28"/>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5D5F28"/>
    <w:pPr>
      <w:ind w:left="720"/>
      <w:contextualSpacing/>
    </w:pPr>
  </w:style>
  <w:style w:type="character" w:styleId="a5">
    <w:name w:val="Hyperlink"/>
    <w:uiPriority w:val="99"/>
    <w:unhideWhenUsed/>
    <w:rsid w:val="005D5F28"/>
    <w:rPr>
      <w:color w:val="0000FF"/>
      <w:u w:val="single"/>
    </w:rPr>
  </w:style>
  <w:style w:type="paragraph" w:customStyle="1" w:styleId="Default">
    <w:name w:val="Default"/>
    <w:rsid w:val="005D5F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5D5F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5D5F28"/>
    <w:rPr>
      <w:rFonts w:ascii="Times New Roman" w:eastAsia="Times New Roman" w:hAnsi="Times New Roman" w:cs="Times New Roman"/>
      <w:sz w:val="28"/>
      <w:lang w:eastAsia="ru-RU"/>
    </w:rPr>
  </w:style>
  <w:style w:type="paragraph" w:customStyle="1" w:styleId="21">
    <w:name w:val="Основной текст с отступом 21"/>
    <w:basedOn w:val="a"/>
    <w:rsid w:val="005D5F28"/>
    <w:pPr>
      <w:widowControl w:val="0"/>
      <w:suppressAutoHyphens/>
      <w:ind w:firstLine="360"/>
      <w:jc w:val="both"/>
    </w:pPr>
    <w:rPr>
      <w:rFonts w:ascii="Arial" w:eastAsia="Arial" w:hAnsi="Arial"/>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org/ru/ecosoc/u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2016-2017\&#1056;&#1040;&#1041;&#1054;&#1058;&#1040;%20&#1059;&#1053;&#1048;&#1042;&#1045;&#1056;\&#1044;&#1048;&#1055;&#1051;&#1054;&#1052;%20(3)\&#1056;&#1072;&#1079;&#1076;&#1077;&#1083;%201\&#1088;&#1080;&#1089;&#1091;&#1085;&#1082;&#1080;%20&#1088;&#1072;&#1079;&#1076;&#1077;&#1083;&#1072;%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016-2017\&#1056;&#1040;&#1041;&#1054;&#1058;&#1040;%20&#1059;&#1053;&#1048;&#1042;&#1045;&#1056;\&#1044;&#1048;&#1055;&#1051;&#1054;&#1052;%20(3)\&#1056;&#1072;&#1079;&#1076;&#1077;&#1083;%201\&#1088;&#1080;&#1089;&#1091;&#1085;&#1082;&#1080;%20&#1088;&#1072;&#1079;&#1076;&#1077;&#1083;&#1072;%20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'по доходам'!$A$3</c:f>
              <c:strCache>
                <c:ptCount val="1"/>
                <c:pt idx="0">
                  <c:v>Письменная корреспонденция</c:v>
                </c:pt>
              </c:strCache>
            </c:strRef>
          </c:tx>
          <c:spPr>
            <a:pattFill prst="dashUpDiag">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доходам'!$B$2:$H$2</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доходам'!$B$3:$H$3</c:f>
              <c:numCache>
                <c:formatCode>General</c:formatCode>
                <c:ptCount val="7"/>
                <c:pt idx="0">
                  <c:v>47.8</c:v>
                </c:pt>
                <c:pt idx="1">
                  <c:v>62.6</c:v>
                </c:pt>
                <c:pt idx="2">
                  <c:v>51.6</c:v>
                </c:pt>
                <c:pt idx="3">
                  <c:v>38.1</c:v>
                </c:pt>
                <c:pt idx="4">
                  <c:v>40.200000000000003</c:v>
                </c:pt>
                <c:pt idx="5">
                  <c:v>60.8</c:v>
                </c:pt>
                <c:pt idx="6">
                  <c:v>50.4</c:v>
                </c:pt>
              </c:numCache>
            </c:numRef>
          </c:val>
          <c:extLst>
            <c:ext xmlns:c16="http://schemas.microsoft.com/office/drawing/2014/chart" uri="{C3380CC4-5D6E-409C-BE32-E72D297353CC}">
              <c16:uniqueId val="{00000000-4D0B-4A75-B377-1266DD5605CF}"/>
            </c:ext>
          </c:extLst>
        </c:ser>
        <c:ser>
          <c:idx val="1"/>
          <c:order val="1"/>
          <c:tx>
            <c:strRef>
              <c:f>'по доходам'!$A$4</c:f>
              <c:strCache>
                <c:ptCount val="1"/>
                <c:pt idx="0">
                  <c:v>Почтовые посылки и логистические услуги</c:v>
                </c:pt>
              </c:strCache>
            </c:strRef>
          </c:tx>
          <c:spPr>
            <a:pattFill prst="dkVert">
              <a:fgClr>
                <a:sysClr val="windowText" lastClr="000000"/>
              </a:fgClr>
              <a:bgClr>
                <a:sysClr val="window" lastClr="FFFFFF"/>
              </a:bgClr>
            </a:pattFill>
            <a:ln>
              <a:solidFill>
                <a:sysClr val="windowText" lastClr="000000">
                  <a:alpha val="96000"/>
                </a:sysClr>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доходам'!$B$2:$H$2</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доходам'!$B$4:$H$4</c:f>
              <c:numCache>
                <c:formatCode>General</c:formatCode>
                <c:ptCount val="7"/>
                <c:pt idx="0">
                  <c:v>7.8</c:v>
                </c:pt>
                <c:pt idx="1">
                  <c:v>15.5</c:v>
                </c:pt>
                <c:pt idx="2">
                  <c:v>13.1</c:v>
                </c:pt>
                <c:pt idx="3">
                  <c:v>7.1</c:v>
                </c:pt>
                <c:pt idx="4">
                  <c:v>5</c:v>
                </c:pt>
                <c:pt idx="5">
                  <c:v>16.899999999999999</c:v>
                </c:pt>
                <c:pt idx="6">
                  <c:v>11.1</c:v>
                </c:pt>
              </c:numCache>
            </c:numRef>
          </c:val>
          <c:extLst>
            <c:ext xmlns:c16="http://schemas.microsoft.com/office/drawing/2014/chart" uri="{C3380CC4-5D6E-409C-BE32-E72D297353CC}">
              <c16:uniqueId val="{00000001-4D0B-4A75-B377-1266DD5605CF}"/>
            </c:ext>
          </c:extLst>
        </c:ser>
        <c:ser>
          <c:idx val="2"/>
          <c:order val="2"/>
          <c:tx>
            <c:strRef>
              <c:f>'по доходам'!$A$5</c:f>
              <c:strCache>
                <c:ptCount val="1"/>
                <c:pt idx="0">
                  <c:v>Почтовые финансовые услуги</c:v>
                </c:pt>
              </c:strCache>
            </c:strRef>
          </c:tx>
          <c:spPr>
            <a:pattFill prst="wdUpDiag">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доходам'!$B$2:$H$2</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доходам'!$B$5:$H$5</c:f>
              <c:numCache>
                <c:formatCode>General</c:formatCode>
                <c:ptCount val="7"/>
                <c:pt idx="0">
                  <c:v>14.4</c:v>
                </c:pt>
                <c:pt idx="1">
                  <c:v>7.5</c:v>
                </c:pt>
                <c:pt idx="2">
                  <c:v>18.3</c:v>
                </c:pt>
                <c:pt idx="3">
                  <c:v>19.2</c:v>
                </c:pt>
                <c:pt idx="4">
                  <c:v>25.8</c:v>
                </c:pt>
                <c:pt idx="5">
                  <c:v>10.8</c:v>
                </c:pt>
                <c:pt idx="6">
                  <c:v>15.3</c:v>
                </c:pt>
              </c:numCache>
            </c:numRef>
          </c:val>
          <c:extLst>
            <c:ext xmlns:c16="http://schemas.microsoft.com/office/drawing/2014/chart" uri="{C3380CC4-5D6E-409C-BE32-E72D297353CC}">
              <c16:uniqueId val="{00000002-4D0B-4A75-B377-1266DD5605CF}"/>
            </c:ext>
          </c:extLst>
        </c:ser>
        <c:ser>
          <c:idx val="3"/>
          <c:order val="3"/>
          <c:tx>
            <c:strRef>
              <c:f>'по доходам'!$A$6</c:f>
              <c:strCache>
                <c:ptCount val="1"/>
                <c:pt idx="0">
                  <c:v>Другие услуги</c:v>
                </c:pt>
              </c:strCache>
            </c:strRef>
          </c:tx>
          <c:spPr>
            <a:pattFill prst="diagBrick">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доходам'!$B$2:$H$2</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доходам'!$B$6:$H$6</c:f>
              <c:numCache>
                <c:formatCode>General</c:formatCode>
                <c:ptCount val="7"/>
                <c:pt idx="0">
                  <c:v>30</c:v>
                </c:pt>
                <c:pt idx="1">
                  <c:v>14.4</c:v>
                </c:pt>
                <c:pt idx="2">
                  <c:v>17</c:v>
                </c:pt>
                <c:pt idx="3">
                  <c:v>35.6</c:v>
                </c:pt>
                <c:pt idx="4">
                  <c:v>29</c:v>
                </c:pt>
                <c:pt idx="5">
                  <c:v>11.5</c:v>
                </c:pt>
                <c:pt idx="6">
                  <c:v>23.2</c:v>
                </c:pt>
              </c:numCache>
            </c:numRef>
          </c:val>
          <c:extLst>
            <c:ext xmlns:c16="http://schemas.microsoft.com/office/drawing/2014/chart" uri="{C3380CC4-5D6E-409C-BE32-E72D297353CC}">
              <c16:uniqueId val="{00000003-4D0B-4A75-B377-1266DD5605CF}"/>
            </c:ext>
          </c:extLst>
        </c:ser>
        <c:dLbls>
          <c:showLegendKey val="0"/>
          <c:showVal val="1"/>
          <c:showCatName val="0"/>
          <c:showSerName val="0"/>
          <c:showPercent val="0"/>
          <c:showBubbleSize val="0"/>
        </c:dLbls>
        <c:gapWidth val="150"/>
        <c:overlap val="100"/>
        <c:axId val="177022848"/>
        <c:axId val="177024384"/>
      </c:barChart>
      <c:catAx>
        <c:axId val="17702284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7024384"/>
        <c:crosses val="autoZero"/>
        <c:auto val="1"/>
        <c:lblAlgn val="ctr"/>
        <c:lblOffset val="100"/>
        <c:noMultiLvlLbl val="0"/>
      </c:catAx>
      <c:valAx>
        <c:axId val="177024384"/>
        <c:scaling>
          <c:orientation val="minMax"/>
          <c:max val="100"/>
        </c:scaling>
        <c:delete val="0"/>
        <c:axPos val="b"/>
        <c:majorGridlines>
          <c:spPr>
            <a:ln w="9525" cap="flat" cmpd="sng" algn="ctr">
              <a:solidFill>
                <a:sysClr val="windowText" lastClr="000000"/>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a:t>
                </a:r>
              </a:p>
            </c:rich>
          </c:tx>
          <c:layout>
            <c:manualLayout>
              <c:xMode val="edge"/>
              <c:yMode val="edge"/>
              <c:x val="0.49729805513441333"/>
              <c:y val="0.77234885113045293"/>
            </c:manualLayout>
          </c:layout>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7022848"/>
        <c:crosses val="autoZero"/>
        <c:crossBetween val="between"/>
        <c:majorUnit val="20"/>
        <c:minorUnit val="10"/>
      </c:valAx>
      <c:spPr>
        <a:noFill/>
        <a:ln>
          <a:noFill/>
        </a:ln>
        <a:effectLst/>
      </c:spPr>
    </c:plotArea>
    <c:legend>
      <c:legendPos val="b"/>
      <c:layout>
        <c:manualLayout>
          <c:xMode val="edge"/>
          <c:yMode val="edge"/>
          <c:x val="1.3768987537975083E-2"/>
          <c:y val="0.83135024788568113"/>
          <c:w val="0.98506028478723051"/>
          <c:h val="0.1408719743365411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'по доходам'!$A$26</c:f>
              <c:strCache>
                <c:ptCount val="1"/>
                <c:pt idx="0">
                  <c:v>Письменная корреспонденция</c:v>
                </c:pt>
              </c:strCache>
            </c:strRef>
          </c:tx>
          <c:spPr>
            <a:pattFill prst="dashUpDiag">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доходам'!$B$25:$H$25</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доходам'!$B$26:$H$26</c:f>
              <c:numCache>
                <c:formatCode>General</c:formatCode>
                <c:ptCount val="7"/>
                <c:pt idx="0">
                  <c:v>28.7</c:v>
                </c:pt>
                <c:pt idx="1">
                  <c:v>51.7</c:v>
                </c:pt>
                <c:pt idx="2">
                  <c:v>38.1</c:v>
                </c:pt>
                <c:pt idx="3">
                  <c:v>46</c:v>
                </c:pt>
                <c:pt idx="4">
                  <c:v>31.8</c:v>
                </c:pt>
                <c:pt idx="5">
                  <c:v>47.9</c:v>
                </c:pt>
                <c:pt idx="6">
                  <c:v>41.4</c:v>
                </c:pt>
              </c:numCache>
            </c:numRef>
          </c:val>
          <c:extLst>
            <c:ext xmlns:c16="http://schemas.microsoft.com/office/drawing/2014/chart" uri="{C3380CC4-5D6E-409C-BE32-E72D297353CC}">
              <c16:uniqueId val="{00000000-C84A-410E-B701-0ECAA0C64740}"/>
            </c:ext>
          </c:extLst>
        </c:ser>
        <c:ser>
          <c:idx val="1"/>
          <c:order val="1"/>
          <c:tx>
            <c:strRef>
              <c:f>'по доходам'!$A$27</c:f>
              <c:strCache>
                <c:ptCount val="1"/>
                <c:pt idx="0">
                  <c:v>Почтовые посылки и логистические услуги</c:v>
                </c:pt>
              </c:strCache>
            </c:strRef>
          </c:tx>
          <c:spPr>
            <a:pattFill prst="dkVert">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доходам'!$B$25:$H$25</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доходам'!$B$27:$H$27</c:f>
              <c:numCache>
                <c:formatCode>General</c:formatCode>
                <c:ptCount val="7"/>
                <c:pt idx="0">
                  <c:v>14.5</c:v>
                </c:pt>
                <c:pt idx="1">
                  <c:v>30.9</c:v>
                </c:pt>
                <c:pt idx="2">
                  <c:v>26</c:v>
                </c:pt>
                <c:pt idx="3">
                  <c:v>9.4</c:v>
                </c:pt>
                <c:pt idx="4">
                  <c:v>32.300000000000004</c:v>
                </c:pt>
                <c:pt idx="5">
                  <c:v>26.3</c:v>
                </c:pt>
                <c:pt idx="6">
                  <c:v>20.5</c:v>
                </c:pt>
              </c:numCache>
            </c:numRef>
          </c:val>
          <c:extLst>
            <c:ext xmlns:c16="http://schemas.microsoft.com/office/drawing/2014/chart" uri="{C3380CC4-5D6E-409C-BE32-E72D297353CC}">
              <c16:uniqueId val="{00000001-C84A-410E-B701-0ECAA0C64740}"/>
            </c:ext>
          </c:extLst>
        </c:ser>
        <c:ser>
          <c:idx val="2"/>
          <c:order val="2"/>
          <c:tx>
            <c:strRef>
              <c:f>'по доходам'!$A$28</c:f>
              <c:strCache>
                <c:ptCount val="1"/>
                <c:pt idx="0">
                  <c:v>Почтовые финансовые услуги</c:v>
                </c:pt>
              </c:strCache>
            </c:strRef>
          </c:tx>
          <c:spPr>
            <a:pattFill prst="wdUpDiag">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доходам'!$B$25:$H$25</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доходам'!$B$28:$H$28</c:f>
              <c:numCache>
                <c:formatCode>General</c:formatCode>
                <c:ptCount val="7"/>
                <c:pt idx="0">
                  <c:v>21.4</c:v>
                </c:pt>
                <c:pt idx="1">
                  <c:v>3.9</c:v>
                </c:pt>
                <c:pt idx="2">
                  <c:v>11.6</c:v>
                </c:pt>
                <c:pt idx="3">
                  <c:v>22.8</c:v>
                </c:pt>
                <c:pt idx="4">
                  <c:v>19.899999999999999</c:v>
                </c:pt>
                <c:pt idx="5">
                  <c:v>16.5</c:v>
                </c:pt>
                <c:pt idx="6">
                  <c:v>16.3</c:v>
                </c:pt>
              </c:numCache>
            </c:numRef>
          </c:val>
          <c:extLst>
            <c:ext xmlns:c16="http://schemas.microsoft.com/office/drawing/2014/chart" uri="{C3380CC4-5D6E-409C-BE32-E72D297353CC}">
              <c16:uniqueId val="{00000002-C84A-410E-B701-0ECAA0C64740}"/>
            </c:ext>
          </c:extLst>
        </c:ser>
        <c:ser>
          <c:idx val="3"/>
          <c:order val="3"/>
          <c:tx>
            <c:strRef>
              <c:f>'по доходам'!$A$29</c:f>
              <c:strCache>
                <c:ptCount val="1"/>
                <c:pt idx="0">
                  <c:v>Другие услуги</c:v>
                </c:pt>
              </c:strCache>
            </c:strRef>
          </c:tx>
          <c:spPr>
            <a:pattFill prst="openDmnd">
              <a:fgClr>
                <a:sysClr val="windowText" lastClr="000000"/>
              </a:fgClr>
              <a:bgClr>
                <a:sysClr val="window" lastClr="FFFFFF"/>
              </a:bgClr>
            </a:pattFill>
            <a:ln>
              <a:solidFill>
                <a:sysClr val="windowText" lastClr="000000"/>
              </a:solidFill>
            </a:ln>
            <a:effectLst/>
          </c:spPr>
          <c:invertIfNegative val="0"/>
          <c:dLbls>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доходам'!$B$25:$H$25</c:f>
              <c:strCache>
                <c:ptCount val="7"/>
                <c:pt idx="0">
                  <c:v>Африка</c:v>
                </c:pt>
                <c:pt idx="1">
                  <c:v>Cтраны Латинской Америки</c:v>
                </c:pt>
                <c:pt idx="2">
                  <c:v>Азиатско-Тихоокеанский регион</c:v>
                </c:pt>
                <c:pt idx="3">
                  <c:v>Европа и СНГ</c:v>
                </c:pt>
                <c:pt idx="4">
                  <c:v>Арабский мир</c:v>
                </c:pt>
                <c:pt idx="5">
                  <c:v>Промышленно развитые страны</c:v>
                </c:pt>
                <c:pt idx="6">
                  <c:v>Весь мир</c:v>
                </c:pt>
              </c:strCache>
            </c:strRef>
          </c:cat>
          <c:val>
            <c:numRef>
              <c:f>'по доходам'!$B$29:$H$29</c:f>
              <c:numCache>
                <c:formatCode>General</c:formatCode>
                <c:ptCount val="7"/>
                <c:pt idx="0">
                  <c:v>35.4</c:v>
                </c:pt>
                <c:pt idx="1">
                  <c:v>13.5</c:v>
                </c:pt>
                <c:pt idx="2">
                  <c:v>24.3</c:v>
                </c:pt>
                <c:pt idx="3">
                  <c:v>21.8</c:v>
                </c:pt>
                <c:pt idx="4">
                  <c:v>16</c:v>
                </c:pt>
                <c:pt idx="5">
                  <c:v>9.3000000000000007</c:v>
                </c:pt>
                <c:pt idx="6">
                  <c:v>21.8</c:v>
                </c:pt>
              </c:numCache>
            </c:numRef>
          </c:val>
          <c:extLst>
            <c:ext xmlns:c16="http://schemas.microsoft.com/office/drawing/2014/chart" uri="{C3380CC4-5D6E-409C-BE32-E72D297353CC}">
              <c16:uniqueId val="{00000003-C84A-410E-B701-0ECAA0C64740}"/>
            </c:ext>
          </c:extLst>
        </c:ser>
        <c:dLbls>
          <c:showLegendKey val="0"/>
          <c:showVal val="1"/>
          <c:showCatName val="0"/>
          <c:showSerName val="0"/>
          <c:showPercent val="0"/>
          <c:showBubbleSize val="0"/>
        </c:dLbls>
        <c:gapWidth val="150"/>
        <c:overlap val="100"/>
        <c:axId val="180313088"/>
        <c:axId val="196743936"/>
      </c:barChart>
      <c:catAx>
        <c:axId val="18031308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6743936"/>
        <c:crosses val="autoZero"/>
        <c:auto val="1"/>
        <c:lblAlgn val="ctr"/>
        <c:lblOffset val="100"/>
        <c:noMultiLvlLbl val="0"/>
      </c:catAx>
      <c:valAx>
        <c:axId val="196743936"/>
        <c:scaling>
          <c:orientation val="minMax"/>
          <c:max val="100"/>
        </c:scaling>
        <c:delete val="0"/>
        <c:axPos val="b"/>
        <c:majorGridlines>
          <c:spPr>
            <a:ln w="9525" cap="flat" cmpd="sng" algn="ctr">
              <a:solidFill>
                <a:sysClr val="windowText" lastClr="000000"/>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a:t>
                </a:r>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0313088"/>
        <c:crosses val="autoZero"/>
        <c:crossBetween val="between"/>
        <c:majorUnit val="20"/>
        <c:minorUnit val="10"/>
      </c:valAx>
      <c:spPr>
        <a:noFill/>
        <a:ln>
          <a:noFill/>
        </a:ln>
        <a:effectLst/>
      </c:spPr>
    </c:plotArea>
    <c:legend>
      <c:legendPos val="b"/>
      <c:layout>
        <c:manualLayout>
          <c:xMode val="edge"/>
          <c:yMode val="edge"/>
          <c:x val="1.3768987537975081E-2"/>
          <c:y val="0.83135024788568113"/>
          <c:w val="0.98506028478723051"/>
          <c:h val="0.1408719743365411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2017-12-05T14:52:00Z</dcterms:created>
  <dcterms:modified xsi:type="dcterms:W3CDTF">2017-12-05T14:52:00Z</dcterms:modified>
</cp:coreProperties>
</file>