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CC" w:rsidRPr="0065136F" w:rsidRDefault="00BC6DCC" w:rsidP="00BC6DCC">
      <w:pPr>
        <w:pStyle w:val="11"/>
        <w:ind w:firstLine="0"/>
        <w:jc w:val="left"/>
        <w:rPr>
          <w:b/>
          <w:lang w:val="uk-UA"/>
        </w:rPr>
      </w:pPr>
      <w:r w:rsidRPr="0065136F">
        <w:rPr>
          <w:b/>
          <w:lang w:val="uk-UA"/>
        </w:rPr>
        <w:t>УДК</w:t>
      </w:r>
      <w:r w:rsidR="005063CB" w:rsidRPr="0065136F">
        <w:rPr>
          <w:b/>
          <w:lang w:val="uk-UA"/>
        </w:rPr>
        <w:t xml:space="preserve"> 622.7.01</w:t>
      </w:r>
    </w:p>
    <w:p w:rsidR="0065136F" w:rsidRPr="0065136F" w:rsidRDefault="0065136F" w:rsidP="00BC6DCC">
      <w:pPr>
        <w:pStyle w:val="11"/>
        <w:ind w:firstLine="0"/>
        <w:jc w:val="left"/>
        <w:rPr>
          <w:b/>
          <w:lang w:val="uk-UA"/>
        </w:rPr>
      </w:pPr>
    </w:p>
    <w:p w:rsidR="00BC6DCC" w:rsidRDefault="00BC6DCC" w:rsidP="00BC6DCC">
      <w:pPr>
        <w:pStyle w:val="11"/>
        <w:ind w:firstLine="0"/>
        <w:jc w:val="center"/>
        <w:rPr>
          <w:b/>
        </w:rPr>
      </w:pPr>
      <w:r>
        <w:rPr>
          <w:b/>
        </w:rPr>
        <w:t xml:space="preserve">АНАЛИЗ ОСОБЕННОСТЕЙ СХЕМЫ ОБОГАЩЕНИЯ </w:t>
      </w:r>
    </w:p>
    <w:p w:rsidR="00BC6DCC" w:rsidRPr="004A3CAB" w:rsidRDefault="00BC6DCC" w:rsidP="00BC6DCC">
      <w:pPr>
        <w:pStyle w:val="11"/>
        <w:ind w:firstLine="0"/>
        <w:jc w:val="center"/>
        <w:rPr>
          <w:b/>
        </w:rPr>
      </w:pPr>
      <w:r>
        <w:rPr>
          <w:b/>
        </w:rPr>
        <w:t>ГОФ «ДОНЕЦКАЯ»</w:t>
      </w:r>
    </w:p>
    <w:p w:rsidR="00BC6DCC" w:rsidRPr="004A3CAB" w:rsidRDefault="00BC6DCC" w:rsidP="00BC6DCC">
      <w:pPr>
        <w:pStyle w:val="11"/>
        <w:ind w:firstLine="0"/>
        <w:jc w:val="center"/>
        <w:rPr>
          <w:b/>
        </w:rPr>
      </w:pPr>
    </w:p>
    <w:p w:rsidR="00BC6DCC" w:rsidRPr="0087261A" w:rsidRDefault="00BC6DCC" w:rsidP="00BC6DCC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Самойлик</w:t>
      </w:r>
      <w:proofErr w:type="spellEnd"/>
      <w:r>
        <w:rPr>
          <w:b/>
          <w:szCs w:val="28"/>
        </w:rPr>
        <w:t xml:space="preserve"> В. Г.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BC6DCC" w:rsidRPr="006B4768" w:rsidRDefault="00BC6DCC" w:rsidP="00BC6DCC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Остаповец</w:t>
      </w:r>
      <w:proofErr w:type="spellEnd"/>
      <w:r>
        <w:rPr>
          <w:b/>
          <w:szCs w:val="28"/>
        </w:rPr>
        <w:t xml:space="preserve"> Б. А.</w:t>
      </w:r>
      <w:r w:rsidRPr="0037390D">
        <w:rPr>
          <w:szCs w:val="28"/>
        </w:rPr>
        <w:t>,</w:t>
      </w:r>
      <w:r w:rsidRPr="006B4768">
        <w:rPr>
          <w:szCs w:val="28"/>
        </w:rPr>
        <w:t xml:space="preserve"> студент группы ОПИ</w:t>
      </w:r>
      <w:r>
        <w:rPr>
          <w:szCs w:val="28"/>
        </w:rPr>
        <w:t>уск</w:t>
      </w:r>
      <w:r w:rsidRPr="006B4768">
        <w:rPr>
          <w:szCs w:val="28"/>
        </w:rPr>
        <w:t>-1</w:t>
      </w:r>
      <w:r>
        <w:rPr>
          <w:szCs w:val="28"/>
        </w:rPr>
        <w:t>3з</w:t>
      </w:r>
      <w:r w:rsidRPr="006B4768">
        <w:rPr>
          <w:szCs w:val="28"/>
        </w:rPr>
        <w:t xml:space="preserve"> ГОУ</w:t>
      </w:r>
      <w:r w:rsidRPr="00CE4CC5">
        <w:rPr>
          <w:szCs w:val="28"/>
        </w:rPr>
        <w:t xml:space="preserve"> </w:t>
      </w:r>
      <w:r w:rsidRPr="006B4768">
        <w:rPr>
          <w:szCs w:val="28"/>
        </w:rPr>
        <w:t>ВПО «</w:t>
      </w:r>
      <w:proofErr w:type="spellStart"/>
      <w:r w:rsidRPr="006B4768">
        <w:rPr>
          <w:szCs w:val="28"/>
        </w:rPr>
        <w:t>ДонНТУ</w:t>
      </w:r>
      <w:proofErr w:type="spellEnd"/>
      <w:r w:rsidRPr="006B4768">
        <w:rPr>
          <w:szCs w:val="28"/>
        </w:rPr>
        <w:t>»</w:t>
      </w:r>
      <w:r>
        <w:rPr>
          <w:szCs w:val="28"/>
        </w:rPr>
        <w:t>.</w:t>
      </w:r>
    </w:p>
    <w:p w:rsidR="005063CB" w:rsidRPr="0065136F" w:rsidRDefault="00B659C9" w:rsidP="005063CB">
      <w:pPr>
        <w:pStyle w:val="11"/>
        <w:ind w:firstLine="0"/>
        <w:jc w:val="center"/>
        <w:rPr>
          <w:rFonts w:ascii="Arial" w:hAnsi="Arial" w:cs="Arial"/>
          <w:shd w:val="clear" w:color="auto" w:fill="FFFFFF"/>
        </w:rPr>
      </w:pPr>
      <w:r w:rsidRPr="00DD23CB">
        <w:rPr>
          <w:i/>
          <w:lang w:val="en-US"/>
        </w:rPr>
        <w:t>E-mail:</w:t>
      </w:r>
      <w:r w:rsidRPr="00B659C9">
        <w:rPr>
          <w:i/>
          <w:lang w:val="en-US"/>
        </w:rPr>
        <w:t xml:space="preserve"> </w:t>
      </w:r>
      <w:hyperlink r:id="rId5" w:history="1">
        <w:r w:rsidR="005063CB" w:rsidRPr="00B659C9">
          <w:rPr>
            <w:rStyle w:val="af6"/>
            <w:i/>
            <w:color w:val="auto"/>
            <w:u w:val="none"/>
            <w:shd w:val="clear" w:color="auto" w:fill="FFFFFF"/>
          </w:rPr>
          <w:t>samoylik@donntu.org</w:t>
        </w:r>
      </w:hyperlink>
    </w:p>
    <w:p w:rsidR="00BC6DCC" w:rsidRDefault="00BC6DCC" w:rsidP="00BC6DCC">
      <w:pPr>
        <w:pStyle w:val="11"/>
      </w:pPr>
    </w:p>
    <w:p w:rsidR="00BC6DCC" w:rsidRPr="004B3E7F" w:rsidRDefault="00BC6DCC" w:rsidP="00BC6DCC">
      <w:pPr>
        <w:pStyle w:val="11"/>
        <w:rPr>
          <w:bCs/>
          <w:iCs/>
          <w:color w:val="000000"/>
        </w:rPr>
      </w:pPr>
      <w:r w:rsidRPr="00BF2B23">
        <w:rPr>
          <w:b/>
          <w:bCs/>
          <w:iCs/>
          <w:color w:val="000000"/>
        </w:rPr>
        <w:t>Аннотация</w:t>
      </w:r>
      <w:r w:rsidRPr="004B3E7F">
        <w:rPr>
          <w:b/>
          <w:bCs/>
          <w:iCs/>
          <w:color w:val="000000"/>
        </w:rPr>
        <w:t xml:space="preserve">. </w:t>
      </w:r>
      <w:r w:rsidRPr="004B3E7F">
        <w:rPr>
          <w:bCs/>
          <w:iCs/>
          <w:color w:val="000000"/>
        </w:rPr>
        <w:t xml:space="preserve">Проведен анализ технологической схемы ГОФ </w:t>
      </w:r>
      <w:r>
        <w:rPr>
          <w:bCs/>
          <w:iCs/>
          <w:color w:val="000000"/>
        </w:rPr>
        <w:t>«</w:t>
      </w:r>
      <w:r w:rsidRPr="004B3E7F">
        <w:rPr>
          <w:bCs/>
          <w:iCs/>
          <w:color w:val="000000"/>
        </w:rPr>
        <w:t>Донецкая</w:t>
      </w:r>
      <w:r>
        <w:rPr>
          <w:bCs/>
          <w:iCs/>
          <w:color w:val="000000"/>
        </w:rPr>
        <w:t>»</w:t>
      </w:r>
      <w:r w:rsidRPr="004B3E7F">
        <w:rPr>
          <w:bCs/>
          <w:iCs/>
          <w:color w:val="000000"/>
        </w:rPr>
        <w:t>. Предло</w:t>
      </w:r>
      <w:r>
        <w:rPr>
          <w:bCs/>
          <w:iCs/>
          <w:color w:val="000000"/>
        </w:rPr>
        <w:t>жены решения по её модернизации.</w:t>
      </w:r>
    </w:p>
    <w:p w:rsidR="00BC6DCC" w:rsidRPr="004B3E7F" w:rsidRDefault="00BC6DCC" w:rsidP="00BC6DCC">
      <w:pPr>
        <w:pStyle w:val="11"/>
        <w:rPr>
          <w:bCs/>
          <w:iCs/>
          <w:color w:val="000000"/>
        </w:rPr>
      </w:pPr>
      <w:r w:rsidRPr="004B3E7F">
        <w:rPr>
          <w:b/>
          <w:bCs/>
          <w:iCs/>
          <w:color w:val="000000"/>
        </w:rPr>
        <w:t>Ключевые слова</w:t>
      </w:r>
      <w:r w:rsidRPr="004B3E7F">
        <w:rPr>
          <w:bCs/>
          <w:iCs/>
          <w:color w:val="000000"/>
        </w:rPr>
        <w:t>: антрацит, технологическая схема, отсадка, концентрат, от</w:t>
      </w:r>
      <w:r>
        <w:rPr>
          <w:bCs/>
          <w:iCs/>
          <w:color w:val="000000"/>
        </w:rPr>
        <w:t>ходы обогащения.</w:t>
      </w:r>
    </w:p>
    <w:p w:rsidR="00BC6DCC" w:rsidRPr="00DA65BB" w:rsidRDefault="00BC6DCC" w:rsidP="00BC6DCC">
      <w:pPr>
        <w:pStyle w:val="11"/>
        <w:rPr>
          <w:bCs/>
          <w:iCs/>
          <w:color w:val="000000"/>
          <w:lang w:val="en-US"/>
        </w:rPr>
      </w:pPr>
      <w:proofErr w:type="gramStart"/>
      <w:r w:rsidRPr="004B3E7F">
        <w:rPr>
          <w:b/>
          <w:bCs/>
          <w:iCs/>
          <w:color w:val="000000"/>
          <w:lang w:val="en-US"/>
        </w:rPr>
        <w:t>Annotation.</w:t>
      </w:r>
      <w:proofErr w:type="gramEnd"/>
      <w:r w:rsidRPr="004B3E7F">
        <w:rPr>
          <w:bCs/>
          <w:iCs/>
          <w:color w:val="000000"/>
          <w:lang w:val="en-US"/>
        </w:rPr>
        <w:t xml:space="preserve"> The analysis of the technological scheme of GOF </w:t>
      </w:r>
      <w:r w:rsidRPr="00DA65BB">
        <w:rPr>
          <w:bCs/>
          <w:iCs/>
          <w:color w:val="000000"/>
          <w:lang w:val="en-US"/>
        </w:rPr>
        <w:t>«</w:t>
      </w:r>
      <w:r w:rsidRPr="004B3E7F">
        <w:rPr>
          <w:bCs/>
          <w:iCs/>
          <w:color w:val="000000"/>
          <w:lang w:val="en-US"/>
        </w:rPr>
        <w:t>Donetsk</w:t>
      </w:r>
      <w:r w:rsidRPr="00DA65BB">
        <w:rPr>
          <w:bCs/>
          <w:iCs/>
          <w:color w:val="000000"/>
          <w:lang w:val="en-US"/>
        </w:rPr>
        <w:t>»</w:t>
      </w:r>
      <w:r w:rsidRPr="004B3E7F">
        <w:rPr>
          <w:bCs/>
          <w:iCs/>
          <w:color w:val="000000"/>
          <w:lang w:val="en-US"/>
        </w:rPr>
        <w:t xml:space="preserve"> was carried out. Solutions are proposed for its modernization</w:t>
      </w:r>
      <w:r w:rsidRPr="00DA65BB">
        <w:rPr>
          <w:bCs/>
          <w:iCs/>
          <w:color w:val="000000"/>
          <w:lang w:val="en-US"/>
        </w:rPr>
        <w:t>.</w:t>
      </w:r>
    </w:p>
    <w:p w:rsidR="00BC6DCC" w:rsidRPr="00DA65BB" w:rsidRDefault="00BC6DCC" w:rsidP="00BC6DCC">
      <w:pPr>
        <w:pStyle w:val="11"/>
        <w:rPr>
          <w:bCs/>
          <w:iCs/>
          <w:color w:val="000000"/>
          <w:lang w:val="en-US"/>
        </w:rPr>
      </w:pPr>
      <w:r w:rsidRPr="004B3E7F">
        <w:rPr>
          <w:b/>
          <w:bCs/>
          <w:iCs/>
          <w:color w:val="000000"/>
          <w:lang w:val="en-US"/>
        </w:rPr>
        <w:t>Key words:</w:t>
      </w:r>
      <w:r w:rsidRPr="004B3E7F">
        <w:rPr>
          <w:bCs/>
          <w:iCs/>
          <w:color w:val="000000"/>
          <w:lang w:val="en-US"/>
        </w:rPr>
        <w:t xml:space="preserve"> anthracite, technological scheme, jigging, concentrate, waste enrichment</w:t>
      </w:r>
      <w:r w:rsidRPr="00DA65BB">
        <w:rPr>
          <w:bCs/>
          <w:iCs/>
          <w:color w:val="000000"/>
          <w:lang w:val="en-US"/>
        </w:rPr>
        <w:t>.</w:t>
      </w:r>
    </w:p>
    <w:p w:rsidR="00BC6DCC" w:rsidRPr="00DA65BB" w:rsidRDefault="00BC6DCC" w:rsidP="00BC6DCC">
      <w:pPr>
        <w:pStyle w:val="11"/>
        <w:rPr>
          <w:bCs/>
          <w:iCs/>
          <w:color w:val="000000"/>
          <w:lang w:val="en-US"/>
        </w:rPr>
      </w:pPr>
    </w:p>
    <w:p w:rsidR="00BC6DCC" w:rsidRPr="006D38A3" w:rsidRDefault="00BC6DCC" w:rsidP="00BC6DCC">
      <w:pPr>
        <w:pStyle w:val="11"/>
        <w:rPr>
          <w:color w:val="000000"/>
        </w:rPr>
      </w:pPr>
      <w:r w:rsidRPr="006D38A3">
        <w:rPr>
          <w:color w:val="000000"/>
        </w:rPr>
        <w:t>ГОФ «</w:t>
      </w:r>
      <w:proofErr w:type="gramStart"/>
      <w:r w:rsidRPr="006D38A3">
        <w:rPr>
          <w:color w:val="000000"/>
        </w:rPr>
        <w:t>Донецкая</w:t>
      </w:r>
      <w:proofErr w:type="gramEnd"/>
      <w:r w:rsidRPr="006D38A3">
        <w:rPr>
          <w:color w:val="000000"/>
        </w:rPr>
        <w:t>» построе</w:t>
      </w:r>
      <w:r>
        <w:rPr>
          <w:color w:val="000000"/>
        </w:rPr>
        <w:t>на по проекту института «</w:t>
      </w:r>
      <w:proofErr w:type="spellStart"/>
      <w:r>
        <w:rPr>
          <w:color w:val="000000"/>
        </w:rPr>
        <w:t>Сталингипрош</w:t>
      </w:r>
      <w:r w:rsidRPr="006D38A3">
        <w:rPr>
          <w:color w:val="000000"/>
        </w:rPr>
        <w:t>ахт</w:t>
      </w:r>
      <w:proofErr w:type="spellEnd"/>
      <w:r w:rsidRPr="006D38A3">
        <w:rPr>
          <w:color w:val="000000"/>
        </w:rPr>
        <w:t xml:space="preserve">». </w:t>
      </w:r>
      <w:proofErr w:type="gramStart"/>
      <w:r w:rsidRPr="006D38A3">
        <w:rPr>
          <w:color w:val="000000"/>
        </w:rPr>
        <w:t>Введена</w:t>
      </w:r>
      <w:proofErr w:type="gramEnd"/>
      <w:r w:rsidRPr="006D38A3">
        <w:rPr>
          <w:color w:val="000000"/>
        </w:rPr>
        <w:t xml:space="preserve"> в эксплуатацию в 1958 году и предназначена для обогащения антрацитов шахт </w:t>
      </w:r>
      <w:proofErr w:type="spellStart"/>
      <w:r w:rsidRPr="006D38A3">
        <w:rPr>
          <w:color w:val="000000"/>
        </w:rPr>
        <w:t>Торезской</w:t>
      </w:r>
      <w:proofErr w:type="spellEnd"/>
      <w:r w:rsidRPr="006D38A3">
        <w:rPr>
          <w:color w:val="000000"/>
        </w:rPr>
        <w:t xml:space="preserve"> и Шахтерской групп.</w:t>
      </w:r>
    </w:p>
    <w:p w:rsidR="00BC6DCC" w:rsidRPr="006D38A3" w:rsidRDefault="00BC6DCC" w:rsidP="00BC6DCC">
      <w:pPr>
        <w:pStyle w:val="11"/>
        <w:rPr>
          <w:color w:val="000000"/>
        </w:rPr>
      </w:pPr>
      <w:r w:rsidRPr="006D38A3">
        <w:rPr>
          <w:color w:val="000000"/>
        </w:rPr>
        <w:t xml:space="preserve">За время эксплуатации фабрики существенно изменились ее сырьевая база и условия ее хозяйственной деятельности. В этой ситуации, с целью поддержания высоких технико-экономических показателей обогащения угля, на фабрике осуществлялось внедрение различных научно-технических мероприятий, которые повлекли за собой изменения в технологической схеме и сделали её отличной </w:t>
      </w:r>
      <w:proofErr w:type="gramStart"/>
      <w:r w:rsidRPr="006D38A3">
        <w:rPr>
          <w:color w:val="000000"/>
        </w:rPr>
        <w:t>от</w:t>
      </w:r>
      <w:proofErr w:type="gramEnd"/>
      <w:r w:rsidRPr="006D38A3">
        <w:rPr>
          <w:color w:val="000000"/>
        </w:rPr>
        <w:t xml:space="preserve"> проектной.</w:t>
      </w:r>
    </w:p>
    <w:p w:rsidR="00BC6DCC" w:rsidRPr="006D38A3" w:rsidRDefault="00BC6DCC" w:rsidP="00BC6DCC">
      <w:pPr>
        <w:pStyle w:val="11"/>
        <w:rPr>
          <w:color w:val="000000"/>
        </w:rPr>
      </w:pPr>
      <w:r w:rsidRPr="006D38A3">
        <w:rPr>
          <w:color w:val="000000"/>
        </w:rPr>
        <w:t xml:space="preserve">В соответствии с проектом обогатительная фабрика предназначалась для обогащения антрацитов в количестве 750 тыс. т в год. Суточная производительность – 2000 т, часовая производительность – 133 т. Метод </w:t>
      </w:r>
      <w:r w:rsidRPr="006D38A3">
        <w:rPr>
          <w:color w:val="000000"/>
        </w:rPr>
        <w:lastRenderedPageBreak/>
        <w:t>обогащения – мокрый (моечные желоба). Количество секций –</w:t>
      </w:r>
      <w:r>
        <w:rPr>
          <w:color w:val="000000"/>
        </w:rPr>
        <w:t xml:space="preserve"> </w:t>
      </w:r>
      <w:r w:rsidRPr="006D38A3">
        <w:rPr>
          <w:color w:val="000000"/>
        </w:rPr>
        <w:t xml:space="preserve">1. Глубина обогащения – </w:t>
      </w:r>
      <w:smartTag w:uri="urn:schemas-microsoft-com:office:smarttags" w:element="metricconverter">
        <w:smartTagPr>
          <w:attr w:name="ProductID" w:val="1 мм"/>
        </w:smartTagPr>
        <w:r w:rsidRPr="006D38A3">
          <w:rPr>
            <w:color w:val="000000"/>
          </w:rPr>
          <w:t>6 мм</w:t>
        </w:r>
      </w:smartTag>
      <w:r w:rsidRPr="006D38A3">
        <w:rPr>
          <w:color w:val="000000"/>
        </w:rPr>
        <w:t>. Назначение концентрата – для энергетики.</w:t>
      </w:r>
    </w:p>
    <w:p w:rsidR="00BC6DCC" w:rsidRPr="006D38A3" w:rsidRDefault="00BC6DCC" w:rsidP="00BC6DCC">
      <w:pPr>
        <w:pStyle w:val="11"/>
        <w:rPr>
          <w:color w:val="000000"/>
        </w:rPr>
      </w:pPr>
      <w:r w:rsidRPr="006D38A3">
        <w:rPr>
          <w:color w:val="000000"/>
        </w:rPr>
        <w:t>После реконструкции годовая мощность фабрики увеличилась до 1900 тыс. т. Проведена модернизация технологического оборудования. В качестве основного метода обогащения принята отсадка. Количество секций –</w:t>
      </w:r>
      <w:r>
        <w:rPr>
          <w:color w:val="000000"/>
        </w:rPr>
        <w:t xml:space="preserve"> </w:t>
      </w:r>
      <w:r w:rsidRPr="006D38A3">
        <w:rPr>
          <w:color w:val="000000"/>
        </w:rPr>
        <w:t xml:space="preserve">1. Глубина обогащения – </w:t>
      </w:r>
      <w:smartTag w:uri="urn:schemas-microsoft-com:office:smarttags" w:element="metricconverter">
        <w:smartTagPr>
          <w:attr w:name="ProductID" w:val="1 мм"/>
        </w:smartTagPr>
        <w:r w:rsidRPr="006D38A3">
          <w:rPr>
            <w:color w:val="000000"/>
          </w:rPr>
          <w:t>6 мм</w:t>
        </w:r>
      </w:smartTag>
      <w:r w:rsidRPr="006D38A3">
        <w:rPr>
          <w:color w:val="000000"/>
        </w:rPr>
        <w:t>. Назначение концентрата – для энергетики.</w:t>
      </w:r>
    </w:p>
    <w:p w:rsidR="00BC6DCC" w:rsidRPr="006D38A3" w:rsidRDefault="00BC6DCC" w:rsidP="00BC6DCC">
      <w:pPr>
        <w:pStyle w:val="11"/>
        <w:rPr>
          <w:color w:val="000000"/>
        </w:rPr>
      </w:pPr>
      <w:r w:rsidRPr="006D38A3">
        <w:rPr>
          <w:color w:val="000000"/>
        </w:rPr>
        <w:t>Существующая технологическая схема представлена на рис. 1.</w:t>
      </w:r>
    </w:p>
    <w:p w:rsidR="00BC6DCC" w:rsidRPr="004B3E7F" w:rsidRDefault="00BC6DCC" w:rsidP="00BC6DCC">
      <w:pPr>
        <w:pStyle w:val="11"/>
        <w:rPr>
          <w:color w:val="000000"/>
        </w:rPr>
      </w:pPr>
      <w:r>
        <w:rPr>
          <w:color w:val="000000"/>
        </w:rPr>
        <w:t>Исходный уголь после предварительной подготовки в дробильно-сортировочном отделении подаётся на сухую классификацию на неподвижный колосниковый грохот</w:t>
      </w:r>
      <w:r w:rsidRPr="00DA65BB">
        <w:rPr>
          <w:color w:val="000000"/>
        </w:rPr>
        <w:t xml:space="preserve"> (</w:t>
      </w:r>
      <w:r>
        <w:rPr>
          <w:color w:val="000000"/>
        </w:rPr>
        <w:t xml:space="preserve">операция </w:t>
      </w:r>
      <w:r>
        <w:rPr>
          <w:color w:val="000000"/>
          <w:lang w:val="en-US"/>
        </w:rPr>
        <w:t>I</w:t>
      </w:r>
      <w:r w:rsidRPr="00DA65BB">
        <w:rPr>
          <w:color w:val="000000"/>
        </w:rPr>
        <w:t>)</w:t>
      </w:r>
      <w:r>
        <w:rPr>
          <w:color w:val="000000"/>
        </w:rPr>
        <w:t xml:space="preserve">. </w:t>
      </w:r>
    </w:p>
    <w:p w:rsidR="00BC6DCC" w:rsidRDefault="00BC6DCC" w:rsidP="00BC6DCC">
      <w:pPr>
        <w:pStyle w:val="11"/>
        <w:rPr>
          <w:color w:val="000000"/>
        </w:rPr>
      </w:pPr>
      <w:r>
        <w:rPr>
          <w:color w:val="000000"/>
        </w:rPr>
        <w:t xml:space="preserve">Подрешетный продукт </w:t>
      </w:r>
      <w:r w:rsidRPr="004B3E7F">
        <w:rPr>
          <w:color w:val="000000"/>
        </w:rPr>
        <w:t xml:space="preserve">грохота поступает в бункер штыба АШ (емкостью 80 т) или на </w:t>
      </w:r>
      <w:r>
        <w:rPr>
          <w:color w:val="000000"/>
        </w:rPr>
        <w:t>ленточный конвейер</w:t>
      </w:r>
      <w:r w:rsidRPr="004B3E7F">
        <w:rPr>
          <w:color w:val="000000"/>
        </w:rPr>
        <w:t>, которым транспортируется на склад товарного продукта. Надрешетный продукт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+6 мм) грохота ленточным конвейером подается в течку и распределяется по двум отсадочным машинам</w:t>
      </w:r>
      <w:r w:rsidRPr="00DA65BB">
        <w:rPr>
          <w:color w:val="000000"/>
        </w:rPr>
        <w:t xml:space="preserve"> </w:t>
      </w:r>
      <w:r>
        <w:rPr>
          <w:color w:val="000000"/>
        </w:rPr>
        <w:t xml:space="preserve">для разделения на концентрат и отходы (операция </w:t>
      </w:r>
      <w:r>
        <w:rPr>
          <w:color w:val="000000"/>
          <w:lang w:val="en-US"/>
        </w:rPr>
        <w:t>II</w:t>
      </w:r>
      <w:r>
        <w:rPr>
          <w:color w:val="000000"/>
        </w:rPr>
        <w:t>)</w:t>
      </w:r>
      <w:r w:rsidRPr="004B3E7F">
        <w:rPr>
          <w:color w:val="000000"/>
        </w:rPr>
        <w:t>.</w:t>
      </w:r>
    </w:p>
    <w:p w:rsidR="005063CB" w:rsidRPr="004B3E7F" w:rsidRDefault="005063CB" w:rsidP="005063CB">
      <w:pPr>
        <w:pStyle w:val="11"/>
        <w:rPr>
          <w:color w:val="000000"/>
        </w:rPr>
      </w:pPr>
      <w:r w:rsidRPr="004B3E7F">
        <w:rPr>
          <w:color w:val="000000"/>
        </w:rPr>
        <w:t>Отходы отсадочн</w:t>
      </w:r>
      <w:r>
        <w:rPr>
          <w:color w:val="000000"/>
        </w:rPr>
        <w:t xml:space="preserve">ых машин </w:t>
      </w:r>
      <w:r w:rsidRPr="004B3E7F">
        <w:rPr>
          <w:color w:val="000000"/>
        </w:rPr>
        <w:t>ОМЭУ-12</w:t>
      </w:r>
      <w:r>
        <w:rPr>
          <w:color w:val="000000"/>
        </w:rPr>
        <w:t xml:space="preserve"> и</w:t>
      </w:r>
      <w:r w:rsidRPr="004B3E7F">
        <w:rPr>
          <w:color w:val="000000"/>
        </w:rPr>
        <w:t xml:space="preserve"> ОМ-12/3 обезвоживаются в элеватор</w:t>
      </w:r>
      <w:r>
        <w:rPr>
          <w:color w:val="000000"/>
        </w:rPr>
        <w:t>ах</w:t>
      </w:r>
      <w:r w:rsidRPr="004B3E7F">
        <w:rPr>
          <w:color w:val="000000"/>
        </w:rPr>
        <w:t xml:space="preserve"> ЭО-6с и </w:t>
      </w:r>
      <w:r>
        <w:rPr>
          <w:color w:val="000000"/>
        </w:rPr>
        <w:t>затем на</w:t>
      </w:r>
      <w:r w:rsidRPr="004B3E7F">
        <w:rPr>
          <w:color w:val="000000"/>
        </w:rPr>
        <w:t xml:space="preserve"> грохот</w:t>
      </w:r>
      <w:r>
        <w:rPr>
          <w:color w:val="000000"/>
        </w:rPr>
        <w:t xml:space="preserve">ах ГИЛ-32 (операция </w:t>
      </w:r>
      <w:r>
        <w:rPr>
          <w:color w:val="000000"/>
          <w:lang w:val="en-US"/>
        </w:rPr>
        <w:t>II</w:t>
      </w:r>
      <w:r>
        <w:rPr>
          <w:color w:val="000000"/>
        </w:rPr>
        <w:t>)</w:t>
      </w:r>
      <w:r w:rsidRPr="004B3E7F">
        <w:rPr>
          <w:color w:val="000000"/>
        </w:rPr>
        <w:t xml:space="preserve">. </w:t>
      </w:r>
      <w:r>
        <w:rPr>
          <w:color w:val="000000"/>
        </w:rPr>
        <w:t>После обезвоживания</w:t>
      </w:r>
      <w:r w:rsidRPr="004B3E7F">
        <w:rPr>
          <w:color w:val="000000"/>
        </w:rPr>
        <w:t xml:space="preserve"> </w:t>
      </w:r>
      <w:r>
        <w:rPr>
          <w:color w:val="000000"/>
        </w:rPr>
        <w:t>отходы</w:t>
      </w:r>
      <w:r w:rsidRPr="004B3E7F">
        <w:rPr>
          <w:color w:val="000000"/>
        </w:rPr>
        <w:t xml:space="preserve"> распределяются по четырем бункерам </w:t>
      </w:r>
      <w:r>
        <w:rPr>
          <w:color w:val="000000"/>
        </w:rPr>
        <w:t>емкостью по 30 т каждый</w:t>
      </w:r>
      <w:r w:rsidRPr="004B3E7F">
        <w:rPr>
          <w:color w:val="000000"/>
        </w:rPr>
        <w:t>. Подрешетный продукт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0-6 мм) грохот</w:t>
      </w:r>
      <w:r>
        <w:rPr>
          <w:color w:val="000000"/>
        </w:rPr>
        <w:t>ов</w:t>
      </w:r>
      <w:r w:rsidRPr="004B3E7F">
        <w:rPr>
          <w:color w:val="000000"/>
        </w:rPr>
        <w:t xml:space="preserve"> поступает в пирамидальные отстойники</w:t>
      </w:r>
      <w:r>
        <w:rPr>
          <w:color w:val="000000"/>
        </w:rPr>
        <w:t xml:space="preserve"> (операция </w:t>
      </w:r>
      <w:r>
        <w:rPr>
          <w:color w:val="000000"/>
          <w:lang w:val="en-US"/>
        </w:rPr>
        <w:t>VIII</w:t>
      </w:r>
      <w:r>
        <w:rPr>
          <w:color w:val="000000"/>
        </w:rPr>
        <w:t>)</w:t>
      </w:r>
      <w:r w:rsidRPr="004B3E7F">
        <w:rPr>
          <w:color w:val="000000"/>
        </w:rPr>
        <w:t>.</w:t>
      </w:r>
    </w:p>
    <w:p w:rsidR="005063CB" w:rsidRDefault="005063CB" w:rsidP="005063CB">
      <w:pPr>
        <w:pStyle w:val="11"/>
        <w:rPr>
          <w:color w:val="000000"/>
        </w:rPr>
      </w:pPr>
      <w:r w:rsidRPr="004B3E7F">
        <w:rPr>
          <w:color w:val="000000"/>
        </w:rPr>
        <w:t>Концентрат отсадочн</w:t>
      </w:r>
      <w:r>
        <w:rPr>
          <w:color w:val="000000"/>
        </w:rPr>
        <w:t>ых</w:t>
      </w:r>
      <w:r w:rsidRPr="004B3E7F">
        <w:rPr>
          <w:color w:val="000000"/>
        </w:rPr>
        <w:t xml:space="preserve"> машин ОМЭУ-12</w:t>
      </w:r>
      <w:r>
        <w:rPr>
          <w:color w:val="000000"/>
        </w:rPr>
        <w:t xml:space="preserve"> и</w:t>
      </w:r>
      <w:r w:rsidRPr="004B3E7F">
        <w:rPr>
          <w:color w:val="000000"/>
        </w:rPr>
        <w:t xml:space="preserve"> ОМ-12/3 обезвоживается и классифицируется на грохот</w:t>
      </w:r>
      <w:r>
        <w:rPr>
          <w:color w:val="000000"/>
        </w:rPr>
        <w:t>ах</w:t>
      </w:r>
      <w:r w:rsidRPr="004B3E7F">
        <w:rPr>
          <w:color w:val="000000"/>
        </w:rPr>
        <w:t xml:space="preserve"> ГИЛ-42</w:t>
      </w:r>
      <w:r w:rsidRPr="00DA65BB">
        <w:rPr>
          <w:color w:val="000000"/>
        </w:rPr>
        <w:t xml:space="preserve"> (</w:t>
      </w:r>
      <w:r>
        <w:rPr>
          <w:color w:val="000000"/>
        </w:rPr>
        <w:t xml:space="preserve">операция </w:t>
      </w:r>
      <w:r>
        <w:rPr>
          <w:color w:val="000000"/>
          <w:lang w:val="en-US"/>
        </w:rPr>
        <w:t>IV</w:t>
      </w:r>
      <w:r w:rsidRPr="00DA65BB">
        <w:rPr>
          <w:color w:val="000000"/>
        </w:rPr>
        <w:t>)</w:t>
      </w:r>
      <w:r w:rsidRPr="004B3E7F">
        <w:rPr>
          <w:color w:val="000000"/>
        </w:rPr>
        <w:t>.</w:t>
      </w:r>
      <w:r>
        <w:rPr>
          <w:color w:val="000000"/>
        </w:rPr>
        <w:t xml:space="preserve"> </w:t>
      </w:r>
    </w:p>
    <w:p w:rsidR="005063CB" w:rsidRPr="004B3E7F" w:rsidRDefault="005063CB" w:rsidP="005063CB">
      <w:pPr>
        <w:pStyle w:val="11"/>
        <w:rPr>
          <w:color w:val="000000"/>
        </w:rPr>
      </w:pPr>
      <w:proofErr w:type="spellStart"/>
      <w:r w:rsidRPr="004B3E7F">
        <w:rPr>
          <w:color w:val="000000"/>
        </w:rPr>
        <w:t>Надрешетные</w:t>
      </w:r>
      <w:proofErr w:type="spellEnd"/>
      <w:r w:rsidRPr="004B3E7F">
        <w:rPr>
          <w:color w:val="000000"/>
        </w:rPr>
        <w:t xml:space="preserve"> продукты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+25</w:t>
      </w:r>
      <w:r>
        <w:rPr>
          <w:color w:val="000000"/>
        </w:rPr>
        <w:t xml:space="preserve"> </w:t>
      </w:r>
      <w:r w:rsidRPr="004B3E7F">
        <w:rPr>
          <w:color w:val="000000"/>
        </w:rPr>
        <w:t>мм) вер</w:t>
      </w:r>
      <w:r>
        <w:rPr>
          <w:color w:val="000000"/>
        </w:rPr>
        <w:t>хних сит грохотов</w:t>
      </w:r>
      <w:r w:rsidRPr="004B3E7F">
        <w:rPr>
          <w:color w:val="000000"/>
        </w:rPr>
        <w:t xml:space="preserve"> направляются в два бунк</w:t>
      </w:r>
      <w:r>
        <w:rPr>
          <w:color w:val="000000"/>
        </w:rPr>
        <w:t>ера сорта АКО емкостью 55 т и 65 т</w:t>
      </w:r>
      <w:r w:rsidRPr="004B3E7F">
        <w:rPr>
          <w:color w:val="000000"/>
        </w:rPr>
        <w:t xml:space="preserve">. </w:t>
      </w:r>
      <w:proofErr w:type="spellStart"/>
      <w:r w:rsidRPr="004B3E7F">
        <w:rPr>
          <w:color w:val="000000"/>
        </w:rPr>
        <w:t>Надрешетные</w:t>
      </w:r>
      <w:proofErr w:type="spellEnd"/>
      <w:r w:rsidRPr="004B3E7F">
        <w:rPr>
          <w:color w:val="000000"/>
        </w:rPr>
        <w:t xml:space="preserve"> продукты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6-25 мм) ни</w:t>
      </w:r>
      <w:r>
        <w:rPr>
          <w:color w:val="000000"/>
        </w:rPr>
        <w:t>жних сит грохотов</w:t>
      </w:r>
      <w:r w:rsidRPr="004B3E7F">
        <w:rPr>
          <w:color w:val="000000"/>
        </w:rPr>
        <w:t xml:space="preserve"> подаются на классификацию </w:t>
      </w:r>
      <w:r w:rsidRPr="00BC6DCC">
        <w:rPr>
          <w:color w:val="000000"/>
        </w:rPr>
        <w:t>(</w:t>
      </w:r>
      <w:r>
        <w:rPr>
          <w:color w:val="000000"/>
        </w:rPr>
        <w:t xml:space="preserve">операция </w:t>
      </w:r>
      <w:r>
        <w:rPr>
          <w:color w:val="000000"/>
          <w:lang w:val="en-US"/>
        </w:rPr>
        <w:t>V</w:t>
      </w:r>
      <w:r w:rsidRPr="00BC6DCC">
        <w:rPr>
          <w:color w:val="000000"/>
        </w:rPr>
        <w:t xml:space="preserve">) </w:t>
      </w:r>
      <w:r w:rsidRPr="004B3E7F">
        <w:rPr>
          <w:color w:val="000000"/>
        </w:rPr>
        <w:t>на грохо</w:t>
      </w:r>
      <w:r>
        <w:rPr>
          <w:color w:val="000000"/>
        </w:rPr>
        <w:t>ты</w:t>
      </w:r>
      <w:r w:rsidRPr="00B83351">
        <w:rPr>
          <w:color w:val="000000"/>
        </w:rPr>
        <w:t xml:space="preserve"> </w:t>
      </w:r>
      <w:r>
        <w:rPr>
          <w:color w:val="000000"/>
        </w:rPr>
        <w:t>ГИЛ-42</w:t>
      </w:r>
      <w:r w:rsidRPr="004B3E7F">
        <w:rPr>
          <w:color w:val="000000"/>
        </w:rPr>
        <w:t>.</w:t>
      </w:r>
    </w:p>
    <w:p w:rsidR="00BC6DCC" w:rsidRPr="00BC6DCC" w:rsidRDefault="005063CB" w:rsidP="00BC6DCC">
      <w:pPr>
        <w:pStyle w:val="11"/>
        <w:rPr>
          <w:color w:val="FF0000"/>
        </w:rPr>
      </w:pPr>
      <w:proofErr w:type="spellStart"/>
      <w:r w:rsidRPr="004B3E7F">
        <w:rPr>
          <w:color w:val="000000"/>
        </w:rPr>
        <w:t>Надрешетные</w:t>
      </w:r>
      <w:proofErr w:type="spellEnd"/>
      <w:r w:rsidRPr="004B3E7F">
        <w:rPr>
          <w:color w:val="000000"/>
        </w:rPr>
        <w:t xml:space="preserve"> продукты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13</w:t>
      </w:r>
      <w:r>
        <w:rPr>
          <w:color w:val="000000"/>
        </w:rPr>
        <w:t>-</w:t>
      </w:r>
      <w:r w:rsidRPr="004B3E7F">
        <w:rPr>
          <w:color w:val="000000"/>
        </w:rPr>
        <w:t xml:space="preserve">25 мм) верхних сит грохотов </w:t>
      </w:r>
      <w:r>
        <w:rPr>
          <w:color w:val="000000"/>
        </w:rPr>
        <w:t xml:space="preserve">ГИЛ-42 </w:t>
      </w:r>
      <w:r w:rsidRPr="004B3E7F">
        <w:rPr>
          <w:color w:val="000000"/>
        </w:rPr>
        <w:t>направляют</w:t>
      </w:r>
      <w:r>
        <w:rPr>
          <w:color w:val="000000"/>
        </w:rPr>
        <w:t>ся в два бункера сорта АМ емкостью по 65 т каждый</w:t>
      </w:r>
      <w:r w:rsidRPr="004B3E7F">
        <w:rPr>
          <w:color w:val="000000"/>
        </w:rPr>
        <w:t xml:space="preserve">. </w:t>
      </w:r>
      <w:proofErr w:type="spellStart"/>
      <w:r w:rsidRPr="004B3E7F">
        <w:rPr>
          <w:color w:val="000000"/>
        </w:rPr>
        <w:t>Надрешетные</w:t>
      </w:r>
      <w:proofErr w:type="spellEnd"/>
      <w:r w:rsidRPr="004B3E7F">
        <w:rPr>
          <w:color w:val="000000"/>
        </w:rPr>
        <w:t xml:space="preserve"> продукты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>. 6-13 мм) нижних сит грохотов поступ</w:t>
      </w:r>
      <w:r>
        <w:rPr>
          <w:color w:val="000000"/>
        </w:rPr>
        <w:t xml:space="preserve">ают в два бункера сорта АС </w:t>
      </w:r>
      <w:r w:rsidRPr="004B3E7F">
        <w:rPr>
          <w:color w:val="000000"/>
        </w:rPr>
        <w:t>емко</w:t>
      </w:r>
      <w:r>
        <w:rPr>
          <w:color w:val="000000"/>
        </w:rPr>
        <w:t>стью по 80 т каждый</w:t>
      </w:r>
      <w:r w:rsidRPr="004B3E7F">
        <w:rPr>
          <w:color w:val="000000"/>
        </w:rPr>
        <w:t>.</w:t>
      </w:r>
    </w:p>
    <w:p w:rsidR="00BC6DCC" w:rsidRDefault="00BC6DCC" w:rsidP="00BC6DCC">
      <w:pPr>
        <w:pStyle w:val="11"/>
        <w:rPr>
          <w:color w:val="000000"/>
        </w:rPr>
      </w:pPr>
      <w:r>
        <w:rPr>
          <w:noProof/>
          <w:sz w:val="24"/>
        </w:rPr>
        <w:lastRenderedPageBreak/>
        <w:drawing>
          <wp:inline distT="0" distB="0" distL="0" distR="0">
            <wp:extent cx="4916170" cy="8467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846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CC" w:rsidRDefault="00BC6DCC" w:rsidP="00BC6DCC">
      <w:pPr>
        <w:pStyle w:val="11"/>
        <w:rPr>
          <w:color w:val="000000"/>
        </w:rPr>
      </w:pPr>
    </w:p>
    <w:p w:rsidR="00BC6DCC" w:rsidRPr="009130A9" w:rsidRDefault="00BC6DCC" w:rsidP="00BC6DCC">
      <w:pPr>
        <w:pStyle w:val="11"/>
        <w:ind w:firstLine="0"/>
        <w:jc w:val="center"/>
        <w:rPr>
          <w:color w:val="000000"/>
        </w:rPr>
      </w:pPr>
      <w:r>
        <w:rPr>
          <w:color w:val="000000"/>
        </w:rPr>
        <w:t>Рисунок 1 - Технологическая схема фабрики</w:t>
      </w:r>
    </w:p>
    <w:p w:rsidR="00BC6DCC" w:rsidRDefault="00BC6DCC" w:rsidP="00BC6DCC">
      <w:pPr>
        <w:pStyle w:val="11"/>
        <w:rPr>
          <w:color w:val="000000"/>
        </w:rPr>
      </w:pPr>
      <w:r w:rsidRPr="004B3E7F">
        <w:rPr>
          <w:color w:val="000000"/>
        </w:rPr>
        <w:lastRenderedPageBreak/>
        <w:t xml:space="preserve">Часть </w:t>
      </w:r>
      <w:proofErr w:type="spellStart"/>
      <w:r w:rsidRPr="004B3E7F">
        <w:rPr>
          <w:color w:val="000000"/>
        </w:rPr>
        <w:t>подрешетных</w:t>
      </w:r>
      <w:proofErr w:type="spellEnd"/>
      <w:r w:rsidRPr="004B3E7F">
        <w:rPr>
          <w:color w:val="000000"/>
        </w:rPr>
        <w:t xml:space="preserve"> продуктов (</w:t>
      </w:r>
      <w:proofErr w:type="spellStart"/>
      <w:r w:rsidRPr="004B3E7F">
        <w:rPr>
          <w:color w:val="000000"/>
        </w:rPr>
        <w:t>кл</w:t>
      </w:r>
      <w:proofErr w:type="spellEnd"/>
      <w:r w:rsidRPr="004B3E7F">
        <w:rPr>
          <w:color w:val="000000"/>
        </w:rPr>
        <w:t xml:space="preserve">. 0-6 мм) грохотов </w:t>
      </w:r>
      <w:r>
        <w:rPr>
          <w:color w:val="000000"/>
        </w:rPr>
        <w:t>ГИЛ-42</w:t>
      </w:r>
      <w:r w:rsidRPr="004B3E7F">
        <w:rPr>
          <w:color w:val="000000"/>
        </w:rPr>
        <w:t xml:space="preserve"> поступает в ба</w:t>
      </w:r>
      <w:r>
        <w:rPr>
          <w:color w:val="000000"/>
        </w:rPr>
        <w:t xml:space="preserve">гер-зумпф на обезвоживание (операция </w:t>
      </w:r>
      <w:r>
        <w:rPr>
          <w:color w:val="000000"/>
          <w:lang w:val="en-US"/>
        </w:rPr>
        <w:t>VII</w:t>
      </w:r>
      <w:r w:rsidRPr="00380439">
        <w:rPr>
          <w:color w:val="000000"/>
        </w:rPr>
        <w:t>)</w:t>
      </w:r>
      <w:r w:rsidRPr="004B3E7F"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Б</w:t>
      </w:r>
      <w:r w:rsidRPr="004B3E7F">
        <w:rPr>
          <w:color w:val="000000"/>
        </w:rPr>
        <w:t>а</w:t>
      </w:r>
      <w:r>
        <w:rPr>
          <w:color w:val="000000"/>
        </w:rPr>
        <w:t>гер-элеватором</w:t>
      </w:r>
      <w:proofErr w:type="spellEnd"/>
      <w:proofErr w:type="gramEnd"/>
      <w:r>
        <w:rPr>
          <w:color w:val="000000"/>
        </w:rPr>
        <w:t xml:space="preserve"> ЭО-6с</w:t>
      </w:r>
      <w:r w:rsidRPr="004B3E7F">
        <w:rPr>
          <w:color w:val="000000"/>
        </w:rPr>
        <w:t xml:space="preserve"> материал разгружается или на ленточный конвей</w:t>
      </w:r>
      <w:r>
        <w:rPr>
          <w:color w:val="000000"/>
        </w:rPr>
        <w:t>ер</w:t>
      </w:r>
      <w:r w:rsidRPr="004B3E7F">
        <w:rPr>
          <w:color w:val="000000"/>
        </w:rPr>
        <w:t xml:space="preserve">, которым транспортируется на аварийный склад, или в центрифугу </w:t>
      </w:r>
      <w:r>
        <w:rPr>
          <w:color w:val="000000"/>
        </w:rPr>
        <w:t>ФВИ-100 1К (операция Х)</w:t>
      </w:r>
      <w:r w:rsidRPr="004B3E7F">
        <w:rPr>
          <w:color w:val="000000"/>
        </w:rPr>
        <w:t>, обезвоженный продукт которой поступа</w:t>
      </w:r>
      <w:r>
        <w:rPr>
          <w:color w:val="000000"/>
        </w:rPr>
        <w:t>ет в два бункера штыба АШ</w:t>
      </w:r>
      <w:r w:rsidRPr="004B3E7F">
        <w:rPr>
          <w:color w:val="000000"/>
        </w:rPr>
        <w:t xml:space="preserve"> емкостью по 80 т каждый</w:t>
      </w:r>
      <w:r>
        <w:rPr>
          <w:color w:val="000000"/>
        </w:rPr>
        <w:t xml:space="preserve">. Слив </w:t>
      </w:r>
      <w:proofErr w:type="spellStart"/>
      <w:proofErr w:type="gramStart"/>
      <w:r>
        <w:rPr>
          <w:color w:val="000000"/>
        </w:rPr>
        <w:t>багер-элеватора</w:t>
      </w:r>
      <w:proofErr w:type="spellEnd"/>
      <w:proofErr w:type="gramEnd"/>
      <w:r>
        <w:rPr>
          <w:color w:val="000000"/>
        </w:rPr>
        <w:t xml:space="preserve"> </w:t>
      </w:r>
      <w:r w:rsidRPr="004B3E7F">
        <w:rPr>
          <w:color w:val="000000"/>
        </w:rPr>
        <w:t xml:space="preserve"> направляется в пирамидальный отстойник</w:t>
      </w:r>
      <w:r>
        <w:rPr>
          <w:color w:val="000000"/>
        </w:rPr>
        <w:t xml:space="preserve"> на сгущение (операция </w:t>
      </w:r>
      <w:r w:rsidRPr="00200F15">
        <w:rPr>
          <w:color w:val="000000"/>
        </w:rPr>
        <w:t>VIII</w:t>
      </w:r>
      <w:r>
        <w:rPr>
          <w:color w:val="000000"/>
        </w:rPr>
        <w:t>)</w:t>
      </w:r>
      <w:r w:rsidRPr="004B3E7F">
        <w:rPr>
          <w:color w:val="000000"/>
        </w:rPr>
        <w:t>.</w:t>
      </w:r>
      <w:r>
        <w:rPr>
          <w:color w:val="000000"/>
        </w:rPr>
        <w:t xml:space="preserve"> </w:t>
      </w:r>
    </w:p>
    <w:p w:rsidR="00BC6DCC" w:rsidRPr="00200F15" w:rsidRDefault="00BC6DCC" w:rsidP="00BC6DCC">
      <w:pPr>
        <w:pStyle w:val="11"/>
        <w:rPr>
          <w:color w:val="000000"/>
        </w:rPr>
      </w:pPr>
      <w:r>
        <w:rPr>
          <w:color w:val="000000"/>
        </w:rPr>
        <w:t>Другая ч</w:t>
      </w:r>
      <w:r w:rsidRPr="00200F15">
        <w:rPr>
          <w:color w:val="000000"/>
        </w:rPr>
        <w:t xml:space="preserve">асть </w:t>
      </w:r>
      <w:proofErr w:type="spellStart"/>
      <w:r w:rsidRPr="00200F15">
        <w:rPr>
          <w:color w:val="000000"/>
        </w:rPr>
        <w:t>подрешетных</w:t>
      </w:r>
      <w:proofErr w:type="spellEnd"/>
      <w:r w:rsidRPr="00200F15">
        <w:rPr>
          <w:color w:val="000000"/>
        </w:rPr>
        <w:t xml:space="preserve"> продуктов (</w:t>
      </w:r>
      <w:proofErr w:type="spellStart"/>
      <w:r w:rsidRPr="00200F15">
        <w:rPr>
          <w:color w:val="000000"/>
        </w:rPr>
        <w:t>кл</w:t>
      </w:r>
      <w:proofErr w:type="spellEnd"/>
      <w:r w:rsidRPr="00200F15">
        <w:rPr>
          <w:color w:val="000000"/>
        </w:rPr>
        <w:t xml:space="preserve">. 0–6 мм) грохотов </w:t>
      </w:r>
      <w:r>
        <w:rPr>
          <w:color w:val="000000"/>
        </w:rPr>
        <w:t>ГИЛ-42</w:t>
      </w:r>
      <w:r w:rsidRPr="004B3E7F">
        <w:rPr>
          <w:color w:val="000000"/>
        </w:rPr>
        <w:t xml:space="preserve"> </w:t>
      </w:r>
      <w:r w:rsidRPr="00200F15">
        <w:rPr>
          <w:color w:val="000000"/>
        </w:rPr>
        <w:t>поступает в сборник шламовых насосов емкостью 3 м</w:t>
      </w:r>
      <w:r w:rsidRPr="00200F15">
        <w:rPr>
          <w:color w:val="000000"/>
          <w:vertAlign w:val="superscript"/>
        </w:rPr>
        <w:t>3</w:t>
      </w:r>
      <w:r>
        <w:rPr>
          <w:color w:val="000000"/>
        </w:rPr>
        <w:t>, откуда перекачивается на гидроциклоны (операция VI)</w:t>
      </w:r>
      <w:r w:rsidRPr="004B3E7F">
        <w:rPr>
          <w:color w:val="000000"/>
        </w:rPr>
        <w:t>.</w:t>
      </w:r>
    </w:p>
    <w:p w:rsidR="00BC6DCC" w:rsidRPr="001A30BA" w:rsidRDefault="00BC6DCC" w:rsidP="00BC6DCC">
      <w:pPr>
        <w:pStyle w:val="11"/>
      </w:pPr>
      <w:r w:rsidRPr="001A30BA">
        <w:t>Сливы</w:t>
      </w:r>
      <w:r>
        <w:t xml:space="preserve"> гидроциклонов ГЦ-630</w:t>
      </w:r>
      <w:r w:rsidRPr="001A30BA">
        <w:t xml:space="preserve"> подаются в сборник слива, откуда они могут быть направлены или в пирамидальные отстойники, или в баге</w:t>
      </w:r>
      <w:r>
        <w:t>р-зумпф</w:t>
      </w:r>
      <w:r w:rsidRPr="001A30BA">
        <w:t>.</w:t>
      </w:r>
      <w:r>
        <w:t xml:space="preserve"> </w:t>
      </w:r>
      <w:r w:rsidRPr="001A30BA">
        <w:t xml:space="preserve">Сгущенные продукты гидроциклонов поступают на обезвоживание на два грохота ГИСЛ-42 </w:t>
      </w:r>
      <w:r>
        <w:rPr>
          <w:color w:val="000000"/>
        </w:rPr>
        <w:t xml:space="preserve">(операция </w:t>
      </w:r>
      <w:r w:rsidRPr="00200F15">
        <w:rPr>
          <w:color w:val="000000"/>
        </w:rPr>
        <w:t>VII</w:t>
      </w:r>
      <w:r>
        <w:rPr>
          <w:color w:val="000000"/>
        </w:rPr>
        <w:t>)</w:t>
      </w:r>
      <w:r w:rsidRPr="004B3E7F">
        <w:rPr>
          <w:color w:val="000000"/>
        </w:rPr>
        <w:t>.</w:t>
      </w:r>
    </w:p>
    <w:p w:rsidR="00BC6DCC" w:rsidRPr="001A30BA" w:rsidRDefault="00BC6DCC" w:rsidP="00BC6DCC">
      <w:pPr>
        <w:pStyle w:val="11"/>
      </w:pPr>
      <w:proofErr w:type="spellStart"/>
      <w:r w:rsidRPr="001A30BA">
        <w:t>Подрешетные</w:t>
      </w:r>
      <w:proofErr w:type="spellEnd"/>
      <w:r w:rsidRPr="001A30BA">
        <w:t xml:space="preserve"> продукты (</w:t>
      </w:r>
      <w:proofErr w:type="spellStart"/>
      <w:r w:rsidRPr="001A30BA">
        <w:t>кл</w:t>
      </w:r>
      <w:proofErr w:type="spellEnd"/>
      <w:r w:rsidRPr="001A30BA">
        <w:t xml:space="preserve">. 0–1 мм) грохотов </w:t>
      </w:r>
      <w:r>
        <w:t>ГИСЛ-42</w:t>
      </w:r>
      <w:r w:rsidRPr="001A30BA">
        <w:t xml:space="preserve"> возвращаются в пирамидальные отстойники.</w:t>
      </w:r>
      <w:r>
        <w:t xml:space="preserve"> </w:t>
      </w:r>
      <w:r w:rsidRPr="001A30BA">
        <w:t>Надре</w:t>
      </w:r>
      <w:r>
        <w:t>шетный продукт грохотов ГИСЛ-42</w:t>
      </w:r>
      <w:r w:rsidRPr="001A30BA">
        <w:t xml:space="preserve"> направл</w:t>
      </w:r>
      <w:r>
        <w:t>яется</w:t>
      </w:r>
      <w:r w:rsidRPr="001A30BA">
        <w:t xml:space="preserve"> на обезвоживание в центрифуги</w:t>
      </w:r>
      <w:r>
        <w:t xml:space="preserve"> (операция Х)</w:t>
      </w:r>
      <w:r w:rsidRPr="001A30BA">
        <w:t xml:space="preserve">. Обезвоженный продукт центрифуг направляется </w:t>
      </w:r>
      <w:r>
        <w:t xml:space="preserve">в два бункера штыба АШ </w:t>
      </w:r>
      <w:r w:rsidRPr="001A30BA">
        <w:t>емкостью по 80 т каж</w:t>
      </w:r>
      <w:r>
        <w:t>дый</w:t>
      </w:r>
      <w:r w:rsidRPr="001A30BA">
        <w:t xml:space="preserve">. </w:t>
      </w:r>
      <w:proofErr w:type="spellStart"/>
      <w:r w:rsidRPr="001A30BA">
        <w:t>Фугат</w:t>
      </w:r>
      <w:proofErr w:type="spellEnd"/>
      <w:r w:rsidRPr="001A30BA">
        <w:t xml:space="preserve"> центрифуг ФВИ-100 1К поступает в пирамидальные отстойники</w:t>
      </w:r>
      <w:r>
        <w:t xml:space="preserve"> (</w:t>
      </w:r>
      <w:r>
        <w:rPr>
          <w:color w:val="000000"/>
        </w:rPr>
        <w:t xml:space="preserve">операция </w:t>
      </w:r>
      <w:r w:rsidRPr="00200F15">
        <w:rPr>
          <w:color w:val="000000"/>
        </w:rPr>
        <w:t>VIII</w:t>
      </w:r>
      <w:r>
        <w:rPr>
          <w:color w:val="000000"/>
        </w:rPr>
        <w:t>)</w:t>
      </w:r>
      <w:r w:rsidRPr="001A30BA">
        <w:t>.</w:t>
      </w:r>
    </w:p>
    <w:p w:rsidR="00BC6DCC" w:rsidRPr="001A30BA" w:rsidRDefault="00BC6DCC" w:rsidP="00BC6DCC">
      <w:pPr>
        <w:pStyle w:val="11"/>
      </w:pPr>
      <w:r w:rsidRPr="001A30BA">
        <w:t>Сгущенный продукт пирамидальных отстойников н</w:t>
      </w:r>
      <w:r>
        <w:t>аправляется в сборник</w:t>
      </w:r>
      <w:r w:rsidRPr="001A30BA">
        <w:t xml:space="preserve">, из которого шламовыми насосами ШН-250 и ГРАК-350/40 подается в гидроциклоны ГЦ-630 </w:t>
      </w:r>
      <w:r>
        <w:rPr>
          <w:color w:val="000000"/>
        </w:rPr>
        <w:t>(операция VI)</w:t>
      </w:r>
      <w:r w:rsidRPr="004B3E7F">
        <w:rPr>
          <w:color w:val="000000"/>
        </w:rPr>
        <w:t>.</w:t>
      </w:r>
    </w:p>
    <w:p w:rsidR="00BC6DCC" w:rsidRPr="001A30BA" w:rsidRDefault="00BC6DCC" w:rsidP="00BC6DCC">
      <w:pPr>
        <w:pStyle w:val="11"/>
      </w:pPr>
      <w:r w:rsidRPr="001A30BA">
        <w:t>Слив пирамидальных отстойников и перелив сборника сгущенных продуктов пир</w:t>
      </w:r>
      <w:r>
        <w:t>амидальных отстойников</w:t>
      </w:r>
      <w:r w:rsidRPr="001A30BA">
        <w:t xml:space="preserve"> транспортируются в шламовый отстойник. Шлам из наружных отстойников выбирается козловым краном ККС-10 и грузится в железнодорожные вагоны. Осветлённая вода из шламовых отстойников возвращается обратно в процесс.</w:t>
      </w:r>
    </w:p>
    <w:p w:rsidR="00BC6DCC" w:rsidRPr="001A30BA" w:rsidRDefault="00BC6DCC" w:rsidP="00BC6DCC">
      <w:pPr>
        <w:pStyle w:val="11"/>
      </w:pPr>
      <w:r w:rsidRPr="001A30BA">
        <w:t>Перелив пирамидальных отстойников двумя насосами 12НДС перек</w:t>
      </w:r>
      <w:r>
        <w:t xml:space="preserve">ачивается в бак оборотной воды </w:t>
      </w:r>
      <w:r w:rsidRPr="001A30BA">
        <w:t>емкостью 140 м</w:t>
      </w:r>
      <w:r w:rsidRPr="001A30BA">
        <w:rPr>
          <w:vertAlign w:val="superscript"/>
        </w:rPr>
        <w:t>3</w:t>
      </w:r>
      <w:r w:rsidRPr="001A30BA">
        <w:t>.</w:t>
      </w:r>
    </w:p>
    <w:p w:rsidR="00BC6DCC" w:rsidRDefault="00BC6DCC" w:rsidP="00BC6DCC">
      <w:pPr>
        <w:pStyle w:val="11"/>
      </w:pPr>
      <w:r>
        <w:lastRenderedPageBreak/>
        <w:t xml:space="preserve">Из резервуара чистой воды </w:t>
      </w:r>
      <w:r w:rsidRPr="001A30BA">
        <w:t>емкостью 500 м</w:t>
      </w:r>
      <w:r w:rsidRPr="001A30BA">
        <w:rPr>
          <w:vertAlign w:val="superscript"/>
        </w:rPr>
        <w:t>3</w:t>
      </w:r>
      <w:r>
        <w:t xml:space="preserve"> </w:t>
      </w:r>
      <w:r w:rsidRPr="001A30BA">
        <w:t>двумя насо</w:t>
      </w:r>
      <w:r>
        <w:t xml:space="preserve">сами ЦНС 180-128 </w:t>
      </w:r>
      <w:r w:rsidRPr="001A30BA">
        <w:t>добавочная вода перекачивается в бак чистой во</w:t>
      </w:r>
      <w:r>
        <w:t xml:space="preserve">ды </w:t>
      </w:r>
      <w:r w:rsidRPr="001A30BA">
        <w:t>емкостью 70 м</w:t>
      </w:r>
      <w:r w:rsidRPr="001A30BA">
        <w:rPr>
          <w:vertAlign w:val="superscript"/>
        </w:rPr>
        <w:t>3</w:t>
      </w:r>
      <w:r w:rsidRPr="001A30BA">
        <w:t>.</w:t>
      </w:r>
    </w:p>
    <w:p w:rsidR="00BC6DCC" w:rsidRDefault="00BC6DCC" w:rsidP="00BC6DCC">
      <w:pPr>
        <w:pStyle w:val="11"/>
      </w:pPr>
      <w:r>
        <w:t>Запутанность схемы, цикличность некоторых операций существенно усложняют ведение процесса обогащения и контроль качества конечных продуктов обогащения. Кроме того, отсутствие процессов обогащения класса 0,5-6 мм не дают возможности регулировать качество отгружаемых штыбов, что при растущей зольности добываемых углей может стать серьёзной проблемой при реализации товарной продукции.</w:t>
      </w:r>
    </w:p>
    <w:p w:rsidR="00BC6DCC" w:rsidRDefault="00BC6DCC" w:rsidP="00BC6DCC">
      <w:pPr>
        <w:pStyle w:val="11"/>
      </w:pPr>
      <w:r>
        <w:t>В связи с этим, предлагается включить в существующую технологическую схему операцию обогащения класса 0,5-6 мм на концентрационных столах, что позволит, при необходимости, довести зольность антрацитового штыба до норм, соответствующих требованиям потребителей.</w:t>
      </w:r>
    </w:p>
    <w:p w:rsidR="001262B7" w:rsidRDefault="001262B7"/>
    <w:sectPr w:rsidR="001262B7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6DCC"/>
    <w:rsid w:val="00116C5E"/>
    <w:rsid w:val="001262B7"/>
    <w:rsid w:val="00156319"/>
    <w:rsid w:val="002D3C0C"/>
    <w:rsid w:val="0048612A"/>
    <w:rsid w:val="005063CB"/>
    <w:rsid w:val="0065136F"/>
    <w:rsid w:val="006E7439"/>
    <w:rsid w:val="00941DB8"/>
    <w:rsid w:val="00986B21"/>
    <w:rsid w:val="009E7FE9"/>
    <w:rsid w:val="00A94661"/>
    <w:rsid w:val="00B23742"/>
    <w:rsid w:val="00B56408"/>
    <w:rsid w:val="00B659C9"/>
    <w:rsid w:val="00BB7D6C"/>
    <w:rsid w:val="00BC6DCC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CC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paragraph" w:customStyle="1" w:styleId="11">
    <w:name w:val="Стиль1"/>
    <w:basedOn w:val="a7"/>
    <w:link w:val="12"/>
    <w:uiPriority w:val="99"/>
    <w:qFormat/>
    <w:rsid w:val="00BC6DCC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uiPriority w:val="99"/>
    <w:rsid w:val="00BC6DCC"/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BC6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6DCC"/>
    <w:rPr>
      <w:rFonts w:ascii="Tahoma" w:hAnsi="Tahoma" w:cs="Tahoma"/>
      <w:sz w:val="16"/>
      <w:szCs w:val="16"/>
      <w:lang w:eastAsia="en-US"/>
    </w:rPr>
  </w:style>
  <w:style w:type="character" w:styleId="af6">
    <w:name w:val="Hyperlink"/>
    <w:basedOn w:val="a0"/>
    <w:uiPriority w:val="99"/>
    <w:rsid w:val="005063C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moylik@donnt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2017-12-02T07:16:00Z</dcterms:created>
  <dcterms:modified xsi:type="dcterms:W3CDTF">2017-12-03T18:49:00Z</dcterms:modified>
</cp:coreProperties>
</file>