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037"/>
      </w:tblGrid>
      <w:tr w:rsidR="00540D4B" w:rsidRPr="00540D4B" w:rsidTr="00BB1D7C">
        <w:trPr>
          <w:jc w:val="center"/>
        </w:trPr>
        <w:tc>
          <w:tcPr>
            <w:tcW w:w="9566" w:type="dxa"/>
            <w:gridSpan w:val="2"/>
            <w:hideMark/>
          </w:tcPr>
          <w:p w:rsidR="00540D4B" w:rsidRPr="00540D4B" w:rsidRDefault="00540D4B" w:rsidP="00540D4B">
            <w:pPr>
              <w:widowControl w:val="0"/>
              <w:shd w:val="clear" w:color="auto" w:fill="FFFFFF"/>
              <w:jc w:val="both"/>
              <w:rPr>
                <w:rFonts w:ascii="Times New Roman" w:hAnsi="Times New Roman"/>
                <w:b/>
                <w:sz w:val="28"/>
                <w:szCs w:val="24"/>
              </w:rPr>
            </w:pPr>
            <w:r w:rsidRPr="00540D4B">
              <w:rPr>
                <w:rFonts w:ascii="Times New Roman" w:hAnsi="Times New Roman"/>
                <w:b/>
                <w:sz w:val="28"/>
                <w:szCs w:val="28"/>
              </w:rPr>
              <w:t>УДК 338.2</w:t>
            </w:r>
          </w:p>
        </w:tc>
      </w:tr>
      <w:tr w:rsidR="00540D4B" w:rsidRPr="00540D4B" w:rsidTr="00BB1D7C">
        <w:trPr>
          <w:jc w:val="center"/>
        </w:trPr>
        <w:tc>
          <w:tcPr>
            <w:tcW w:w="4320" w:type="dxa"/>
          </w:tcPr>
          <w:p w:rsidR="00540D4B" w:rsidRPr="00540D4B" w:rsidRDefault="00540D4B" w:rsidP="00540D4B">
            <w:pPr>
              <w:widowControl w:val="0"/>
              <w:jc w:val="right"/>
              <w:rPr>
                <w:rFonts w:ascii="Times New Roman" w:hAnsi="Times New Roman"/>
                <w:sz w:val="28"/>
                <w:szCs w:val="28"/>
              </w:rPr>
            </w:pPr>
          </w:p>
        </w:tc>
        <w:tc>
          <w:tcPr>
            <w:tcW w:w="5246" w:type="dxa"/>
            <w:tcMar>
              <w:left w:w="0" w:type="dxa"/>
              <w:right w:w="0" w:type="dxa"/>
            </w:tcMar>
          </w:tcPr>
          <w:p w:rsidR="00540D4B" w:rsidRPr="00540D4B" w:rsidRDefault="00540D4B" w:rsidP="00540D4B">
            <w:pPr>
              <w:jc w:val="both"/>
              <w:rPr>
                <w:rFonts w:ascii="Times New Roman" w:hAnsi="Times New Roman"/>
                <w:b/>
                <w:bCs/>
                <w:i/>
                <w:sz w:val="28"/>
                <w:szCs w:val="28"/>
              </w:rPr>
            </w:pPr>
            <w:bookmarkStart w:id="0" w:name="_Toc518846410"/>
            <w:r w:rsidRPr="00540D4B">
              <w:rPr>
                <w:rFonts w:ascii="Times New Roman" w:hAnsi="Times New Roman"/>
                <w:b/>
                <w:bCs/>
                <w:sz w:val="28"/>
                <w:szCs w:val="28"/>
              </w:rPr>
              <w:t>Д.В. Василенко</w:t>
            </w:r>
            <w:bookmarkEnd w:id="0"/>
            <w:r w:rsidRPr="00540D4B">
              <w:rPr>
                <w:rFonts w:ascii="Times New Roman" w:hAnsi="Times New Roman"/>
                <w:bCs/>
                <w:i/>
                <w:sz w:val="28"/>
                <w:szCs w:val="28"/>
              </w:rPr>
              <w:t>, к.э.н.</w:t>
            </w:r>
          </w:p>
          <w:p w:rsidR="00540D4B" w:rsidRPr="00540D4B" w:rsidRDefault="00540D4B" w:rsidP="00540D4B">
            <w:pPr>
              <w:tabs>
                <w:tab w:val="left" w:pos="5954"/>
              </w:tabs>
              <w:rPr>
                <w:rFonts w:ascii="Times New Roman" w:hAnsi="Times New Roman"/>
                <w:i/>
                <w:sz w:val="28"/>
                <w:szCs w:val="28"/>
              </w:rPr>
            </w:pPr>
            <w:r w:rsidRPr="00540D4B">
              <w:rPr>
                <w:rFonts w:ascii="Times New Roman" w:hAnsi="Times New Roman"/>
                <w:i/>
                <w:sz w:val="28"/>
                <w:szCs w:val="28"/>
              </w:rPr>
              <w:t>ГУ «Институт экономических исследований»,</w:t>
            </w:r>
          </w:p>
          <w:p w:rsidR="00540D4B" w:rsidRPr="00540D4B" w:rsidRDefault="00540D4B" w:rsidP="00540D4B">
            <w:pPr>
              <w:tabs>
                <w:tab w:val="left" w:pos="5954"/>
              </w:tabs>
              <w:rPr>
                <w:rFonts w:ascii="Times New Roman" w:hAnsi="Times New Roman"/>
                <w:i/>
                <w:sz w:val="28"/>
                <w:szCs w:val="28"/>
              </w:rPr>
            </w:pPr>
            <w:r w:rsidRPr="00540D4B">
              <w:rPr>
                <w:rFonts w:ascii="Times New Roman" w:hAnsi="Times New Roman"/>
                <w:i/>
                <w:sz w:val="28"/>
                <w:szCs w:val="28"/>
              </w:rPr>
              <w:t xml:space="preserve">Донецк, Донецкая Народная Республика </w:t>
            </w:r>
            <w:r w:rsidRPr="00540D4B">
              <w:rPr>
                <w:rFonts w:ascii="Times New Roman" w:hAnsi="Times New Roman"/>
                <w:b/>
                <w:i/>
                <w:sz w:val="28"/>
                <w:szCs w:val="28"/>
                <w:lang w:val="en-US"/>
              </w:rPr>
              <w:t>D</w:t>
            </w:r>
            <w:r w:rsidRPr="00540D4B">
              <w:rPr>
                <w:rFonts w:ascii="Times New Roman" w:hAnsi="Times New Roman"/>
                <w:b/>
                <w:i/>
                <w:sz w:val="28"/>
                <w:szCs w:val="28"/>
              </w:rPr>
              <w:t>.</w:t>
            </w:r>
            <w:r w:rsidRPr="00540D4B">
              <w:rPr>
                <w:rFonts w:ascii="Times New Roman" w:hAnsi="Times New Roman"/>
                <w:b/>
                <w:i/>
                <w:sz w:val="28"/>
                <w:szCs w:val="28"/>
                <w:lang w:val="en-US"/>
              </w:rPr>
              <w:t>V</w:t>
            </w:r>
            <w:r w:rsidRPr="00540D4B">
              <w:rPr>
                <w:rFonts w:ascii="Times New Roman" w:hAnsi="Times New Roman"/>
                <w:b/>
                <w:i/>
                <w:sz w:val="28"/>
                <w:szCs w:val="28"/>
              </w:rPr>
              <w:t>.</w:t>
            </w:r>
            <w:r w:rsidRPr="00540D4B">
              <w:rPr>
                <w:rFonts w:ascii="Times New Roman" w:hAnsi="Times New Roman"/>
                <w:b/>
                <w:i/>
                <w:sz w:val="28"/>
                <w:szCs w:val="28"/>
                <w:lang w:val="en-US"/>
              </w:rPr>
              <w:t> Vasylenko</w:t>
            </w:r>
          </w:p>
          <w:p w:rsidR="00540D4B" w:rsidRPr="00540D4B" w:rsidRDefault="00540D4B" w:rsidP="00540D4B">
            <w:pPr>
              <w:tabs>
                <w:tab w:val="left" w:pos="5954"/>
              </w:tabs>
              <w:rPr>
                <w:rFonts w:ascii="Times New Roman" w:hAnsi="Times New Roman"/>
                <w:i/>
                <w:sz w:val="28"/>
                <w:szCs w:val="28"/>
                <w:lang w:val="en-US"/>
              </w:rPr>
            </w:pPr>
            <w:r w:rsidRPr="00540D4B">
              <w:rPr>
                <w:rFonts w:ascii="Times New Roman" w:hAnsi="Times New Roman"/>
                <w:i/>
                <w:sz w:val="28"/>
                <w:szCs w:val="28"/>
                <w:lang w:val="en-US"/>
              </w:rPr>
              <w:t>SI «Economic research Institute»</w:t>
            </w:r>
          </w:p>
          <w:p w:rsidR="00540D4B" w:rsidRPr="00540D4B" w:rsidRDefault="00540D4B" w:rsidP="00540D4B">
            <w:pPr>
              <w:rPr>
                <w:rFonts w:ascii="Times New Roman" w:hAnsi="Times New Roman"/>
                <w:sz w:val="28"/>
                <w:szCs w:val="24"/>
                <w:lang w:val="en-US"/>
              </w:rPr>
            </w:pPr>
            <w:r w:rsidRPr="00540D4B">
              <w:rPr>
                <w:rFonts w:ascii="Times New Roman" w:hAnsi="Times New Roman"/>
                <w:i/>
                <w:sz w:val="28"/>
                <w:szCs w:val="28"/>
                <w:lang w:val="en-US"/>
              </w:rPr>
              <w:t>Donetsk, Donetsk People's Republic</w:t>
            </w:r>
          </w:p>
        </w:tc>
      </w:tr>
      <w:tr w:rsidR="00540D4B" w:rsidRPr="00540D4B" w:rsidTr="00BB1D7C">
        <w:trPr>
          <w:jc w:val="center"/>
        </w:trPr>
        <w:tc>
          <w:tcPr>
            <w:tcW w:w="4320" w:type="dxa"/>
          </w:tcPr>
          <w:p w:rsidR="00540D4B" w:rsidRPr="00540D4B" w:rsidRDefault="00540D4B" w:rsidP="00540D4B">
            <w:pPr>
              <w:keepNext/>
              <w:keepLines/>
              <w:ind w:hanging="28"/>
              <w:jc w:val="center"/>
              <w:outlineLvl w:val="0"/>
              <w:rPr>
                <w:rFonts w:ascii="Times New Roman" w:hAnsi="Times New Roman"/>
                <w:b/>
                <w:bCs/>
                <w:caps/>
                <w:sz w:val="28"/>
                <w:szCs w:val="28"/>
                <w:shd w:val="clear" w:color="auto" w:fill="FFFFFF"/>
                <w:lang w:val="en-US"/>
              </w:rPr>
            </w:pPr>
          </w:p>
        </w:tc>
        <w:tc>
          <w:tcPr>
            <w:tcW w:w="5246" w:type="dxa"/>
          </w:tcPr>
          <w:p w:rsidR="00540D4B" w:rsidRPr="00540D4B" w:rsidRDefault="00540D4B" w:rsidP="00540D4B">
            <w:pPr>
              <w:widowControl w:val="0"/>
              <w:jc w:val="both"/>
              <w:rPr>
                <w:rFonts w:ascii="Times New Roman" w:hAnsi="Times New Roman"/>
                <w:sz w:val="28"/>
                <w:szCs w:val="24"/>
                <w:lang w:val="en-US"/>
              </w:rPr>
            </w:pPr>
          </w:p>
        </w:tc>
      </w:tr>
      <w:tr w:rsidR="00540D4B" w:rsidRPr="00540D4B" w:rsidTr="00BB1D7C">
        <w:trPr>
          <w:jc w:val="center"/>
        </w:trPr>
        <w:tc>
          <w:tcPr>
            <w:tcW w:w="9566" w:type="dxa"/>
            <w:gridSpan w:val="2"/>
          </w:tcPr>
          <w:p w:rsidR="00540D4B" w:rsidRPr="00540D4B" w:rsidRDefault="00540D4B" w:rsidP="00540D4B">
            <w:pPr>
              <w:keepNext/>
              <w:keepLines/>
              <w:ind w:hanging="28"/>
              <w:jc w:val="center"/>
              <w:outlineLvl w:val="0"/>
              <w:rPr>
                <w:rFonts w:ascii="Times New Roman" w:hAnsi="Times New Roman"/>
                <w:b/>
                <w:bCs/>
                <w:caps/>
                <w:sz w:val="28"/>
                <w:szCs w:val="28"/>
                <w:shd w:val="clear" w:color="auto" w:fill="FFFFFF"/>
              </w:rPr>
            </w:pPr>
            <w:bookmarkStart w:id="1" w:name="_Toc518846411"/>
            <w:r w:rsidRPr="00540D4B">
              <w:rPr>
                <w:rFonts w:ascii="Times New Roman" w:hAnsi="Times New Roman"/>
                <w:b/>
                <w:bCs/>
                <w:caps/>
                <w:sz w:val="28"/>
                <w:szCs w:val="28"/>
                <w:shd w:val="clear" w:color="auto" w:fill="FFFFFF"/>
              </w:rPr>
              <w:t>МАРКЕТИНГОВЫЙ ИНСТРУМЕНТАРИЙ СТРАТЕГИЧЕСКОГО УПРАВЛЕНИЯ ПОТЕНЦИАЛОМ МУНИЦИПАЛИТЕТА</w:t>
            </w:r>
            <w:bookmarkEnd w:id="1"/>
          </w:p>
        </w:tc>
      </w:tr>
      <w:tr w:rsidR="00540D4B" w:rsidRPr="00540D4B" w:rsidTr="00BB1D7C">
        <w:trPr>
          <w:jc w:val="center"/>
        </w:trPr>
        <w:tc>
          <w:tcPr>
            <w:tcW w:w="9566" w:type="dxa"/>
            <w:gridSpan w:val="2"/>
          </w:tcPr>
          <w:p w:rsidR="00540D4B" w:rsidRPr="00540D4B" w:rsidRDefault="00540D4B" w:rsidP="00540D4B">
            <w:pPr>
              <w:jc w:val="both"/>
              <w:rPr>
                <w:rFonts w:ascii="Times New Roman" w:hAnsi="Times New Roman"/>
                <w:sz w:val="28"/>
                <w:szCs w:val="24"/>
              </w:rPr>
            </w:pPr>
          </w:p>
        </w:tc>
      </w:tr>
      <w:tr w:rsidR="00540D4B" w:rsidRPr="00540D4B" w:rsidTr="00BB1D7C">
        <w:trPr>
          <w:jc w:val="center"/>
        </w:trPr>
        <w:tc>
          <w:tcPr>
            <w:tcW w:w="9566" w:type="dxa"/>
            <w:gridSpan w:val="2"/>
          </w:tcPr>
          <w:p w:rsidR="00540D4B" w:rsidRPr="00540D4B" w:rsidRDefault="00540D4B" w:rsidP="00540D4B">
            <w:pPr>
              <w:widowControl w:val="0"/>
              <w:shd w:val="clear" w:color="auto" w:fill="FFFFFF"/>
              <w:ind w:firstLine="709"/>
              <w:jc w:val="center"/>
              <w:rPr>
                <w:rFonts w:ascii="Times New Roman" w:hAnsi="Times New Roman"/>
                <w:b/>
                <w:sz w:val="28"/>
                <w:szCs w:val="28"/>
                <w:lang w:val="en-US"/>
              </w:rPr>
            </w:pPr>
            <w:r w:rsidRPr="00540D4B">
              <w:rPr>
                <w:rFonts w:ascii="Times New Roman" w:hAnsi="Times New Roman"/>
                <w:b/>
                <w:sz w:val="28"/>
                <w:szCs w:val="28"/>
                <w:lang w:val="en-US"/>
              </w:rPr>
              <w:t>MARKETING TOOLS FOR THE STRATEGIC MANAGEMENT CAPACITY OF THE MUNICIPALITY</w:t>
            </w:r>
          </w:p>
        </w:tc>
      </w:tr>
    </w:tbl>
    <w:p w:rsidR="00540D4B" w:rsidRPr="00540D4B" w:rsidRDefault="00540D4B" w:rsidP="00540D4B">
      <w:pPr>
        <w:spacing w:after="0" w:line="240" w:lineRule="auto"/>
        <w:ind w:firstLine="709"/>
        <w:jc w:val="both"/>
        <w:rPr>
          <w:rFonts w:ascii="Times New Roman" w:eastAsia="Times New Roman" w:hAnsi="Times New Roman" w:cs="Times New Roman"/>
          <w:i/>
          <w:sz w:val="28"/>
          <w:szCs w:val="28"/>
          <w:lang w:val="en-US" w:eastAsia="ru-RU"/>
        </w:rPr>
      </w:pPr>
    </w:p>
    <w:p w:rsidR="00540D4B" w:rsidRPr="00540D4B" w:rsidRDefault="00540D4B" w:rsidP="00540D4B">
      <w:pPr>
        <w:spacing w:after="0" w:line="240" w:lineRule="auto"/>
        <w:ind w:firstLine="709"/>
        <w:jc w:val="both"/>
        <w:rPr>
          <w:rFonts w:ascii="Times New Roman" w:eastAsia="Times New Roman" w:hAnsi="Times New Roman" w:cs="Times New Roman"/>
          <w:i/>
          <w:sz w:val="24"/>
          <w:szCs w:val="24"/>
          <w:lang w:eastAsia="ru-RU"/>
        </w:rPr>
      </w:pPr>
      <w:r w:rsidRPr="00540D4B">
        <w:rPr>
          <w:rFonts w:ascii="Times New Roman" w:eastAsia="Times New Roman" w:hAnsi="Times New Roman" w:cs="Times New Roman"/>
          <w:i/>
          <w:sz w:val="24"/>
          <w:szCs w:val="24"/>
          <w:lang w:eastAsia="ru-RU"/>
        </w:rPr>
        <w:t>Аннотация. Конкретный выбор маркетингового инструментария стратегического управления имеющегося в наличии потенциала города должен в полной мере зависеть от стоящих перед территориальным сообществом в настоящий момент целей и задач перспективного и текущего развития, тесная связь которых должна стать непременным условием обеспечения успешного решения городских проблем.</w:t>
      </w:r>
    </w:p>
    <w:p w:rsidR="00540D4B" w:rsidRPr="00540D4B" w:rsidRDefault="00540D4B" w:rsidP="00540D4B">
      <w:pPr>
        <w:spacing w:after="0" w:line="240" w:lineRule="auto"/>
        <w:ind w:firstLine="709"/>
        <w:jc w:val="both"/>
        <w:rPr>
          <w:rFonts w:ascii="Times New Roman" w:eastAsia="Times New Roman" w:hAnsi="Times New Roman" w:cs="Times New Roman"/>
          <w:i/>
          <w:sz w:val="24"/>
          <w:szCs w:val="24"/>
          <w:lang w:eastAsia="ru-RU"/>
        </w:rPr>
      </w:pPr>
      <w:r w:rsidRPr="00540D4B">
        <w:rPr>
          <w:rFonts w:ascii="Times New Roman" w:eastAsia="Times New Roman" w:hAnsi="Times New Roman" w:cs="Times New Roman"/>
          <w:i/>
          <w:sz w:val="24"/>
          <w:szCs w:val="24"/>
          <w:lang w:eastAsia="ru-RU"/>
        </w:rPr>
        <w:t>Ключевые слова: маркетинг территорий, муниципалитет, стратегического управление</w:t>
      </w:r>
    </w:p>
    <w:p w:rsidR="00540D4B" w:rsidRPr="00540D4B" w:rsidRDefault="00540D4B" w:rsidP="00540D4B">
      <w:pPr>
        <w:spacing w:after="0" w:line="240" w:lineRule="auto"/>
        <w:ind w:firstLine="709"/>
        <w:jc w:val="both"/>
        <w:rPr>
          <w:rFonts w:ascii="Times New Roman" w:eastAsia="Times New Roman" w:hAnsi="Times New Roman" w:cs="Times New Roman"/>
          <w:i/>
          <w:sz w:val="28"/>
          <w:szCs w:val="24"/>
          <w:lang w:eastAsia="ru-RU"/>
        </w:rPr>
      </w:pPr>
    </w:p>
    <w:p w:rsidR="00540D4B" w:rsidRPr="00540D4B" w:rsidRDefault="00540D4B" w:rsidP="00540D4B">
      <w:pPr>
        <w:spacing w:after="0" w:line="240" w:lineRule="auto"/>
        <w:ind w:firstLine="709"/>
        <w:jc w:val="both"/>
        <w:rPr>
          <w:rFonts w:ascii="Times New Roman" w:eastAsia="Times New Roman" w:hAnsi="Times New Roman" w:cs="Times New Roman"/>
          <w:i/>
          <w:sz w:val="24"/>
          <w:szCs w:val="24"/>
          <w:lang w:val="en-US" w:eastAsia="ru-RU"/>
        </w:rPr>
      </w:pPr>
      <w:r w:rsidRPr="00540D4B">
        <w:rPr>
          <w:rFonts w:ascii="Times New Roman" w:eastAsia="Times New Roman" w:hAnsi="Times New Roman" w:cs="Times New Roman"/>
          <w:i/>
          <w:sz w:val="24"/>
          <w:szCs w:val="24"/>
          <w:lang w:val="en-US" w:eastAsia="ru-RU"/>
        </w:rPr>
        <w:t xml:space="preserve">Abstract. The specific choice of marketing tools for the strategic management of the available potential of the city should fully depend on the goals and objectives of the future and current development facing the territorial community at the moment, the close connection of which should be a prerequisite for the successful solution of urban problems. </w:t>
      </w:r>
    </w:p>
    <w:p w:rsidR="00540D4B" w:rsidRPr="00540D4B" w:rsidRDefault="00540D4B" w:rsidP="00540D4B">
      <w:pPr>
        <w:spacing w:after="0" w:line="240" w:lineRule="auto"/>
        <w:ind w:firstLine="709"/>
        <w:jc w:val="both"/>
        <w:rPr>
          <w:rFonts w:ascii="Times New Roman" w:eastAsia="Times New Roman" w:hAnsi="Times New Roman" w:cs="Times New Roman"/>
          <w:i/>
          <w:sz w:val="24"/>
          <w:szCs w:val="24"/>
          <w:lang w:val="en-US" w:eastAsia="ru-RU"/>
        </w:rPr>
      </w:pPr>
      <w:r w:rsidRPr="00540D4B">
        <w:rPr>
          <w:rFonts w:ascii="Times New Roman" w:eastAsia="Times New Roman" w:hAnsi="Times New Roman" w:cs="Times New Roman"/>
          <w:i/>
          <w:sz w:val="24"/>
          <w:szCs w:val="24"/>
          <w:lang w:val="en-US" w:eastAsia="ru-RU"/>
        </w:rPr>
        <w:t>Keywords: marketing of territories, municipality, strategic management</w:t>
      </w:r>
    </w:p>
    <w:p w:rsidR="00540D4B" w:rsidRPr="00540D4B" w:rsidRDefault="00540D4B" w:rsidP="00540D4B">
      <w:pPr>
        <w:spacing w:after="0" w:line="240" w:lineRule="auto"/>
        <w:ind w:firstLine="709"/>
        <w:jc w:val="both"/>
        <w:rPr>
          <w:rFonts w:ascii="Times New Roman" w:eastAsia="Times New Roman" w:hAnsi="Times New Roman" w:cs="Times New Roman"/>
          <w:i/>
          <w:sz w:val="28"/>
          <w:szCs w:val="24"/>
          <w:lang w:val="en-US" w:eastAsia="ru-RU"/>
        </w:rPr>
      </w:pPr>
    </w:p>
    <w:p w:rsidR="00540D4B" w:rsidRPr="00540D4B" w:rsidRDefault="00540D4B" w:rsidP="00540D4B">
      <w:pPr>
        <w:spacing w:after="0" w:line="240" w:lineRule="auto"/>
        <w:ind w:firstLine="720"/>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b/>
          <w:sz w:val="28"/>
          <w:szCs w:val="28"/>
          <w:lang w:eastAsia="ru-RU"/>
        </w:rPr>
        <w:t>Постановка проблемы.</w:t>
      </w:r>
      <w:r w:rsidRPr="00540D4B">
        <w:rPr>
          <w:rFonts w:ascii="Times New Roman" w:eastAsia="Times New Roman" w:hAnsi="Times New Roman" w:cs="Times New Roman"/>
          <w:sz w:val="28"/>
          <w:szCs w:val="28"/>
          <w:lang w:eastAsia="ru-RU"/>
        </w:rPr>
        <w:t xml:space="preserve"> В настоящее время на Донбассе появились отдельные территориальные образования (Донецкая Народная Республика и Луганская Народная Республика), имеющие на сегодняшний день неопределенный статус государственности. Данное обстоятельство стало следствием проведения недальновидной политики центральных органов государственной власти, которая заключалась в ущемлении отдельных групп населения по целому ряду вопросов: этническим, языковым, культурным, социальным. В итоге, ущемленные группы населения, проживающие на данной территории, предприняли попытку самоопределиться (путем проведения референдумов по выходу из состава государства с целью получения независимости). Однако, как показывает практика, признание данных территорий независимыми государствами оказалось достаточно проблематичным из-за нежелания мирового сообщества делать это. В настоящее время оно (мировое сообщество) не готово положительно отнестись к предпринятой попытке жителей этих территорий отделиться от метрополии. </w:t>
      </w:r>
    </w:p>
    <w:p w:rsidR="00540D4B" w:rsidRPr="00540D4B" w:rsidRDefault="00540D4B" w:rsidP="00540D4B">
      <w:pPr>
        <w:spacing w:after="0" w:line="240" w:lineRule="auto"/>
        <w:ind w:firstLine="720"/>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lastRenderedPageBreak/>
        <w:t>В результате возник парадокс – население, проголосовавшее за свою независимость, проживает на территориях, государственный статус которых никем не признается (за исключением нескольких таких же квазигосударств). Данный факт негативно влияет как на политическую, так и на экономическую составляющие дальнейшего развития данных территорий.  Если с политической точки зрения неопределенный статус государственности ограничивает любые возможности ее сотрудничества с международным сообществом, то с экономической точки зрения данное обстоятельство в значительной степени сказывается на ее качественной составляющей: привлекательность этих территорий снижается, что приводит к потере значительных объемов инвестиций в отдельные виды хозяйственной деятельности, а также к определенной замкнутости (автаркии) экономики.</w:t>
      </w:r>
    </w:p>
    <w:p w:rsidR="00540D4B" w:rsidRPr="00540D4B" w:rsidRDefault="00540D4B" w:rsidP="00540D4B">
      <w:pPr>
        <w:spacing w:after="0" w:line="240" w:lineRule="auto"/>
        <w:ind w:firstLine="720"/>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В этих условиях актуализируется необходимость поиска действенного инструментария, способного в таком относительно замкнутом пространстве обеспечивать территориальное развитие. Основным инструментом, позволяющим увеличить привлекательность отдельных территорий (страны, регионов, муниципальных образований), а также сохранить их идентичность выступает территориальный маркетинг.</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b/>
          <w:sz w:val="28"/>
          <w:szCs w:val="28"/>
          <w:lang w:eastAsia="ru-RU"/>
        </w:rPr>
        <w:t>Анализ предыдущих исследований и публикаций.</w:t>
      </w:r>
      <w:r w:rsidRPr="00540D4B">
        <w:rPr>
          <w:rFonts w:ascii="Times New Roman" w:eastAsia="Times New Roman" w:hAnsi="Times New Roman" w:cs="Times New Roman"/>
          <w:sz w:val="28"/>
          <w:szCs w:val="28"/>
          <w:lang w:eastAsia="ru-RU"/>
        </w:rPr>
        <w:t xml:space="preserve"> Вопросами маркетинговых исследований в области развития муниципалитетов зачастую занимались отечественные ученые. Так, Иванов Е.А. считал, что «сущность территориального маркетинга заключается в комплексе определённых мероприятий маркетингового характера, основанных на анализе текущего положения территории по определённым параметрам и направленных на формирование положительного мнения о данной территории у всех заинтересованных лиц» [1]. Аналогичный подход был использован Кочагиным Е.А. [2], Кудрявцевой И.В. [3], Пфайфером М.Р. [4]. Однако практически отсутствуют публикации, посвященные маркетингу в стратегическом управлении муниципалитетами.</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b/>
          <w:sz w:val="28"/>
          <w:szCs w:val="28"/>
          <w:lang w:eastAsia="ru-RU"/>
        </w:rPr>
        <w:t>Цель исследования.</w:t>
      </w:r>
      <w:r w:rsidRPr="00540D4B">
        <w:rPr>
          <w:rFonts w:ascii="Times New Roman" w:eastAsia="Times New Roman" w:hAnsi="Times New Roman" w:cs="Times New Roman"/>
          <w:sz w:val="28"/>
          <w:szCs w:val="28"/>
          <w:lang w:eastAsia="ru-RU"/>
        </w:rPr>
        <w:t xml:space="preserve"> Целью данной работы выступает выделение маркетингового инструментария стратегического управления потенциалом муниципалитета.</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b/>
          <w:sz w:val="28"/>
          <w:szCs w:val="28"/>
          <w:lang w:eastAsia="ru-RU"/>
        </w:rPr>
        <w:t>Основные результаты исследования.</w:t>
      </w:r>
      <w:r w:rsidRPr="00540D4B">
        <w:rPr>
          <w:rFonts w:ascii="Times New Roman" w:eastAsia="Times New Roman" w:hAnsi="Times New Roman" w:cs="Times New Roman"/>
          <w:sz w:val="28"/>
          <w:szCs w:val="28"/>
          <w:lang w:eastAsia="ru-RU"/>
        </w:rPr>
        <w:t xml:space="preserve"> Принципиальная схема использования маркетингового инструментария стратегического управления существующим потенциалом муниципалитета охватывает все имеющиеся массивы информации, системы экономических балансов и моделей, включая уровень предприятий, и определяет формы использования соответствующих данных применительно к содержательной стороне (направлениям стратегического анализа), а именно – изучению, прогнозированию и удовлетворению потребностей жителей города в товарах и услугах. Основными элементами этой системы выступают: 1) проведение маркетинговых исследований территории, 2) разработка маркетинговых стратегий территориального развития, 3) маркетинговое планирование, основанное на предпосылках, 4) маркетинговое планирование, основанное на </w:t>
      </w:r>
      <w:r w:rsidRPr="00540D4B">
        <w:rPr>
          <w:rFonts w:ascii="Times New Roman" w:eastAsia="Times New Roman" w:hAnsi="Times New Roman" w:cs="Times New Roman"/>
          <w:sz w:val="28"/>
          <w:szCs w:val="28"/>
          <w:lang w:eastAsia="ru-RU"/>
        </w:rPr>
        <w:lastRenderedPageBreak/>
        <w:t>возможностях, 5) маркетинговое планирование, основанное на пошаговом рассмотрении возможностей развития города.</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1. Структура проведения маркетингового исследования территории города может состоять из следующих этапов: </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1. Оценки состояния маркетингового потенциала территории города по блокам оценки: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социально-экономический блок оценки состояния территории;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промышленно-технологический блок оценки состояния территории;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эколого-географический блок оценки состояния территории; </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2. Конкурентного анализа, оценки конкурентоспособности территории города по параметрам: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инвестиционной привлекательности;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качества жизни;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рекреационного потенциала; </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3. SWOT-анализа: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возможностей и угроз;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сильных и слабых сторон;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направлений реализации потенциала;</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4. PEST-анализа: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политики муниципальных властей;</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экономического состояния;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социальных параметров развития;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технологического потенциала.</w:t>
      </w:r>
    </w:p>
    <w:p w:rsidR="00540D4B" w:rsidRPr="00540D4B" w:rsidRDefault="00540D4B" w:rsidP="00540D4B">
      <w:pPr>
        <w:shd w:val="clear" w:color="auto" w:fill="FEFEFE"/>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bCs/>
          <w:sz w:val="28"/>
          <w:szCs w:val="28"/>
          <w:lang w:eastAsia="ru-RU"/>
        </w:rPr>
        <w:t xml:space="preserve">Результаты SWOT-анализа </w:t>
      </w:r>
      <w:r w:rsidRPr="00540D4B">
        <w:rPr>
          <w:rFonts w:ascii="Times New Roman" w:eastAsia="Times New Roman" w:hAnsi="Times New Roman" w:cs="Times New Roman"/>
          <w:sz w:val="28"/>
          <w:szCs w:val="28"/>
          <w:lang w:eastAsia="ru-RU"/>
        </w:rPr>
        <w:t>позволяют получить комплексную оценку текущего состояния территории и ее конкурентоспособности по сравнению с другими территориями, предшествуют планированию социально-экономического и пространственного развития территории, является его информационной базой.</w:t>
      </w:r>
    </w:p>
    <w:p w:rsidR="00540D4B" w:rsidRPr="00540D4B" w:rsidRDefault="00540D4B" w:rsidP="00540D4B">
      <w:pPr>
        <w:shd w:val="clear" w:color="auto" w:fill="FEFEFE"/>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По результатам SWOT-анализа принимается решение о том, где территория находится в настоящее время и формируется представление, на какую позицию, когда и благодаря каким усилиям территория может попасть. Конкретизация этих пожеланий возможна с применением методов исследования целевых рынков и позиционирования территорий.</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40D4B">
        <w:rPr>
          <w:rFonts w:ascii="Times New Roman" w:eastAsia="Times New Roman" w:hAnsi="Times New Roman" w:cs="Times New Roman"/>
          <w:bCs/>
          <w:sz w:val="28"/>
          <w:szCs w:val="28"/>
          <w:lang w:eastAsia="ru-RU"/>
        </w:rPr>
        <w:t xml:space="preserve">Результаты </w:t>
      </w:r>
      <w:r w:rsidRPr="00540D4B">
        <w:rPr>
          <w:rFonts w:ascii="Times New Roman" w:eastAsia="Times New Roman" w:hAnsi="Times New Roman" w:cs="Times New Roman"/>
          <w:sz w:val="28"/>
          <w:szCs w:val="28"/>
          <w:shd w:val="clear" w:color="auto" w:fill="FFFFFF"/>
          <w:lang w:eastAsia="ru-RU"/>
        </w:rPr>
        <w:t xml:space="preserve">PEST-анализа позволяют оценивать макросреду (органы власти, социально-демографическую среду, научно-технический прогресс, экономику, природные факторы) и микросреду (поставщиков, покупателей, конкурентов, кредиторов, профсоюзы, акционеров). </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По результатам </w:t>
      </w:r>
      <w:r w:rsidRPr="00540D4B">
        <w:rPr>
          <w:rFonts w:ascii="Times New Roman" w:eastAsia="Times New Roman" w:hAnsi="Times New Roman" w:cs="Times New Roman"/>
          <w:sz w:val="28"/>
          <w:szCs w:val="28"/>
          <w:shd w:val="clear" w:color="auto" w:fill="FFFFFF"/>
          <w:lang w:eastAsia="ru-RU"/>
        </w:rPr>
        <w:t xml:space="preserve">PEST-анализа </w:t>
      </w:r>
      <w:r w:rsidRPr="00540D4B">
        <w:rPr>
          <w:rFonts w:ascii="Times New Roman" w:eastAsia="Times New Roman" w:hAnsi="Times New Roman" w:cs="Times New Roman"/>
          <w:sz w:val="28"/>
          <w:szCs w:val="28"/>
          <w:lang w:eastAsia="ru-RU"/>
        </w:rPr>
        <w:t>принимается решение о том, что необходимо делать по улучшению основных параметров жизнеобеспечения и жизнедеятельности в данном муниципальном образовании.</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lastRenderedPageBreak/>
        <w:t>2. Состав маркетинговых стратегий территориального развития муниципального образования может формироваться за счет четырех групп стратегий, нацеленных на привлечение инвесторов, развитие производственной и непроизводственной сферы и др. Эти стратегии условно могут быть названы: маркетинг имиджа, маркетинг притягательности, маркетинг инфраструктуры и маркетинг населения, персонала</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iCs/>
          <w:sz w:val="28"/>
          <w:szCs w:val="28"/>
          <w:lang w:eastAsia="ru-RU"/>
        </w:rPr>
        <w:t xml:space="preserve">Основная цель стратегии </w:t>
      </w:r>
      <w:r w:rsidRPr="00540D4B">
        <w:rPr>
          <w:rFonts w:ascii="Times New Roman" w:eastAsia="Times New Roman" w:hAnsi="Times New Roman" w:cs="Times New Roman"/>
          <w:bCs/>
          <w:sz w:val="28"/>
          <w:szCs w:val="28"/>
          <w:lang w:eastAsia="ru-RU"/>
        </w:rPr>
        <w:t>маркетинга имиджа</w:t>
      </w:r>
      <w:r w:rsidRPr="00540D4B">
        <w:rPr>
          <w:rFonts w:ascii="Times New Roman" w:eastAsia="Times New Roman" w:hAnsi="Times New Roman" w:cs="Times New Roman"/>
          <w:sz w:val="28"/>
          <w:szCs w:val="28"/>
          <w:lang w:eastAsia="ru-RU"/>
        </w:rPr>
        <w:t xml:space="preserve"> </w:t>
      </w:r>
      <w:r w:rsidRPr="00540D4B">
        <w:rPr>
          <w:rFonts w:ascii="Times New Roman" w:eastAsia="Times New Roman" w:hAnsi="Times New Roman" w:cs="Times New Roman"/>
          <w:iCs/>
          <w:sz w:val="28"/>
          <w:szCs w:val="28"/>
          <w:lang w:eastAsia="ru-RU"/>
        </w:rPr>
        <w:t>заключается в создании, развитии и распространении, обеспечении общественного признания положительного образа территории.</w:t>
      </w:r>
      <w:r w:rsidRPr="00540D4B">
        <w:rPr>
          <w:rFonts w:ascii="Times New Roman" w:eastAsia="Times New Roman" w:hAnsi="Times New Roman" w:cs="Times New Roman"/>
          <w:sz w:val="28"/>
          <w:szCs w:val="28"/>
          <w:lang w:eastAsia="ru-RU"/>
        </w:rPr>
        <w:t xml:space="preserve"> По сравнению с другими направлениями эта стратегия является недорогой, хотя и требующей определенных затрат. Ведущим инструментом маркетинга имиджа выступают коммуникационные мероприятия, демонстрирующие открытость территории для контактов и позволяющие внешним субъектам лучше узнать ее, удостовериться в существенности имеющихся у нее преимуществ. </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В основе стратегии </w:t>
      </w:r>
      <w:r w:rsidRPr="00540D4B">
        <w:rPr>
          <w:rFonts w:ascii="Times New Roman" w:eastAsia="Times New Roman" w:hAnsi="Times New Roman" w:cs="Times New Roman"/>
          <w:bCs/>
          <w:sz w:val="28"/>
          <w:szCs w:val="28"/>
          <w:lang w:eastAsia="ru-RU"/>
        </w:rPr>
        <w:t xml:space="preserve">маркетинга привлекательности </w:t>
      </w:r>
      <w:r w:rsidRPr="00540D4B">
        <w:rPr>
          <w:rFonts w:ascii="Times New Roman" w:eastAsia="Times New Roman" w:hAnsi="Times New Roman" w:cs="Times New Roman"/>
          <w:sz w:val="28"/>
          <w:szCs w:val="28"/>
          <w:lang w:eastAsia="ru-RU"/>
        </w:rPr>
        <w:t xml:space="preserve">лежат </w:t>
      </w:r>
      <w:r w:rsidRPr="00540D4B">
        <w:rPr>
          <w:rFonts w:ascii="Times New Roman" w:eastAsia="Times New Roman" w:hAnsi="Times New Roman" w:cs="Times New Roman"/>
          <w:iCs/>
          <w:sz w:val="28"/>
          <w:szCs w:val="28"/>
          <w:lang w:eastAsia="ru-RU"/>
        </w:rPr>
        <w:t>мероприятия, направленные на повышение притягательности данной территории для человека, ее гуманизацию</w:t>
      </w:r>
      <w:r w:rsidRPr="00540D4B">
        <w:rPr>
          <w:rFonts w:ascii="Times New Roman" w:eastAsia="Times New Roman" w:hAnsi="Times New Roman" w:cs="Times New Roman"/>
          <w:sz w:val="28"/>
          <w:szCs w:val="28"/>
          <w:lang w:eastAsia="ru-RU"/>
        </w:rPr>
        <w:t>. Большинство муниципальных образований не отказались бы от развития особых черт, гарантирующих конкурентные преимущества в соперничестве с другими территориальными образованиями. Например, для туристов чаще всего в качестве таких отличий выступают находящиеся на данной территории историко-архитектурные объекты.</w:t>
      </w:r>
    </w:p>
    <w:p w:rsidR="00540D4B" w:rsidRPr="00540D4B" w:rsidRDefault="00540D4B" w:rsidP="00540D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Для стратегии маркетинга инфраструктуры главное, что обеспечивает </w:t>
      </w:r>
      <w:r w:rsidRPr="00540D4B">
        <w:rPr>
          <w:rFonts w:ascii="Times New Roman" w:eastAsia="Times New Roman" w:hAnsi="Times New Roman" w:cs="Times New Roman"/>
          <w:iCs/>
          <w:sz w:val="28"/>
          <w:szCs w:val="28"/>
          <w:lang w:eastAsia="ru-RU"/>
        </w:rPr>
        <w:t>успех территории – степень цивилизованности рыночных отношений на территории города. На территории должно быть удобно жить, работать и развиваться, а для этого нужно, прежде всего, развивать инфраструктуру жилых районов, промышленных зон, в целом рыночную инфраструктуру</w:t>
      </w:r>
      <w:r w:rsidRPr="00540D4B">
        <w:rPr>
          <w:rFonts w:ascii="Times New Roman" w:eastAsia="Times New Roman" w:hAnsi="Times New Roman" w:cs="Times New Roman"/>
          <w:sz w:val="28"/>
          <w:szCs w:val="28"/>
          <w:lang w:eastAsia="ru-RU"/>
        </w:rPr>
        <w:t xml:space="preserve">. Аргументы, позволяющие управлять долгосрочным интересом к территории со стороны ее потребителей, подразделяются на две большие группы: аргументы функционирования и аргументы развития. </w:t>
      </w:r>
    </w:p>
    <w:p w:rsidR="00540D4B" w:rsidRPr="00540D4B" w:rsidRDefault="00540D4B" w:rsidP="00540D4B">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540D4B">
        <w:rPr>
          <w:rFonts w:ascii="Times New Roman" w:eastAsia="Times New Roman" w:hAnsi="Times New Roman" w:cs="Times New Roman"/>
          <w:sz w:val="28"/>
          <w:szCs w:val="28"/>
          <w:lang w:eastAsia="ru-RU"/>
        </w:rPr>
        <w:t xml:space="preserve">К основным аргументам функционирования территории относятся: </w:t>
      </w:r>
      <w:r w:rsidRPr="00540D4B">
        <w:rPr>
          <w:rFonts w:ascii="Times New Roman" w:eastAsia="Times New Roman" w:hAnsi="Times New Roman" w:cs="Times New Roman"/>
          <w:iCs/>
          <w:sz w:val="28"/>
          <w:szCs w:val="28"/>
          <w:lang w:eastAsia="ru-RU"/>
        </w:rPr>
        <w:t xml:space="preserve">обеспечение личной безопасности и охрана общественного порядка; состояние и эксплуатация жилищного (в том числе гостиничного) фонда; состояние дорог, транспортное обслуживание; водо-, газо-, тепло-, электроснабжение; уборка мусора; наличие парков, благоустройство; наличие и развитие школ, детских дошкольных учреждений (особенно - для резидентов). Для бизнеса это - налоговые стимулы, возможности приобретения или аренды земли и компонентов инфраструктуры и т.п. </w:t>
      </w:r>
    </w:p>
    <w:p w:rsidR="00540D4B" w:rsidRPr="00540D4B" w:rsidRDefault="00540D4B" w:rsidP="00540D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iCs/>
          <w:sz w:val="28"/>
          <w:szCs w:val="28"/>
          <w:lang w:eastAsia="ru-RU"/>
        </w:rPr>
        <w:t>Среди аргументов перспективности, развития территории, в первую</w:t>
      </w:r>
      <w:r w:rsidRPr="00540D4B">
        <w:rPr>
          <w:rFonts w:ascii="Times New Roman" w:eastAsia="Times New Roman" w:hAnsi="Times New Roman" w:cs="Times New Roman"/>
          <w:sz w:val="28"/>
          <w:szCs w:val="28"/>
          <w:lang w:eastAsia="ru-RU"/>
        </w:rPr>
        <w:t xml:space="preserve"> </w:t>
      </w:r>
      <w:r w:rsidRPr="00540D4B">
        <w:rPr>
          <w:rFonts w:ascii="Times New Roman" w:eastAsia="Times New Roman" w:hAnsi="Times New Roman" w:cs="Times New Roman"/>
          <w:iCs/>
          <w:sz w:val="28"/>
          <w:szCs w:val="28"/>
          <w:lang w:eastAsia="ru-RU"/>
        </w:rPr>
        <w:t>очередь, могут быть названы: возникновение новых и развитие старых производств; динамика производственной и рыночной инфраструктуры, коммуникаций; уровень занятости и ее структура; уровень благосостояния; динамика инвестиций; развитие высшего и послевузовского образования.</w:t>
      </w:r>
    </w:p>
    <w:p w:rsidR="00540D4B" w:rsidRPr="00540D4B" w:rsidRDefault="00540D4B" w:rsidP="00540D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bCs/>
          <w:sz w:val="28"/>
          <w:szCs w:val="28"/>
          <w:lang w:eastAsia="ru-RU"/>
        </w:rPr>
        <w:t>Для стратегии маркетинга населения, персонала характерным является то, что т</w:t>
      </w:r>
      <w:r w:rsidRPr="00540D4B">
        <w:rPr>
          <w:rFonts w:ascii="Times New Roman" w:eastAsia="Times New Roman" w:hAnsi="Times New Roman" w:cs="Times New Roman"/>
          <w:iCs/>
          <w:sz w:val="28"/>
          <w:szCs w:val="28"/>
          <w:lang w:eastAsia="ru-RU"/>
        </w:rPr>
        <w:t>ерритории, характеризуемые разным состоянием дел, проблемами и потребностями в сфере занятости, выбирают разные стратегии</w:t>
      </w:r>
      <w:r w:rsidRPr="00540D4B">
        <w:rPr>
          <w:rFonts w:ascii="Times New Roman" w:eastAsia="Times New Roman" w:hAnsi="Times New Roman" w:cs="Times New Roman"/>
          <w:sz w:val="28"/>
          <w:szCs w:val="28"/>
          <w:lang w:eastAsia="ru-RU"/>
        </w:rPr>
        <w:t xml:space="preserve">. Так, </w:t>
      </w:r>
      <w:r w:rsidRPr="00540D4B">
        <w:rPr>
          <w:rFonts w:ascii="Times New Roman" w:eastAsia="Times New Roman" w:hAnsi="Times New Roman" w:cs="Times New Roman"/>
          <w:sz w:val="28"/>
          <w:szCs w:val="28"/>
          <w:lang w:eastAsia="ru-RU"/>
        </w:rPr>
        <w:lastRenderedPageBreak/>
        <w:t xml:space="preserve">территории с низким уровнем занятости и дешевой рабочей силой могут выдвигать это как аргумент для привлечения промышленников, предпринимателей сферы услуг и др. с целью создания новых рабочих мест. Если рабочих рук не хватает, а рабочих мест в избытке, то территории, стремясь заполучить новые кадры, могут подчеркивать, рекламировать положительные возможности для проживания и перспективы роста, высокую заработную плату, возможность выбора профессии и т.п. Возможен и адресный маркетинг, нацеленный на привлечение на территорию людей конкретных профессий, определенных уровней квалификации. Наконец, в ряде случаев территории предпочитают демонстрировать </w:t>
      </w:r>
      <w:r w:rsidRPr="00540D4B">
        <w:rPr>
          <w:rFonts w:ascii="Times New Roman" w:eastAsia="Times New Roman" w:hAnsi="Times New Roman" w:cs="Times New Roman"/>
          <w:iCs/>
          <w:sz w:val="28"/>
          <w:szCs w:val="28"/>
          <w:lang w:eastAsia="ru-RU"/>
        </w:rPr>
        <w:t>противодействующий маркетинг</w:t>
      </w:r>
      <w:r w:rsidRPr="00540D4B">
        <w:rPr>
          <w:rFonts w:ascii="Times New Roman" w:eastAsia="Times New Roman" w:hAnsi="Times New Roman" w:cs="Times New Roman"/>
          <w:sz w:val="28"/>
          <w:szCs w:val="28"/>
          <w:lang w:eastAsia="ru-RU"/>
        </w:rPr>
        <w:t>, например, если вузы перегружены студентами, города – ищущими заработок приезжими и т.п.</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3. Маркетинговое планирование (сценарное планирование), основанное на предпосылках, базируется на пяти базовых шагах: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перечисление всех имеющихся предпосылок (условий);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определение существенных уязвимых предпосылок (условий);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создание указателей;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проведение формирующих действий;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проведение защитных действий.</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Под существенными предпосылками (условиями) понимаются такие, реализация которых потребует существенных изменений в планируемых мерах. При этом провал допущения может иметь не только негативный, но и позитивный исход.</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Уязвимыми предпосылками (условиями) являются те из них, которые могут быть сметены будущими событиями в течение времени, на которое было рассчитано планирование. </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Формирующие действия направлены на контроль уязвимости существенных предпосылок (условий).</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Защитные действия являются действиями, которые готовят субъект к провалу одного из существенных допущений.</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Маркетинговое планирование (сценарное планирование) ориентируется на конкретную угрозу, на четко идентифицированного «противника», то есть делает акцент на другой стороне, на стороне, стоящей вне данного субъекта (в нашем случае города). Хотя при этом сохраняется акцент на себе, поскольку в результате развиваются собственные возможности, но исходной точкой отсчета все же являются внешние условия (угрозы).</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4. Маркетинговое планирование, основанное на возможностях, делает акцент на собственных возможностях субъекта (города). Такое планирование предполагает наличие следующих ключевых моментов: </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акцент на модулях, которые могут быть использованы в разных ситуациях;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монтаж собственных возможностей;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lastRenderedPageBreak/>
        <w:t xml:space="preserve">целевая ориентация на гибкость, адаптивность, а не на оптимизацию;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множественные варианты измерения эффективности предлагаемых мер;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открытая роль качественных оценок предпринимаемых шагов;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экономика выбора, основанная не только на минимизации возможных затрат (издержек);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понимание того, что требования являются результатом выбора высокого уровня, основанного на широком понимании анализа возможностей.</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В роли модулей могут рассматриваться: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конкретные предприятия, слои и группы населения и др.;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выбранная миссия развития субъекта (города);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имеющийся в наличии экономический потенциал (все виды ресурсов и схемы их взаимодействия) муниципального образования.</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В данном случае логика заключается в следующем: если невозможно строить сценарии по нейтрализации внешней угрозы (так как через 5-10 лет она не может быть четко определена),  следует опираться на другую сторону моста – наши собственные возможности по защите. При этом в эти варианты защиты закладываются сознательно возможности по их многочисленной трансформации, чтобы быть готовым к разного рода угрозам. Соответственно, закладывается многовариантная возможность оценки эффективности не по одному параметру, а по нескольким. Для одной ситуации, одного сценария требуется один вид характеристики, для другого – другой. В результате возникает акцент на гибкости, а не привычный нам акцент, например, минимизации затрат.</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Самым важным при этом становится акцент на новых подходах к маркетинговому планированию, способных обойти те ограничения, которые накладывают на них ситуация неопределенности и неизвестности. Сама она уже стандартизируется, становится менее опасной, когда происходит понимание критичности этого фактора для планирования.</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5. Структура маркетингового планирования, основанного на пошаговом рассмотрении возможностей развития города, может выглядеть следующим образом: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определение проблемы и постановка задач;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анализ заинтересованных сторон;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определение критериев успешности предлагаемого проекта планирования;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сегментирование рынка и определение целевой аудитории;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выбор и уточнение маркетинговой стратегии;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lastRenderedPageBreak/>
        <w:t xml:space="preserve">подбор инструментов маркетинговой коммуникации;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определение индикаторов успеха;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планирование мониторинга и оценки планируемого проекта;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определение участников планируемого проекта и распределение функций между ними;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формирование планируемого проекта.</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Таким образом, использование муниципального маркетинга призвано способствовать решению ряда стратегических задач экономического и социального развития города, направленных на: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привлечение внешних денежных потоков в город (за счет притока инвестиций, доходов от туризма, экспорта товаров, произведенных в данном городе, ускорения денежного обращения и товарной массы);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повышение конкурентоспособности города в различных сферах функционирования;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распространение и расширение влияния города вовне для достижения своих целей и удовлетворения интересов его жителей;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создание комфортных для жизни условий и привлекательности городской среды;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стабилизацию (прирост) численности населения за счет привлечения новых жителей и сокращение оттока местного населения;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снижение уровня социальной напряженности на территории города; </w:t>
      </w:r>
    </w:p>
    <w:p w:rsidR="00540D4B" w:rsidRPr="00540D4B" w:rsidRDefault="00540D4B" w:rsidP="00540D4B">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активизацию и расширение системы социальных коммуникаций и др.</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sz w:val="28"/>
          <w:szCs w:val="28"/>
          <w:lang w:eastAsia="ru-RU"/>
        </w:rPr>
        <w:t xml:space="preserve">Использование философии муниципального маркетинга в решении городских проблем также позволяет находить новые, более эффективные решения старых проблем, активнее внедрять новые технологии и новации в функционирование городского хозяйства, новые методы управления, поскольку муниципальный маркетинг способствует развитию инновационного мышления. Философия муниципального маркетинга должна стать методологической основой стратегического управления развитием города, поскольку активно способствует организации взаимодействия субъектов территории для достижения ее целей, включающих экологизацию и гуманизацию городской среды и всех аспектов человеческого поведения. </w:t>
      </w:r>
    </w:p>
    <w:p w:rsidR="00540D4B" w:rsidRPr="00540D4B" w:rsidRDefault="00540D4B" w:rsidP="00540D4B">
      <w:pPr>
        <w:spacing w:after="0" w:line="240" w:lineRule="auto"/>
        <w:ind w:firstLine="709"/>
        <w:jc w:val="both"/>
        <w:rPr>
          <w:rFonts w:ascii="Times New Roman" w:eastAsia="Times New Roman" w:hAnsi="Times New Roman" w:cs="Times New Roman"/>
          <w:sz w:val="28"/>
          <w:szCs w:val="28"/>
          <w:lang w:eastAsia="ru-RU"/>
        </w:rPr>
      </w:pPr>
      <w:r w:rsidRPr="00540D4B">
        <w:rPr>
          <w:rFonts w:ascii="Times New Roman" w:eastAsia="Times New Roman" w:hAnsi="Times New Roman" w:cs="Times New Roman"/>
          <w:b/>
          <w:sz w:val="28"/>
          <w:szCs w:val="28"/>
          <w:lang w:eastAsia="ru-RU"/>
        </w:rPr>
        <w:t>Выводы.</w:t>
      </w:r>
      <w:r w:rsidRPr="00540D4B">
        <w:rPr>
          <w:rFonts w:ascii="Times New Roman" w:eastAsia="Times New Roman" w:hAnsi="Times New Roman" w:cs="Times New Roman"/>
          <w:sz w:val="28"/>
          <w:szCs w:val="28"/>
          <w:lang w:eastAsia="ru-RU"/>
        </w:rPr>
        <w:t xml:space="preserve"> Из всего вышесказанного можно сделать следующие выводы. Во-первых, современная наука и практика имеют в наличии проверенные опытом и показавшие свою эффективность методы стратегического и тактического управления экономическими и социальными процессами и явлениями на любой по размерам и с любым статусом территории, среди которых важное место занимает территориальный маркетинг. Во-вторых, </w:t>
      </w:r>
      <w:r w:rsidRPr="00540D4B">
        <w:rPr>
          <w:rFonts w:ascii="Times New Roman" w:eastAsia="Times New Roman" w:hAnsi="Times New Roman" w:cs="Times New Roman"/>
          <w:sz w:val="28"/>
          <w:szCs w:val="28"/>
          <w:lang w:eastAsia="ru-RU"/>
        </w:rPr>
        <w:lastRenderedPageBreak/>
        <w:t>конкретный выбор маркетингового инструментария стратегического управления имеющегося в наличии потенциала города должен в полной мере зависеть от стоящих перед территориальным сообществом в настоящий момент целей и задач перспективного и текущего развития, тесная связь которых должна стать непременным условием обеспечения успешного решения городских проблем.</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540D4B" w:rsidRPr="00540D4B" w:rsidTr="00BB1D7C">
        <w:trPr>
          <w:jc w:val="center"/>
        </w:trPr>
        <w:tc>
          <w:tcPr>
            <w:tcW w:w="5000" w:type="pct"/>
            <w:gridSpan w:val="2"/>
          </w:tcPr>
          <w:p w:rsidR="00540D4B" w:rsidRPr="00540D4B" w:rsidRDefault="00540D4B" w:rsidP="00540D4B">
            <w:pPr>
              <w:contextualSpacing/>
              <w:jc w:val="both"/>
              <w:rPr>
                <w:rFonts w:ascii="Times New Roman" w:eastAsia="Calibri" w:hAnsi="Times New Roman"/>
                <w:sz w:val="24"/>
                <w:szCs w:val="24"/>
              </w:rPr>
            </w:pPr>
          </w:p>
        </w:tc>
      </w:tr>
      <w:tr w:rsidR="00540D4B" w:rsidRPr="00540D4B" w:rsidTr="00BB1D7C">
        <w:trPr>
          <w:jc w:val="center"/>
        </w:trPr>
        <w:tc>
          <w:tcPr>
            <w:tcW w:w="5000" w:type="pct"/>
            <w:gridSpan w:val="2"/>
          </w:tcPr>
          <w:p w:rsidR="00540D4B" w:rsidRPr="00540D4B" w:rsidRDefault="00540D4B" w:rsidP="00540D4B">
            <w:pPr>
              <w:ind w:firstLine="709"/>
              <w:jc w:val="center"/>
              <w:rPr>
                <w:rFonts w:ascii="Times New Roman" w:hAnsi="Times New Roman"/>
                <w:b/>
                <w:sz w:val="28"/>
                <w:szCs w:val="28"/>
              </w:rPr>
            </w:pPr>
            <w:r w:rsidRPr="00540D4B">
              <w:rPr>
                <w:rFonts w:ascii="Times New Roman" w:hAnsi="Times New Roman"/>
                <w:b/>
                <w:sz w:val="28"/>
                <w:szCs w:val="28"/>
              </w:rPr>
              <w:t>Список литературы</w:t>
            </w:r>
          </w:p>
        </w:tc>
      </w:tr>
      <w:tr w:rsidR="00540D4B" w:rsidRPr="00540D4B" w:rsidTr="00BB1D7C">
        <w:trPr>
          <w:trHeight w:val="713"/>
          <w:jc w:val="center"/>
        </w:trPr>
        <w:tc>
          <w:tcPr>
            <w:tcW w:w="293" w:type="pct"/>
          </w:tcPr>
          <w:p w:rsidR="00540D4B" w:rsidRPr="00540D4B" w:rsidRDefault="00540D4B" w:rsidP="00540D4B">
            <w:pPr>
              <w:widowControl w:val="0"/>
              <w:numPr>
                <w:ilvl w:val="0"/>
                <w:numId w:val="1"/>
              </w:numPr>
              <w:contextualSpacing/>
              <w:jc w:val="both"/>
              <w:rPr>
                <w:rFonts w:ascii="Times New Roman" w:eastAsia="Calibri" w:hAnsi="Times New Roman"/>
                <w:sz w:val="24"/>
                <w:szCs w:val="24"/>
              </w:rPr>
            </w:pPr>
          </w:p>
        </w:tc>
        <w:tc>
          <w:tcPr>
            <w:tcW w:w="4707" w:type="pct"/>
          </w:tcPr>
          <w:p w:rsidR="00540D4B" w:rsidRPr="00540D4B" w:rsidRDefault="00540D4B" w:rsidP="00540D4B">
            <w:pPr>
              <w:contextualSpacing/>
              <w:jc w:val="both"/>
              <w:rPr>
                <w:rFonts w:ascii="Times New Roman" w:eastAsia="Calibri" w:hAnsi="Times New Roman"/>
                <w:sz w:val="24"/>
                <w:szCs w:val="24"/>
              </w:rPr>
            </w:pPr>
            <w:r w:rsidRPr="00540D4B">
              <w:rPr>
                <w:rFonts w:ascii="Times New Roman" w:eastAsia="Calibri" w:hAnsi="Times New Roman"/>
                <w:sz w:val="24"/>
                <w:szCs w:val="24"/>
              </w:rPr>
              <w:t>Иванов Н.А. Территориальный маркетинг как источник повышения экономической привлекательности региона / Н.А. Иванов // Экономическая теория. – С. 17-23.</w:t>
            </w:r>
          </w:p>
        </w:tc>
      </w:tr>
      <w:tr w:rsidR="00540D4B" w:rsidRPr="00540D4B" w:rsidTr="00BB1D7C">
        <w:trPr>
          <w:jc w:val="center"/>
        </w:trPr>
        <w:tc>
          <w:tcPr>
            <w:tcW w:w="293" w:type="pct"/>
          </w:tcPr>
          <w:p w:rsidR="00540D4B" w:rsidRPr="00540D4B" w:rsidRDefault="00540D4B" w:rsidP="00540D4B">
            <w:pPr>
              <w:widowControl w:val="0"/>
              <w:numPr>
                <w:ilvl w:val="0"/>
                <w:numId w:val="1"/>
              </w:numPr>
              <w:contextualSpacing/>
              <w:jc w:val="both"/>
              <w:rPr>
                <w:rFonts w:ascii="Times New Roman" w:eastAsia="Calibri" w:hAnsi="Times New Roman"/>
                <w:sz w:val="24"/>
                <w:szCs w:val="24"/>
              </w:rPr>
            </w:pPr>
          </w:p>
        </w:tc>
        <w:tc>
          <w:tcPr>
            <w:tcW w:w="4707" w:type="pct"/>
          </w:tcPr>
          <w:p w:rsidR="00540D4B" w:rsidRPr="00540D4B" w:rsidRDefault="00540D4B" w:rsidP="00540D4B">
            <w:pPr>
              <w:contextualSpacing/>
              <w:jc w:val="both"/>
              <w:rPr>
                <w:rFonts w:ascii="Times New Roman" w:eastAsia="Calibri" w:hAnsi="Times New Roman"/>
                <w:sz w:val="24"/>
                <w:szCs w:val="24"/>
              </w:rPr>
            </w:pPr>
            <w:r w:rsidRPr="00540D4B">
              <w:rPr>
                <w:rFonts w:ascii="Times New Roman" w:eastAsia="Calibri" w:hAnsi="Times New Roman"/>
                <w:sz w:val="24"/>
                <w:szCs w:val="24"/>
              </w:rPr>
              <w:t>Кочагин Е.А. Маркетинг территорий / Е.А. Кочагин, А.Ю. Мартынова // Ульяновск: УлГТУ. – 2014. – 127 с.</w:t>
            </w:r>
          </w:p>
        </w:tc>
      </w:tr>
      <w:tr w:rsidR="00540D4B" w:rsidRPr="00540D4B" w:rsidTr="00BB1D7C">
        <w:trPr>
          <w:jc w:val="center"/>
        </w:trPr>
        <w:tc>
          <w:tcPr>
            <w:tcW w:w="293" w:type="pct"/>
          </w:tcPr>
          <w:p w:rsidR="00540D4B" w:rsidRPr="00540D4B" w:rsidRDefault="00540D4B" w:rsidP="00540D4B">
            <w:pPr>
              <w:widowControl w:val="0"/>
              <w:numPr>
                <w:ilvl w:val="0"/>
                <w:numId w:val="1"/>
              </w:numPr>
              <w:contextualSpacing/>
              <w:jc w:val="both"/>
              <w:rPr>
                <w:rFonts w:ascii="Times New Roman" w:eastAsia="Calibri" w:hAnsi="Times New Roman"/>
                <w:sz w:val="24"/>
                <w:szCs w:val="24"/>
              </w:rPr>
            </w:pPr>
          </w:p>
        </w:tc>
        <w:tc>
          <w:tcPr>
            <w:tcW w:w="4707" w:type="pct"/>
          </w:tcPr>
          <w:p w:rsidR="00540D4B" w:rsidRPr="00540D4B" w:rsidRDefault="00540D4B" w:rsidP="00540D4B">
            <w:pPr>
              <w:contextualSpacing/>
              <w:jc w:val="both"/>
              <w:rPr>
                <w:rFonts w:ascii="Times New Roman" w:eastAsia="Calibri" w:hAnsi="Times New Roman"/>
                <w:sz w:val="24"/>
                <w:szCs w:val="24"/>
              </w:rPr>
            </w:pPr>
            <w:r w:rsidRPr="00540D4B">
              <w:rPr>
                <w:rFonts w:ascii="Times New Roman" w:eastAsia="Calibri" w:hAnsi="Times New Roman"/>
                <w:sz w:val="24"/>
                <w:szCs w:val="24"/>
              </w:rPr>
              <w:t>Кудрявцева И.В. Маркетинг территории как концепция развития территориальных единиц в условиях креативной экономики / И.В. Кудрявцева, О.М. Калиева // Вестник ОГУ, № 13 (149). – 2012. – С. 198-201.</w:t>
            </w:r>
          </w:p>
        </w:tc>
      </w:tr>
      <w:tr w:rsidR="00540D4B" w:rsidRPr="00540D4B" w:rsidTr="00BB1D7C">
        <w:trPr>
          <w:jc w:val="center"/>
        </w:trPr>
        <w:tc>
          <w:tcPr>
            <w:tcW w:w="293" w:type="pct"/>
          </w:tcPr>
          <w:p w:rsidR="00540D4B" w:rsidRPr="00540D4B" w:rsidRDefault="00540D4B" w:rsidP="00540D4B">
            <w:pPr>
              <w:widowControl w:val="0"/>
              <w:numPr>
                <w:ilvl w:val="0"/>
                <w:numId w:val="1"/>
              </w:numPr>
              <w:contextualSpacing/>
              <w:jc w:val="both"/>
              <w:rPr>
                <w:rFonts w:ascii="Times New Roman" w:eastAsia="Calibri" w:hAnsi="Times New Roman"/>
                <w:sz w:val="24"/>
                <w:szCs w:val="24"/>
              </w:rPr>
            </w:pPr>
          </w:p>
        </w:tc>
        <w:tc>
          <w:tcPr>
            <w:tcW w:w="4707" w:type="pct"/>
          </w:tcPr>
          <w:p w:rsidR="00540D4B" w:rsidRPr="00540D4B" w:rsidRDefault="00540D4B" w:rsidP="00540D4B">
            <w:pPr>
              <w:contextualSpacing/>
              <w:jc w:val="both"/>
              <w:rPr>
                <w:rFonts w:ascii="Times New Roman" w:eastAsia="Calibri" w:hAnsi="Times New Roman"/>
                <w:sz w:val="24"/>
                <w:szCs w:val="24"/>
              </w:rPr>
            </w:pPr>
            <w:r w:rsidRPr="00540D4B">
              <w:rPr>
                <w:rFonts w:ascii="Times New Roman" w:eastAsia="Calibri" w:hAnsi="Times New Roman"/>
                <w:sz w:val="24"/>
                <w:szCs w:val="24"/>
              </w:rPr>
              <w:t>Пфайфер М.Р. Маркетинг территорий как современная концепция управления развитием муниципальных образований / М.Р. Пфайфер // ΠΡΑΞΗΜΑ. - № 3 (5). -  2015. – С. 123-128.</w:t>
            </w:r>
          </w:p>
        </w:tc>
      </w:tr>
    </w:tbl>
    <w:p w:rsidR="00DA6D04" w:rsidRDefault="00DA6D04">
      <w:bookmarkStart w:id="2" w:name="_GoBack"/>
      <w:bookmarkEnd w:id="2"/>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102C1"/>
    <w:multiLevelType w:val="hybridMultilevel"/>
    <w:tmpl w:val="88DAB07C"/>
    <w:lvl w:ilvl="0" w:tplc="C0DEA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95B138B"/>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4B"/>
    <w:rsid w:val="00540D4B"/>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745F3-0606-4763-A089-4B9638F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0D4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2634</Words>
  <Characters>15015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2018-09-22T06:16:00Z</dcterms:created>
  <dcterms:modified xsi:type="dcterms:W3CDTF">2018-09-22T06:16:00Z</dcterms:modified>
</cp:coreProperties>
</file>