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gridCol w:w="5160"/>
      </w:tblGrid>
      <w:tr w:rsidR="00CF1AAA" w:rsidRPr="00CF1AAA" w:rsidTr="00BB1D7C">
        <w:trPr>
          <w:jc w:val="center"/>
        </w:trPr>
        <w:tc>
          <w:tcPr>
            <w:tcW w:w="2153" w:type="pct"/>
          </w:tcPr>
          <w:p w:rsidR="00CF1AAA" w:rsidRPr="00CF1AAA" w:rsidRDefault="00CF1AAA" w:rsidP="00CF1AAA">
            <w:pPr>
              <w:widowControl w:val="0"/>
              <w:rPr>
                <w:rFonts w:ascii="Times New Roman" w:hAnsi="Times New Roman"/>
                <w:b/>
                <w:sz w:val="28"/>
                <w:szCs w:val="28"/>
              </w:rPr>
            </w:pPr>
            <w:r w:rsidRPr="00CF1AAA">
              <w:rPr>
                <w:rFonts w:ascii="Times New Roman" w:hAnsi="Times New Roman"/>
                <w:b/>
                <w:sz w:val="28"/>
                <w:szCs w:val="28"/>
              </w:rPr>
              <w:t>УДК 629.01:338.47(477.62)</w:t>
            </w:r>
          </w:p>
        </w:tc>
        <w:tc>
          <w:tcPr>
            <w:tcW w:w="2648" w:type="pct"/>
            <w:tcMar>
              <w:left w:w="0" w:type="dxa"/>
              <w:right w:w="0" w:type="dxa"/>
            </w:tcMar>
          </w:tcPr>
          <w:p w:rsidR="00CF1AAA" w:rsidRPr="00CF1AAA" w:rsidRDefault="00CF1AAA" w:rsidP="00CF1AAA">
            <w:pPr>
              <w:widowControl w:val="0"/>
              <w:shd w:val="clear" w:color="auto" w:fill="FFFFFF"/>
              <w:rPr>
                <w:rFonts w:ascii="Times New Roman" w:hAnsi="Times New Roman"/>
                <w:sz w:val="28"/>
                <w:szCs w:val="28"/>
              </w:rPr>
            </w:pPr>
          </w:p>
        </w:tc>
      </w:tr>
      <w:tr w:rsidR="00CF1AAA" w:rsidRPr="00CF1AAA" w:rsidTr="00BB1D7C">
        <w:trPr>
          <w:jc w:val="center"/>
        </w:trPr>
        <w:tc>
          <w:tcPr>
            <w:tcW w:w="2153" w:type="pct"/>
          </w:tcPr>
          <w:p w:rsidR="00CF1AAA" w:rsidRPr="00CF1AAA" w:rsidRDefault="00CF1AAA" w:rsidP="00CF1AAA">
            <w:pPr>
              <w:keepNext/>
              <w:keepLines/>
              <w:ind w:hanging="28"/>
              <w:jc w:val="center"/>
              <w:outlineLvl w:val="0"/>
              <w:rPr>
                <w:rFonts w:ascii="Times New Roman" w:hAnsi="Times New Roman"/>
                <w:b/>
                <w:bCs/>
                <w:caps/>
                <w:sz w:val="28"/>
                <w:szCs w:val="28"/>
                <w:shd w:val="clear" w:color="auto" w:fill="FFFFFF"/>
              </w:rPr>
            </w:pPr>
          </w:p>
        </w:tc>
        <w:tc>
          <w:tcPr>
            <w:tcW w:w="2648" w:type="pct"/>
          </w:tcPr>
          <w:p w:rsidR="00CF1AAA" w:rsidRPr="00CF1AAA" w:rsidRDefault="00CF1AAA" w:rsidP="00CF1AAA">
            <w:pPr>
              <w:jc w:val="both"/>
              <w:rPr>
                <w:rFonts w:ascii="Times New Roman" w:hAnsi="Times New Roman"/>
                <w:sz w:val="28"/>
                <w:szCs w:val="24"/>
              </w:rPr>
            </w:pPr>
            <w:bookmarkStart w:id="0" w:name="_Toc518846448"/>
            <w:r w:rsidRPr="00CF1AAA">
              <w:rPr>
                <w:rFonts w:ascii="Times New Roman" w:hAnsi="Times New Roman"/>
                <w:b/>
                <w:bCs/>
                <w:sz w:val="28"/>
                <w:szCs w:val="28"/>
              </w:rPr>
              <w:t>Л.В. Кравцова,</w:t>
            </w:r>
            <w:bookmarkEnd w:id="0"/>
            <w:r w:rsidRPr="00CF1AAA">
              <w:rPr>
                <w:rFonts w:ascii="Times New Roman" w:hAnsi="Times New Roman"/>
                <w:sz w:val="28"/>
                <w:szCs w:val="24"/>
              </w:rPr>
              <w:t xml:space="preserve"> </w:t>
            </w:r>
            <w:r w:rsidRPr="00CF1AAA">
              <w:rPr>
                <w:rFonts w:ascii="Times New Roman" w:hAnsi="Times New Roman"/>
                <w:i/>
                <w:sz w:val="28"/>
                <w:szCs w:val="24"/>
                <w:shd w:val="clear" w:color="auto" w:fill="FFFFFF"/>
              </w:rPr>
              <w:t>к.э.н., доц.</w:t>
            </w:r>
          </w:p>
          <w:p w:rsidR="00CF1AAA" w:rsidRPr="00CF1AAA" w:rsidRDefault="00CF1AAA" w:rsidP="00CF1AAA">
            <w:pPr>
              <w:numPr>
                <w:ilvl w:val="1"/>
                <w:numId w:val="0"/>
              </w:numPr>
              <w:tabs>
                <w:tab w:val="left" w:pos="709"/>
              </w:tabs>
              <w:suppressAutoHyphens/>
              <w:ind w:firstLine="709"/>
              <w:outlineLvl w:val="1"/>
              <w:rPr>
                <w:rFonts w:ascii="Times New Roman" w:hAnsi="Times New Roman"/>
                <w:b/>
                <w:bCs/>
                <w:sz w:val="28"/>
                <w:szCs w:val="28"/>
              </w:rPr>
            </w:pPr>
            <w:bookmarkStart w:id="1" w:name="_Toc518846449"/>
            <w:r w:rsidRPr="00CF1AAA">
              <w:rPr>
                <w:rFonts w:ascii="Times New Roman" w:hAnsi="Times New Roman"/>
                <w:b/>
                <w:bCs/>
                <w:sz w:val="28"/>
                <w:szCs w:val="28"/>
              </w:rPr>
              <w:t>В.А. Сильченко</w:t>
            </w:r>
            <w:bookmarkEnd w:id="1"/>
          </w:p>
          <w:p w:rsidR="00CF1AAA" w:rsidRPr="00CF1AAA" w:rsidRDefault="00CF1AAA" w:rsidP="00CF1AAA">
            <w:pPr>
              <w:shd w:val="clear" w:color="auto" w:fill="FFFFFF"/>
              <w:rPr>
                <w:rFonts w:ascii="Times New Roman" w:hAnsi="Times New Roman"/>
                <w:bCs/>
                <w:i/>
                <w:sz w:val="28"/>
                <w:szCs w:val="28"/>
              </w:rPr>
            </w:pPr>
            <w:r w:rsidRPr="00CF1AAA">
              <w:rPr>
                <w:rFonts w:ascii="Times New Roman" w:hAnsi="Times New Roman"/>
                <w:bCs/>
                <w:i/>
                <w:sz w:val="28"/>
                <w:szCs w:val="28"/>
              </w:rPr>
              <w:t xml:space="preserve">ГОУВПО «Донецкий национальный </w:t>
            </w:r>
          </w:p>
          <w:p w:rsidR="00CF1AAA" w:rsidRPr="00CF1AAA" w:rsidRDefault="00CF1AAA" w:rsidP="00CF1AAA">
            <w:pPr>
              <w:shd w:val="clear" w:color="auto" w:fill="FFFFFF"/>
              <w:rPr>
                <w:rFonts w:ascii="Times New Roman" w:hAnsi="Times New Roman"/>
                <w:bCs/>
                <w:i/>
                <w:sz w:val="28"/>
                <w:szCs w:val="28"/>
              </w:rPr>
            </w:pPr>
            <w:r w:rsidRPr="00CF1AAA">
              <w:rPr>
                <w:rFonts w:ascii="Times New Roman" w:hAnsi="Times New Roman"/>
                <w:bCs/>
                <w:i/>
                <w:sz w:val="28"/>
                <w:szCs w:val="28"/>
              </w:rPr>
              <w:t>технический университет»,</w:t>
            </w:r>
          </w:p>
          <w:p w:rsidR="00CF1AAA" w:rsidRPr="00CF1AAA" w:rsidRDefault="00CF1AAA" w:rsidP="00CF1AAA">
            <w:pPr>
              <w:jc w:val="both"/>
              <w:rPr>
                <w:rFonts w:ascii="Times New Roman" w:hAnsi="Times New Roman"/>
                <w:i/>
                <w:sz w:val="28"/>
                <w:szCs w:val="24"/>
              </w:rPr>
            </w:pPr>
            <w:r w:rsidRPr="00CF1AAA">
              <w:rPr>
                <w:rFonts w:ascii="Times New Roman" w:hAnsi="Times New Roman"/>
                <w:bCs/>
                <w:i/>
                <w:sz w:val="28"/>
                <w:szCs w:val="28"/>
              </w:rPr>
              <w:t xml:space="preserve">Донецк, </w:t>
            </w:r>
            <w:r w:rsidRPr="00CF1AAA">
              <w:rPr>
                <w:rFonts w:ascii="Times New Roman" w:hAnsi="Times New Roman"/>
                <w:i/>
                <w:sz w:val="28"/>
                <w:szCs w:val="28"/>
              </w:rPr>
              <w:t>Донецкая Народная Республика</w:t>
            </w:r>
          </w:p>
          <w:p w:rsidR="00CF1AAA" w:rsidRPr="00CF1AAA" w:rsidRDefault="00CF1AAA" w:rsidP="00CF1AAA">
            <w:pPr>
              <w:shd w:val="clear" w:color="auto" w:fill="FFFFFF"/>
              <w:rPr>
                <w:rFonts w:ascii="Times New Roman" w:hAnsi="Times New Roman"/>
                <w:b/>
                <w:bCs/>
                <w:i/>
                <w:sz w:val="28"/>
                <w:szCs w:val="28"/>
                <w:lang w:val="en-US"/>
              </w:rPr>
            </w:pPr>
            <w:r w:rsidRPr="00CF1AAA">
              <w:rPr>
                <w:rFonts w:ascii="Times New Roman" w:hAnsi="Times New Roman"/>
                <w:b/>
                <w:bCs/>
                <w:i/>
                <w:sz w:val="28"/>
                <w:szCs w:val="28"/>
                <w:lang w:val="en-US"/>
              </w:rPr>
              <w:t>L.V. Kravtsova,  V.A. Silchenko</w:t>
            </w:r>
          </w:p>
          <w:p w:rsidR="00CF1AAA" w:rsidRPr="00CF1AAA" w:rsidRDefault="00CF1AAA" w:rsidP="00CF1AAA">
            <w:pPr>
              <w:shd w:val="clear" w:color="auto" w:fill="FFFFFF"/>
              <w:rPr>
                <w:rFonts w:ascii="Times New Roman" w:hAnsi="Times New Roman"/>
                <w:bCs/>
                <w:i/>
                <w:sz w:val="28"/>
                <w:szCs w:val="28"/>
                <w:lang w:val="en-US"/>
              </w:rPr>
            </w:pPr>
            <w:r w:rsidRPr="00CF1AAA">
              <w:rPr>
                <w:rFonts w:ascii="Times New Roman" w:hAnsi="Times New Roman"/>
                <w:bCs/>
                <w:i/>
                <w:sz w:val="28"/>
                <w:szCs w:val="28"/>
                <w:lang w:val="en-US"/>
              </w:rPr>
              <w:t>Donetsk National Technical University,</w:t>
            </w:r>
          </w:p>
          <w:p w:rsidR="00CF1AAA" w:rsidRPr="00CF1AAA" w:rsidRDefault="00CF1AAA" w:rsidP="00CF1AAA">
            <w:pPr>
              <w:shd w:val="clear" w:color="auto" w:fill="FFFFFF"/>
              <w:rPr>
                <w:rFonts w:ascii="Times New Roman" w:hAnsi="Times New Roman"/>
                <w:sz w:val="28"/>
                <w:szCs w:val="24"/>
                <w:lang w:val="en-US"/>
              </w:rPr>
            </w:pPr>
            <w:r w:rsidRPr="00CF1AAA">
              <w:rPr>
                <w:rFonts w:ascii="Times New Roman" w:hAnsi="Times New Roman"/>
                <w:bCs/>
                <w:i/>
                <w:sz w:val="28"/>
                <w:szCs w:val="28"/>
                <w:lang w:val="en-US"/>
              </w:rPr>
              <w:t xml:space="preserve">Donetsk, </w:t>
            </w:r>
            <w:r w:rsidRPr="00CF1AAA">
              <w:rPr>
                <w:rFonts w:ascii="Times New Roman" w:hAnsi="Times New Roman"/>
                <w:i/>
                <w:sz w:val="28"/>
                <w:szCs w:val="28"/>
                <w:lang w:val="en-US"/>
              </w:rPr>
              <w:t>Donetsk People's Republic</w:t>
            </w:r>
          </w:p>
        </w:tc>
      </w:tr>
      <w:tr w:rsidR="00CF1AAA" w:rsidRPr="00CF1AAA" w:rsidTr="00BB1D7C">
        <w:trPr>
          <w:jc w:val="center"/>
        </w:trPr>
        <w:tc>
          <w:tcPr>
            <w:tcW w:w="4801" w:type="pct"/>
            <w:gridSpan w:val="2"/>
          </w:tcPr>
          <w:p w:rsidR="00CF1AAA" w:rsidRPr="00CF1AAA" w:rsidRDefault="00CF1AAA" w:rsidP="00CF1AAA">
            <w:pPr>
              <w:keepNext/>
              <w:keepLines/>
              <w:ind w:hanging="28"/>
              <w:jc w:val="center"/>
              <w:outlineLvl w:val="0"/>
              <w:rPr>
                <w:rFonts w:ascii="Times New Roman" w:hAnsi="Times New Roman"/>
                <w:b/>
                <w:bCs/>
                <w:caps/>
                <w:sz w:val="28"/>
                <w:szCs w:val="28"/>
                <w:shd w:val="clear" w:color="auto" w:fill="FFFFFF"/>
                <w:lang w:val="en-US"/>
              </w:rPr>
            </w:pPr>
          </w:p>
        </w:tc>
      </w:tr>
      <w:tr w:rsidR="00CF1AAA" w:rsidRPr="00CF1AAA" w:rsidTr="00BB1D7C">
        <w:trPr>
          <w:jc w:val="center"/>
        </w:trPr>
        <w:tc>
          <w:tcPr>
            <w:tcW w:w="4801" w:type="pct"/>
            <w:gridSpan w:val="2"/>
          </w:tcPr>
          <w:p w:rsidR="00CF1AAA" w:rsidRPr="00CF1AAA" w:rsidRDefault="00CF1AAA" w:rsidP="00CF1AAA">
            <w:pPr>
              <w:keepNext/>
              <w:keepLines/>
              <w:ind w:hanging="28"/>
              <w:jc w:val="center"/>
              <w:outlineLvl w:val="0"/>
              <w:rPr>
                <w:rFonts w:ascii="Times New Roman" w:hAnsi="Times New Roman"/>
                <w:b/>
                <w:bCs/>
                <w:caps/>
                <w:sz w:val="28"/>
                <w:szCs w:val="28"/>
                <w:shd w:val="clear" w:color="auto" w:fill="FFFFFF"/>
              </w:rPr>
            </w:pPr>
            <w:bookmarkStart w:id="2" w:name="_Toc518846450"/>
            <w:r w:rsidRPr="00CF1AAA">
              <w:rPr>
                <w:rFonts w:ascii="Times New Roman" w:hAnsi="Times New Roman"/>
                <w:b/>
                <w:bCs/>
                <w:caps/>
                <w:sz w:val="28"/>
                <w:szCs w:val="28"/>
                <w:shd w:val="clear" w:color="auto" w:fill="FFFFFF"/>
              </w:rPr>
              <w:t>ТРАНСПОРТ КАК РЕСУРС ЭКОНОМИЧЕСКОГО РАЗВИТИЯ</w:t>
            </w:r>
            <w:bookmarkEnd w:id="2"/>
            <w:r w:rsidRPr="00CF1AAA">
              <w:rPr>
                <w:rFonts w:ascii="Times New Roman" w:hAnsi="Times New Roman"/>
                <w:b/>
                <w:bCs/>
                <w:caps/>
                <w:sz w:val="28"/>
                <w:szCs w:val="28"/>
                <w:shd w:val="clear" w:color="auto" w:fill="FFFFFF"/>
              </w:rPr>
              <w:t xml:space="preserve"> </w:t>
            </w:r>
          </w:p>
          <w:p w:rsidR="00CF1AAA" w:rsidRPr="00CF1AAA" w:rsidRDefault="00CF1AAA" w:rsidP="00CF1AAA">
            <w:pPr>
              <w:keepNext/>
              <w:keepLines/>
              <w:ind w:hanging="28"/>
              <w:jc w:val="center"/>
              <w:outlineLvl w:val="0"/>
              <w:rPr>
                <w:rFonts w:ascii="Times New Roman" w:hAnsi="Times New Roman"/>
                <w:b/>
                <w:bCs/>
                <w:caps/>
                <w:sz w:val="28"/>
                <w:szCs w:val="28"/>
                <w:shd w:val="clear" w:color="auto" w:fill="FFFFFF"/>
              </w:rPr>
            </w:pPr>
            <w:bookmarkStart w:id="3" w:name="_Toc518846451"/>
            <w:r w:rsidRPr="00CF1AAA">
              <w:rPr>
                <w:rFonts w:ascii="Times New Roman" w:hAnsi="Times New Roman"/>
                <w:b/>
                <w:bCs/>
                <w:caps/>
                <w:sz w:val="28"/>
                <w:szCs w:val="28"/>
                <w:shd w:val="clear" w:color="auto" w:fill="FFFFFF"/>
              </w:rPr>
              <w:t>ДОНЕЦКОЙ НАРОДНОЙ РЕСПУБЛИКИ</w:t>
            </w:r>
            <w:bookmarkEnd w:id="3"/>
          </w:p>
        </w:tc>
      </w:tr>
      <w:tr w:rsidR="00CF1AAA" w:rsidRPr="00CF1AAA" w:rsidTr="00BB1D7C">
        <w:trPr>
          <w:jc w:val="center"/>
        </w:trPr>
        <w:tc>
          <w:tcPr>
            <w:tcW w:w="4801" w:type="pct"/>
            <w:gridSpan w:val="2"/>
          </w:tcPr>
          <w:p w:rsidR="00CF1AAA" w:rsidRPr="00CF1AAA" w:rsidRDefault="00CF1AAA" w:rsidP="00CF1AAA">
            <w:pPr>
              <w:jc w:val="both"/>
              <w:rPr>
                <w:rFonts w:ascii="Times New Roman" w:hAnsi="Times New Roman"/>
                <w:sz w:val="28"/>
                <w:szCs w:val="24"/>
              </w:rPr>
            </w:pPr>
          </w:p>
        </w:tc>
      </w:tr>
      <w:tr w:rsidR="00CF1AAA" w:rsidRPr="00CF1AAA" w:rsidTr="00BB1D7C">
        <w:trPr>
          <w:jc w:val="center"/>
        </w:trPr>
        <w:tc>
          <w:tcPr>
            <w:tcW w:w="4801" w:type="pct"/>
            <w:gridSpan w:val="2"/>
          </w:tcPr>
          <w:p w:rsidR="00CF1AAA" w:rsidRPr="00CF1AAA" w:rsidRDefault="00CF1AAA" w:rsidP="00CF1AAA">
            <w:pPr>
              <w:shd w:val="clear" w:color="auto" w:fill="FFFFFF"/>
              <w:ind w:firstLine="709"/>
              <w:jc w:val="center"/>
              <w:rPr>
                <w:rFonts w:ascii="Times New Roman" w:hAnsi="Times New Roman"/>
                <w:b/>
                <w:sz w:val="28"/>
                <w:szCs w:val="28"/>
                <w:lang w:val="en-US"/>
              </w:rPr>
            </w:pPr>
            <w:r w:rsidRPr="00CF1AAA">
              <w:rPr>
                <w:rFonts w:ascii="Times New Roman" w:hAnsi="Times New Roman"/>
                <w:b/>
                <w:sz w:val="28"/>
                <w:szCs w:val="28"/>
                <w:lang w:val="en-US"/>
              </w:rPr>
              <w:t xml:space="preserve">TRANSPORT AS AN ECONOMIC DEVELOPMENT RESOURCE </w:t>
            </w:r>
          </w:p>
          <w:p w:rsidR="00CF1AAA" w:rsidRPr="00CF1AAA" w:rsidRDefault="00CF1AAA" w:rsidP="00CF1AAA">
            <w:pPr>
              <w:shd w:val="clear" w:color="auto" w:fill="FFFFFF"/>
              <w:ind w:firstLine="709"/>
              <w:jc w:val="center"/>
              <w:rPr>
                <w:rFonts w:ascii="Times New Roman" w:hAnsi="Times New Roman"/>
                <w:b/>
                <w:sz w:val="28"/>
                <w:szCs w:val="28"/>
                <w:lang w:val="en-US"/>
              </w:rPr>
            </w:pPr>
            <w:r w:rsidRPr="00CF1AAA">
              <w:rPr>
                <w:rFonts w:ascii="Times New Roman" w:hAnsi="Times New Roman"/>
                <w:b/>
                <w:sz w:val="28"/>
                <w:szCs w:val="28"/>
              </w:rPr>
              <w:t>DONETSK PEOPLE REPUBLIC</w:t>
            </w:r>
          </w:p>
        </w:tc>
      </w:tr>
    </w:tbl>
    <w:p w:rsidR="00CF1AAA" w:rsidRPr="00CF1AAA" w:rsidRDefault="00CF1AAA" w:rsidP="00CF1AAA">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CF1AAA" w:rsidRPr="00CF1AAA" w:rsidRDefault="00CF1AAA" w:rsidP="00CF1AAA">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CF1AAA">
        <w:rPr>
          <w:rFonts w:ascii="Times New Roman" w:eastAsia="Times New Roman" w:hAnsi="Times New Roman" w:cs="Times New Roman"/>
          <w:i/>
          <w:sz w:val="24"/>
          <w:szCs w:val="24"/>
          <w:lang w:eastAsia="ru-RU"/>
        </w:rPr>
        <w:t xml:space="preserve">Аннотация. В статье сделан анализ транспортного потенциала Донецкой Народной Республики. Выделены недостатки, которые препятствуют его дальнейшему развитию. Определены основные пути решения проблем транспортной отрасли для дальнейшего экономического развития республики. </w:t>
      </w:r>
    </w:p>
    <w:p w:rsidR="00CF1AAA" w:rsidRPr="00CF1AAA" w:rsidRDefault="00CF1AAA" w:rsidP="00CF1AAA">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r w:rsidRPr="00CF1AAA">
        <w:rPr>
          <w:rFonts w:ascii="Times New Roman" w:eastAsia="Times New Roman" w:hAnsi="Times New Roman" w:cs="Times New Roman"/>
          <w:i/>
          <w:iCs/>
          <w:sz w:val="24"/>
          <w:szCs w:val="24"/>
          <w:lang w:eastAsia="ru-RU"/>
        </w:rPr>
        <w:t>Ключевые слова: транспорт, инфраструктура, экономика, развитие.</w:t>
      </w:r>
    </w:p>
    <w:p w:rsidR="00CF1AAA" w:rsidRPr="00CF1AAA" w:rsidRDefault="00CF1AAA" w:rsidP="00CF1AAA">
      <w:pPr>
        <w:shd w:val="clear" w:color="auto" w:fill="FFFFFF"/>
        <w:spacing w:after="0" w:line="240" w:lineRule="auto"/>
        <w:ind w:firstLine="709"/>
        <w:jc w:val="both"/>
        <w:rPr>
          <w:rFonts w:ascii="Times New Roman" w:eastAsia="Times New Roman" w:hAnsi="Times New Roman" w:cs="Times New Roman"/>
          <w:i/>
          <w:iCs/>
          <w:sz w:val="28"/>
          <w:szCs w:val="24"/>
          <w:lang w:eastAsia="ru-RU"/>
        </w:rPr>
      </w:pPr>
    </w:p>
    <w:p w:rsidR="00CF1AAA" w:rsidRPr="00CF1AAA" w:rsidRDefault="00CF1AAA" w:rsidP="00CF1AAA">
      <w:pPr>
        <w:shd w:val="clear" w:color="auto" w:fill="FFFFFF"/>
        <w:spacing w:after="0" w:line="240" w:lineRule="auto"/>
        <w:ind w:firstLine="709"/>
        <w:jc w:val="both"/>
        <w:rPr>
          <w:rFonts w:ascii="Times New Roman" w:eastAsia="Times New Roman" w:hAnsi="Times New Roman" w:cs="Times New Roman"/>
          <w:i/>
          <w:sz w:val="24"/>
          <w:szCs w:val="24"/>
          <w:lang w:val="en-US" w:eastAsia="ru-RU"/>
        </w:rPr>
      </w:pPr>
      <w:r w:rsidRPr="00CF1AAA">
        <w:rPr>
          <w:rFonts w:ascii="Times New Roman" w:eastAsia="Times New Roman" w:hAnsi="Times New Roman" w:cs="Times New Roman"/>
          <w:i/>
          <w:sz w:val="24"/>
          <w:szCs w:val="24"/>
          <w:lang w:val="en-US" w:eastAsia="ru-RU"/>
        </w:rPr>
        <w:t xml:space="preserve">Abstract. The article analyzes the transport potential of the Donetsk people's Republic. The drawbacks that hinder its further development are highlighted. The main ways of solving the problems of the transport industry for the further economic development of the Republic are determined. </w:t>
      </w:r>
    </w:p>
    <w:p w:rsidR="00CF1AAA" w:rsidRPr="00CF1AAA" w:rsidRDefault="00CF1AAA" w:rsidP="00CF1AAA">
      <w:pPr>
        <w:shd w:val="clear" w:color="auto" w:fill="FFFFFF"/>
        <w:spacing w:after="0" w:line="240" w:lineRule="auto"/>
        <w:ind w:firstLine="709"/>
        <w:jc w:val="both"/>
        <w:rPr>
          <w:rFonts w:ascii="Times New Roman" w:eastAsia="Times New Roman" w:hAnsi="Times New Roman" w:cs="Times New Roman"/>
          <w:i/>
          <w:sz w:val="24"/>
          <w:szCs w:val="24"/>
          <w:lang w:val="en-US" w:eastAsia="ru-RU"/>
        </w:rPr>
      </w:pPr>
      <w:r w:rsidRPr="00CF1AAA">
        <w:rPr>
          <w:rFonts w:ascii="Times New Roman" w:eastAsia="Times New Roman" w:hAnsi="Times New Roman" w:cs="Times New Roman"/>
          <w:i/>
          <w:sz w:val="24"/>
          <w:szCs w:val="24"/>
          <w:lang w:val="en-US" w:eastAsia="ru-RU"/>
        </w:rPr>
        <w:t>Keywords: transport, infrastructure, economy, development.</w:t>
      </w:r>
    </w:p>
    <w:p w:rsidR="00CF1AAA" w:rsidRPr="00CF1AAA" w:rsidRDefault="00CF1AAA" w:rsidP="00CF1AAA">
      <w:pPr>
        <w:shd w:val="clear" w:color="auto" w:fill="FFFFFF"/>
        <w:spacing w:after="0" w:line="240" w:lineRule="auto"/>
        <w:ind w:firstLine="709"/>
        <w:jc w:val="both"/>
        <w:rPr>
          <w:rFonts w:ascii="Times New Roman" w:eastAsia="Times New Roman" w:hAnsi="Times New Roman" w:cs="Times New Roman"/>
          <w:i/>
          <w:sz w:val="28"/>
          <w:szCs w:val="28"/>
          <w:lang w:val="en-US" w:eastAsia="ru-RU"/>
        </w:rPr>
      </w:pPr>
    </w:p>
    <w:p w:rsidR="00CF1AAA" w:rsidRPr="00CF1AAA" w:rsidRDefault="00CF1AAA" w:rsidP="00CF1AA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F1AAA">
        <w:rPr>
          <w:rFonts w:ascii="Times New Roman" w:eastAsia="Times New Roman" w:hAnsi="Times New Roman" w:cs="Times New Roman"/>
          <w:b/>
          <w:spacing w:val="-6"/>
          <w:sz w:val="28"/>
          <w:szCs w:val="28"/>
          <w:lang w:eastAsia="ru-RU"/>
        </w:rPr>
        <w:t>Постановка проблемы.</w:t>
      </w:r>
      <w:r w:rsidRPr="00CF1AAA">
        <w:rPr>
          <w:rFonts w:ascii="Times New Roman" w:eastAsia="Times New Roman" w:hAnsi="Times New Roman" w:cs="Times New Roman"/>
          <w:spacing w:val="-6"/>
          <w:sz w:val="28"/>
          <w:szCs w:val="28"/>
          <w:lang w:eastAsia="ru-RU"/>
        </w:rPr>
        <w:t xml:space="preserve"> </w:t>
      </w:r>
      <w:r w:rsidRPr="00CF1AAA">
        <w:rPr>
          <w:rFonts w:ascii="Times New Roman" w:eastAsia="Times New Roman" w:hAnsi="Times New Roman" w:cs="Times New Roman"/>
          <w:sz w:val="28"/>
          <w:szCs w:val="28"/>
          <w:lang w:eastAsia="ru-RU"/>
        </w:rPr>
        <w:t>Среди наиболее значимых задач, стоящих перед Донецкой Народной Республикой, особое место занимает развитие транспортной инфраструктуры. Несмотря на проблемы, связанные с продолжением вооруженного конфликта в Донбассе, предприятия транспортной отрасли продолжают работать, обеспечивая рост объемов грузоперевозок и перевозки пассажиров.</w:t>
      </w:r>
    </w:p>
    <w:p w:rsidR="00CF1AAA" w:rsidRPr="00CF1AAA" w:rsidRDefault="00CF1AAA" w:rsidP="00CF1AA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F1AAA">
        <w:rPr>
          <w:rFonts w:ascii="Times New Roman" w:eastAsia="Times New Roman" w:hAnsi="Times New Roman" w:cs="Times New Roman"/>
          <w:sz w:val="28"/>
          <w:szCs w:val="28"/>
          <w:lang w:eastAsia="ru-RU"/>
        </w:rPr>
        <w:t xml:space="preserve">Одним из важнейших направлений деятельности можно считать координацию транспортной политики на государственном уровне. Повышение значения предоставления транспортно-логистических услуг объясняется несколькими факторами. Наметившийся рост промышленного производства в республике, активизация деятельности компаний, вышедшая за пределы ДНР, требует расширения транспортной инфраструктуры. Поддержание этой тенденции требует развития транспортной инфраструктуры, т.е. увеличения количества центров складирования, таможенного оформления грузов, улучшения показателей обслуживания пассажиров, улучшения условий работы пунктов пропуска пассажиров на приграничных участках дороги. </w:t>
      </w:r>
    </w:p>
    <w:p w:rsidR="00CF1AAA" w:rsidRPr="00CF1AAA" w:rsidRDefault="00CF1AAA" w:rsidP="00CF1AAA">
      <w:pPr>
        <w:shd w:val="clear" w:color="auto" w:fill="FFFFFF"/>
        <w:spacing w:after="0" w:line="240" w:lineRule="auto"/>
        <w:ind w:left="5" w:firstLine="709"/>
        <w:jc w:val="both"/>
        <w:rPr>
          <w:rFonts w:ascii="Times New Roman" w:eastAsia="Times New Roman" w:hAnsi="Times New Roman" w:cs="Times New Roman"/>
          <w:sz w:val="28"/>
          <w:szCs w:val="28"/>
          <w:lang w:eastAsia="ru-RU"/>
        </w:rPr>
      </w:pPr>
      <w:r w:rsidRPr="00CF1AAA">
        <w:rPr>
          <w:rFonts w:ascii="Times New Roman" w:eastAsia="Times New Roman" w:hAnsi="Times New Roman" w:cs="Times New Roman"/>
          <w:b/>
          <w:spacing w:val="-6"/>
          <w:sz w:val="28"/>
          <w:szCs w:val="28"/>
          <w:lang w:eastAsia="ru-RU"/>
        </w:rPr>
        <w:lastRenderedPageBreak/>
        <w:t xml:space="preserve">Анализ предыдущих исследований и публикаций. </w:t>
      </w:r>
      <w:r w:rsidRPr="00CF1AAA">
        <w:rPr>
          <w:rFonts w:ascii="Times New Roman" w:eastAsia="Times New Roman" w:hAnsi="Times New Roman" w:cs="Times New Roman"/>
          <w:sz w:val="28"/>
          <w:szCs w:val="28"/>
          <w:lang w:eastAsia="ru-RU"/>
        </w:rPr>
        <w:t>Объектом научных исследований многих ученых является анализ транспортной отрасли как основы развития территории. Наибольший интерес в настоящее время представляют работы таких ученых, как: Е.В. Зандер, А.Б. Тумхаджиев, Е.А. Ильина и другие.</w:t>
      </w:r>
    </w:p>
    <w:p w:rsidR="00CF1AAA" w:rsidRPr="00CF1AAA" w:rsidRDefault="00CF1AAA" w:rsidP="00CF1AAA">
      <w:pPr>
        <w:shd w:val="clear" w:color="auto" w:fill="FFFFFF"/>
        <w:spacing w:after="0" w:line="240" w:lineRule="auto"/>
        <w:ind w:left="5" w:firstLine="709"/>
        <w:jc w:val="both"/>
        <w:rPr>
          <w:rFonts w:ascii="Times New Roman" w:eastAsia="Times New Roman" w:hAnsi="Times New Roman" w:cs="Times New Roman"/>
          <w:sz w:val="28"/>
          <w:szCs w:val="28"/>
          <w:lang w:eastAsia="ru-RU"/>
        </w:rPr>
      </w:pPr>
      <w:r w:rsidRPr="00CF1AAA">
        <w:rPr>
          <w:rFonts w:ascii="Times New Roman" w:eastAsia="Times New Roman" w:hAnsi="Times New Roman" w:cs="Times New Roman"/>
          <w:sz w:val="28"/>
          <w:szCs w:val="28"/>
          <w:lang w:eastAsia="ru-RU"/>
        </w:rPr>
        <w:t>В своей научной работе Е.В. Зандер проводит комплексную оценку транспортной инфраструктуры региона с развивающейся экономикой. Также ученый формирует набор индикаторов транспортной обеспеченности и определяет их целевые значения. В статье рассмотрены варианты социально-экономического развития региона с развивающейся экономикой и соответствующие им инвестиционные проекты с точки зрения их влияния на показатели транспортной обеспеченности. Сформулированы рекомендации по развитию транспортного комплекса [1].</w:t>
      </w:r>
    </w:p>
    <w:p w:rsidR="00CF1AAA" w:rsidRPr="00CF1AAA" w:rsidRDefault="00CF1AAA" w:rsidP="00CF1AAA">
      <w:pPr>
        <w:shd w:val="clear" w:color="auto" w:fill="FFFFFF"/>
        <w:spacing w:after="0" w:line="240" w:lineRule="auto"/>
        <w:ind w:left="5" w:firstLine="709"/>
        <w:jc w:val="both"/>
        <w:rPr>
          <w:rFonts w:ascii="Times New Roman" w:eastAsia="Times New Roman" w:hAnsi="Times New Roman" w:cs="Times New Roman"/>
          <w:sz w:val="28"/>
          <w:szCs w:val="28"/>
          <w:lang w:eastAsia="ru-RU"/>
        </w:rPr>
      </w:pPr>
      <w:r w:rsidRPr="00CF1AAA">
        <w:rPr>
          <w:rFonts w:ascii="Times New Roman" w:eastAsia="Times New Roman" w:hAnsi="Times New Roman" w:cs="Times New Roman"/>
          <w:sz w:val="28"/>
          <w:szCs w:val="28"/>
          <w:lang w:eastAsia="ru-RU"/>
        </w:rPr>
        <w:t>Научные исследования А.Б. Тумхаджиева направлены на анализ состояния транспортной инфраструктуры региона с транзитивной экономикой, взаимодействия регионов на рынке транспортных услуг и сочетание использования разных видов транспорта, а также разработан кластерный подход с целью эффективного развития единой транспортной системы региона [2].</w:t>
      </w:r>
    </w:p>
    <w:p w:rsidR="00CF1AAA" w:rsidRPr="00CF1AAA" w:rsidRDefault="00CF1AAA" w:rsidP="00CF1AAA">
      <w:pPr>
        <w:shd w:val="clear" w:color="auto" w:fill="FFFFFF"/>
        <w:spacing w:after="0" w:line="240" w:lineRule="auto"/>
        <w:ind w:left="5" w:firstLine="709"/>
        <w:jc w:val="both"/>
        <w:rPr>
          <w:rFonts w:ascii="Times New Roman" w:eastAsia="Times New Roman" w:hAnsi="Times New Roman" w:cs="Times New Roman"/>
          <w:sz w:val="28"/>
          <w:szCs w:val="28"/>
          <w:lang w:eastAsia="ru-RU"/>
        </w:rPr>
      </w:pPr>
      <w:r w:rsidRPr="00CF1AAA">
        <w:rPr>
          <w:rFonts w:ascii="Times New Roman" w:eastAsia="Times New Roman" w:hAnsi="Times New Roman" w:cs="Times New Roman"/>
          <w:sz w:val="28"/>
          <w:szCs w:val="28"/>
          <w:lang w:eastAsia="ru-RU"/>
        </w:rPr>
        <w:t>По мнению Е.А. Ильиной, с уровнем экономического развития государства напрямую связано и развитие транспортной сети. Автор утверждает, что для оценки значимости формы центра и начертания сети дорог в социально-экономическом развитии региона необходим анализ взаимосвязи количественных и качественных показателей расселения, развития сферы обслуживания населения и железнодорожной сети. Особое внимание уделено государственным программам развития транспортной отрасли [3].</w:t>
      </w:r>
    </w:p>
    <w:p w:rsidR="00CF1AAA" w:rsidRPr="00CF1AAA" w:rsidRDefault="00CF1AAA" w:rsidP="00CF1AAA">
      <w:pPr>
        <w:shd w:val="clear" w:color="auto" w:fill="FFFFFF"/>
        <w:spacing w:after="0" w:line="240" w:lineRule="auto"/>
        <w:ind w:left="5" w:firstLine="709"/>
        <w:jc w:val="both"/>
        <w:rPr>
          <w:rFonts w:ascii="Times New Roman" w:eastAsia="Times New Roman" w:hAnsi="Times New Roman" w:cs="Times New Roman"/>
          <w:sz w:val="28"/>
          <w:szCs w:val="28"/>
          <w:lang w:eastAsia="ru-RU"/>
        </w:rPr>
      </w:pPr>
      <w:r w:rsidRPr="00CF1AAA">
        <w:rPr>
          <w:rFonts w:ascii="Times New Roman" w:eastAsia="Times New Roman" w:hAnsi="Times New Roman" w:cs="Times New Roman"/>
          <w:sz w:val="28"/>
          <w:szCs w:val="28"/>
          <w:lang w:eastAsia="ru-RU"/>
        </w:rPr>
        <w:t>Работа каждого из ученых полезна и имеет как научную, так и практическую ценность. По мнению авторов, наибольший интерес представляют исследования Е.А. Ильиной, в которых подробно анализируются наиболее значимые составляющие развития транспортной отрасли, влияющие на экономическое развитие государства.</w:t>
      </w:r>
    </w:p>
    <w:p w:rsidR="00CF1AAA" w:rsidRPr="00CF1AAA" w:rsidRDefault="00CF1AAA" w:rsidP="00CF1AAA">
      <w:pPr>
        <w:spacing w:after="0" w:line="240" w:lineRule="auto"/>
        <w:ind w:firstLine="709"/>
        <w:jc w:val="both"/>
        <w:rPr>
          <w:rFonts w:ascii="Times New Roman" w:eastAsia="Times New Roman" w:hAnsi="Times New Roman" w:cs="Times New Roman"/>
          <w:b/>
          <w:sz w:val="28"/>
          <w:szCs w:val="28"/>
          <w:lang w:eastAsia="ru-RU"/>
        </w:rPr>
      </w:pPr>
      <w:r w:rsidRPr="00CF1AAA">
        <w:rPr>
          <w:rFonts w:ascii="Times New Roman" w:eastAsia="Times New Roman" w:hAnsi="Times New Roman" w:cs="Times New Roman"/>
          <w:b/>
          <w:sz w:val="28"/>
          <w:szCs w:val="28"/>
          <w:lang w:eastAsia="ru-RU"/>
        </w:rPr>
        <w:t>Цель исследования:</w:t>
      </w:r>
      <w:r w:rsidRPr="00CF1AAA">
        <w:rPr>
          <w:rFonts w:ascii="Times New Roman" w:eastAsia="Times New Roman" w:hAnsi="Times New Roman" w:cs="Times New Roman"/>
          <w:sz w:val="28"/>
          <w:szCs w:val="28"/>
          <w:lang w:eastAsia="ru-RU"/>
        </w:rPr>
        <w:t xml:space="preserve"> проанализированные научные работы не освещают в полной мере существенное значение региональных особенностей развития автотранспортного комплекса. Поэтому темой данного исследования определено значение развития транспортного потенциала для обеспечения экономического развития Донецкой Народной Республики. Это вызвало необходимость изучения роли транспортного комплекса в процессе повышения эффективности транзитного потенциала ДНР как одной из наиболее промышленно развитой территории юго-востока.</w:t>
      </w:r>
    </w:p>
    <w:p w:rsidR="00CF1AAA" w:rsidRPr="00CF1AAA" w:rsidRDefault="00CF1AAA" w:rsidP="00CF1AAA">
      <w:pPr>
        <w:shd w:val="clear" w:color="auto" w:fill="FFFFFF"/>
        <w:spacing w:after="0" w:line="240" w:lineRule="auto"/>
        <w:ind w:left="5" w:firstLine="709"/>
        <w:jc w:val="both"/>
        <w:rPr>
          <w:rFonts w:ascii="Times New Roman" w:eastAsia="Times New Roman" w:hAnsi="Times New Roman" w:cs="Times New Roman"/>
          <w:sz w:val="28"/>
          <w:szCs w:val="28"/>
          <w:lang w:eastAsia="ru-RU"/>
        </w:rPr>
      </w:pPr>
      <w:r w:rsidRPr="00CF1AAA">
        <w:rPr>
          <w:rFonts w:ascii="Times New Roman" w:eastAsia="Times New Roman" w:hAnsi="Times New Roman" w:cs="Times New Roman"/>
          <w:b/>
          <w:sz w:val="28"/>
          <w:szCs w:val="28"/>
          <w:lang w:eastAsia="ru-RU"/>
        </w:rPr>
        <w:t>Основные результаты исследования.</w:t>
      </w:r>
      <w:r w:rsidRPr="00CF1AAA">
        <w:rPr>
          <w:rFonts w:ascii="Times New Roman" w:eastAsia="Times New Roman" w:hAnsi="Times New Roman" w:cs="Times New Roman"/>
          <w:sz w:val="28"/>
          <w:szCs w:val="28"/>
          <w:lang w:eastAsia="ru-RU"/>
        </w:rPr>
        <w:t xml:space="preserve"> Разнообразие и обилие месторождений полезных ископаемых, выгодное экономико-географическое положение способствовали формированию в Донецкой области промышленного комплекса со сложной отраслевой структурой, первостепенные места в которой занимают добывающая, металлургическая, </w:t>
      </w:r>
      <w:r w:rsidRPr="00CF1AAA">
        <w:rPr>
          <w:rFonts w:ascii="Times New Roman" w:eastAsia="Times New Roman" w:hAnsi="Times New Roman" w:cs="Times New Roman"/>
          <w:sz w:val="28"/>
          <w:szCs w:val="28"/>
          <w:lang w:eastAsia="ru-RU"/>
        </w:rPr>
        <w:lastRenderedPageBreak/>
        <w:t xml:space="preserve">машиностроительная, химическая отрасли. Промышленный потенциал составляет основу хозяйственного комплекса республики. Длительное развитие предприятий отраслей промышленности обусловило высокий уровень техногенной нагрузки на территорию, в 6 раз превышающий аналогичный показатель по Европе [4]. </w:t>
      </w:r>
    </w:p>
    <w:p w:rsidR="00CF1AAA" w:rsidRPr="00CF1AAA" w:rsidRDefault="00CF1AAA" w:rsidP="00CF1AAA">
      <w:pPr>
        <w:shd w:val="clear" w:color="auto" w:fill="FFFFFF"/>
        <w:spacing w:after="0" w:line="240" w:lineRule="auto"/>
        <w:ind w:left="5" w:firstLine="709"/>
        <w:jc w:val="both"/>
        <w:rPr>
          <w:rFonts w:ascii="Times New Roman" w:eastAsia="Times New Roman" w:hAnsi="Times New Roman" w:cs="Times New Roman"/>
          <w:sz w:val="28"/>
          <w:szCs w:val="28"/>
          <w:lang w:eastAsia="ru-RU"/>
        </w:rPr>
      </w:pPr>
      <w:r w:rsidRPr="00CF1AAA">
        <w:rPr>
          <w:rFonts w:ascii="Times New Roman" w:eastAsia="Times New Roman" w:hAnsi="Times New Roman" w:cs="Times New Roman"/>
          <w:sz w:val="28"/>
          <w:szCs w:val="28"/>
          <w:lang w:eastAsia="ru-RU"/>
        </w:rPr>
        <w:t xml:space="preserve">Решение экологических проблем, необходимость возрождения малых монопрофильных городов ДНР ставит вопрос о трансформации ее промышленной инфраструктуры. Одним из направлений становления экономики государства является создание современной транспортно-логистической инфраструктуры. Очевидно, что это не придется начинать с чистого листа. Сегодня транспортный комплекс региона представлен автомобильным и железнодорожным транспортом. Достаточно широко представлена в ДНР автотранспортная отрасль (14 % предприятий относятся к данной сфере деятельности). Ее развитию способствуют различные факторы: </w:t>
      </w:r>
    </w:p>
    <w:p w:rsidR="00CF1AAA" w:rsidRPr="00CF1AAA" w:rsidRDefault="00CF1AAA" w:rsidP="00CF1AAA">
      <w:pPr>
        <w:widowControl w:val="0"/>
        <w:numPr>
          <w:ilvl w:val="0"/>
          <w:numId w:val="3"/>
        </w:numPr>
        <w:shd w:val="clear" w:color="auto" w:fill="FFFFFF"/>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F1AAA">
        <w:rPr>
          <w:rFonts w:ascii="Times New Roman" w:eastAsia="Calibri" w:hAnsi="Times New Roman" w:cs="Times New Roman"/>
          <w:sz w:val="28"/>
          <w:szCs w:val="28"/>
        </w:rPr>
        <w:t xml:space="preserve">географическое положение республики, которое граничит с территориями с высокой степенью экономического развития;  </w:t>
      </w:r>
    </w:p>
    <w:p w:rsidR="00CF1AAA" w:rsidRPr="00CF1AAA" w:rsidRDefault="00CF1AAA" w:rsidP="00CF1AAA">
      <w:pPr>
        <w:widowControl w:val="0"/>
        <w:numPr>
          <w:ilvl w:val="0"/>
          <w:numId w:val="3"/>
        </w:numPr>
        <w:shd w:val="clear" w:color="auto" w:fill="FFFFFF"/>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F1AAA">
        <w:rPr>
          <w:rFonts w:ascii="Times New Roman" w:eastAsia="Calibri" w:hAnsi="Times New Roman" w:cs="Times New Roman"/>
          <w:sz w:val="28"/>
          <w:szCs w:val="28"/>
        </w:rPr>
        <w:t>через территорию ДНР проходят международные, европейские и национальные транспортные коридоры;</w:t>
      </w:r>
    </w:p>
    <w:p w:rsidR="00CF1AAA" w:rsidRPr="00CF1AAA" w:rsidRDefault="00CF1AAA" w:rsidP="00CF1AAA">
      <w:pPr>
        <w:widowControl w:val="0"/>
        <w:numPr>
          <w:ilvl w:val="0"/>
          <w:numId w:val="3"/>
        </w:numPr>
        <w:shd w:val="clear" w:color="auto" w:fill="FFFFFF"/>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F1AAA">
        <w:rPr>
          <w:rFonts w:ascii="Times New Roman" w:eastAsia="Calibri" w:hAnsi="Times New Roman" w:cs="Times New Roman"/>
          <w:sz w:val="28"/>
          <w:szCs w:val="28"/>
        </w:rPr>
        <w:t xml:space="preserve">технико-экономический потенциал автодорог ДНР позволяет осуществлять значительный объем пассажирских и грузовых перевозок. </w:t>
      </w:r>
    </w:p>
    <w:p w:rsidR="00CF1AAA" w:rsidRPr="00CF1AAA" w:rsidRDefault="00CF1AAA" w:rsidP="00CF1AA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F1AAA">
        <w:rPr>
          <w:rFonts w:ascii="Times New Roman" w:eastAsia="Times New Roman" w:hAnsi="Times New Roman" w:cs="Times New Roman"/>
          <w:sz w:val="28"/>
          <w:szCs w:val="28"/>
          <w:lang w:eastAsia="ru-RU"/>
        </w:rPr>
        <w:t>Согласно данных Главного управления статистики, в Донецкой Народной Республике автомобили обеспечивают около 60% всех транспортных перевозок (табл. 1) [5].</w:t>
      </w:r>
    </w:p>
    <w:p w:rsidR="00CF1AAA" w:rsidRPr="00CF1AAA" w:rsidRDefault="00CF1AAA" w:rsidP="00CF1AA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CF1AAA" w:rsidRPr="00CF1AAA" w:rsidRDefault="00CF1AAA" w:rsidP="00CF1AAA">
      <w:pPr>
        <w:shd w:val="clear" w:color="auto" w:fill="FFFFFF"/>
        <w:spacing w:after="0" w:line="240" w:lineRule="auto"/>
        <w:ind w:left="5" w:firstLine="557"/>
        <w:jc w:val="right"/>
        <w:rPr>
          <w:rFonts w:ascii="Times New Roman" w:eastAsia="Times New Roman" w:hAnsi="Times New Roman" w:cs="Times New Roman"/>
          <w:sz w:val="28"/>
          <w:szCs w:val="28"/>
          <w:lang w:eastAsia="ru-RU"/>
        </w:rPr>
      </w:pPr>
      <w:r w:rsidRPr="00CF1AAA">
        <w:rPr>
          <w:rFonts w:ascii="Times New Roman" w:eastAsia="Times New Roman" w:hAnsi="Times New Roman" w:cs="Times New Roman"/>
          <w:sz w:val="28"/>
          <w:szCs w:val="28"/>
          <w:lang w:eastAsia="ru-RU"/>
        </w:rPr>
        <w:t>Таблица 1</w:t>
      </w:r>
    </w:p>
    <w:p w:rsidR="00CF1AAA" w:rsidRPr="00CF1AAA" w:rsidRDefault="00CF1AAA" w:rsidP="00CF1AAA">
      <w:pPr>
        <w:shd w:val="clear" w:color="auto" w:fill="FFFFFF"/>
        <w:tabs>
          <w:tab w:val="left" w:pos="7503"/>
        </w:tabs>
        <w:spacing w:after="0" w:line="240" w:lineRule="auto"/>
        <w:ind w:left="5" w:hanging="5"/>
        <w:jc w:val="center"/>
        <w:rPr>
          <w:rFonts w:ascii="Times New Roman" w:eastAsia="Times New Roman" w:hAnsi="Times New Roman" w:cs="Times New Roman"/>
          <w:sz w:val="28"/>
          <w:szCs w:val="28"/>
          <w:lang w:eastAsia="ru-RU"/>
        </w:rPr>
      </w:pPr>
      <w:r w:rsidRPr="00CF1AAA">
        <w:rPr>
          <w:rFonts w:ascii="Times New Roman" w:eastAsia="Times New Roman" w:hAnsi="Times New Roman" w:cs="Times New Roman"/>
          <w:sz w:val="28"/>
          <w:szCs w:val="28"/>
          <w:lang w:eastAsia="ru-RU"/>
        </w:rPr>
        <w:t xml:space="preserve">Перевозка грузов по видам транспорта в </w:t>
      </w:r>
    </w:p>
    <w:p w:rsidR="00CF1AAA" w:rsidRPr="00CF1AAA" w:rsidRDefault="00CF1AAA" w:rsidP="00CF1AAA">
      <w:pPr>
        <w:shd w:val="clear" w:color="auto" w:fill="FFFFFF"/>
        <w:tabs>
          <w:tab w:val="left" w:pos="7503"/>
        </w:tabs>
        <w:spacing w:after="0" w:line="240" w:lineRule="auto"/>
        <w:ind w:left="5" w:hanging="5"/>
        <w:jc w:val="center"/>
        <w:rPr>
          <w:rFonts w:ascii="Times New Roman" w:eastAsia="Times New Roman" w:hAnsi="Times New Roman" w:cs="Times New Roman"/>
          <w:sz w:val="28"/>
          <w:szCs w:val="28"/>
          <w:lang w:eastAsia="ru-RU"/>
        </w:rPr>
      </w:pPr>
      <w:r w:rsidRPr="00CF1AAA">
        <w:rPr>
          <w:rFonts w:ascii="Times New Roman" w:eastAsia="Times New Roman" w:hAnsi="Times New Roman" w:cs="Times New Roman"/>
          <w:sz w:val="28"/>
          <w:szCs w:val="28"/>
          <w:lang w:eastAsia="ru-RU"/>
        </w:rPr>
        <w:t>Донецкой Народной Республике, млн.т.</w:t>
      </w:r>
    </w:p>
    <w:tbl>
      <w:tblPr>
        <w:tblStyle w:val="a3"/>
        <w:tblW w:w="0" w:type="auto"/>
        <w:jc w:val="center"/>
        <w:tblLook w:val="04A0" w:firstRow="1" w:lastRow="0" w:firstColumn="1" w:lastColumn="0" w:noHBand="0" w:noVBand="1"/>
      </w:tblPr>
      <w:tblGrid>
        <w:gridCol w:w="2500"/>
        <w:gridCol w:w="1144"/>
        <w:gridCol w:w="1144"/>
        <w:gridCol w:w="1144"/>
        <w:gridCol w:w="1144"/>
      </w:tblGrid>
      <w:tr w:rsidR="00CF1AAA" w:rsidRPr="00CF1AAA" w:rsidTr="00BB1D7C">
        <w:trPr>
          <w:jc w:val="center"/>
        </w:trPr>
        <w:tc>
          <w:tcPr>
            <w:tcW w:w="2500" w:type="dxa"/>
            <w:vMerge w:val="restart"/>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Вид транспорта</w:t>
            </w:r>
          </w:p>
        </w:tc>
        <w:tc>
          <w:tcPr>
            <w:tcW w:w="4576" w:type="dxa"/>
            <w:gridSpan w:val="4"/>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Годы</w:t>
            </w:r>
          </w:p>
        </w:tc>
      </w:tr>
      <w:tr w:rsidR="00CF1AAA" w:rsidRPr="00CF1AAA" w:rsidTr="00BB1D7C">
        <w:trPr>
          <w:jc w:val="center"/>
        </w:trPr>
        <w:tc>
          <w:tcPr>
            <w:tcW w:w="2500" w:type="dxa"/>
            <w:vMerge/>
            <w:vAlign w:val="center"/>
          </w:tcPr>
          <w:p w:rsidR="00CF1AAA" w:rsidRPr="00CF1AAA" w:rsidRDefault="00CF1AAA" w:rsidP="00CF1AAA">
            <w:pPr>
              <w:tabs>
                <w:tab w:val="left" w:pos="7503"/>
              </w:tabs>
              <w:jc w:val="center"/>
              <w:rPr>
                <w:rFonts w:ascii="Times New Roman" w:hAnsi="Times New Roman"/>
                <w:sz w:val="24"/>
                <w:szCs w:val="24"/>
              </w:rPr>
            </w:pP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2014</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2015</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2016</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2017</w:t>
            </w:r>
          </w:p>
        </w:tc>
      </w:tr>
      <w:tr w:rsidR="00CF1AAA" w:rsidRPr="00CF1AAA" w:rsidTr="00BB1D7C">
        <w:trPr>
          <w:jc w:val="center"/>
        </w:trPr>
        <w:tc>
          <w:tcPr>
            <w:tcW w:w="2500"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Наземный</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219,3</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224,3</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244,7</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268,8</w:t>
            </w:r>
          </w:p>
        </w:tc>
      </w:tr>
      <w:tr w:rsidR="00CF1AAA" w:rsidRPr="00CF1AAA" w:rsidTr="00BB1D7C">
        <w:trPr>
          <w:jc w:val="center"/>
        </w:trPr>
        <w:tc>
          <w:tcPr>
            <w:tcW w:w="2500"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Автомобильный</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131,7</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125,3</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149,8</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166,3</w:t>
            </w:r>
          </w:p>
        </w:tc>
      </w:tr>
      <w:tr w:rsidR="00CF1AAA" w:rsidRPr="00CF1AAA" w:rsidTr="00BB1D7C">
        <w:trPr>
          <w:jc w:val="center"/>
        </w:trPr>
        <w:tc>
          <w:tcPr>
            <w:tcW w:w="2500"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Железнодорожный</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87,6</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94,9</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99,0</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102,5</w:t>
            </w:r>
          </w:p>
        </w:tc>
      </w:tr>
    </w:tbl>
    <w:p w:rsidR="00CF1AAA" w:rsidRPr="00CF1AAA" w:rsidRDefault="00CF1AAA" w:rsidP="00CF1AAA">
      <w:pPr>
        <w:shd w:val="clear" w:color="auto" w:fill="FFFFFF"/>
        <w:tabs>
          <w:tab w:val="left" w:pos="7503"/>
        </w:tabs>
        <w:spacing w:after="0" w:line="240" w:lineRule="auto"/>
        <w:ind w:left="5" w:firstLine="557"/>
        <w:jc w:val="both"/>
        <w:rPr>
          <w:rFonts w:ascii="Times New Roman" w:eastAsia="Times New Roman" w:hAnsi="Times New Roman" w:cs="Times New Roman"/>
          <w:sz w:val="28"/>
          <w:szCs w:val="28"/>
          <w:lang w:eastAsia="ru-RU"/>
        </w:rPr>
      </w:pPr>
    </w:p>
    <w:p w:rsidR="00CF1AAA" w:rsidRPr="00CF1AAA" w:rsidRDefault="00CF1AAA" w:rsidP="00CF1AAA">
      <w:pPr>
        <w:shd w:val="clear" w:color="auto" w:fill="FFFFFF"/>
        <w:tabs>
          <w:tab w:val="left" w:pos="7503"/>
        </w:tabs>
        <w:spacing w:after="0" w:line="240" w:lineRule="auto"/>
        <w:ind w:left="5" w:firstLine="704"/>
        <w:jc w:val="both"/>
        <w:rPr>
          <w:rFonts w:ascii="Times New Roman" w:eastAsia="Times New Roman" w:hAnsi="Times New Roman" w:cs="Times New Roman"/>
          <w:sz w:val="28"/>
          <w:szCs w:val="28"/>
          <w:lang w:eastAsia="ru-RU"/>
        </w:rPr>
      </w:pPr>
      <w:r w:rsidRPr="00CF1AAA">
        <w:rPr>
          <w:rFonts w:ascii="Times New Roman" w:eastAsia="Times New Roman" w:hAnsi="Times New Roman" w:cs="Times New Roman"/>
          <w:sz w:val="28"/>
          <w:szCs w:val="28"/>
          <w:lang w:eastAsia="ru-RU"/>
        </w:rPr>
        <w:t xml:space="preserve">Важными показателями при оценке уровня развития автотранспортного комплекса (АТК) являются следующие: </w:t>
      </w:r>
    </w:p>
    <w:p w:rsidR="00CF1AAA" w:rsidRPr="00CF1AAA" w:rsidRDefault="00CF1AAA" w:rsidP="00CF1AAA">
      <w:pPr>
        <w:widowControl w:val="0"/>
        <w:numPr>
          <w:ilvl w:val="0"/>
          <w:numId w:val="1"/>
        </w:numPr>
        <w:shd w:val="clear" w:color="auto" w:fill="FFFFFF"/>
        <w:tabs>
          <w:tab w:val="left" w:pos="567"/>
          <w:tab w:val="left" w:pos="993"/>
          <w:tab w:val="left" w:pos="750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F1AAA">
        <w:rPr>
          <w:rFonts w:ascii="Times New Roman" w:eastAsia="Calibri" w:hAnsi="Times New Roman" w:cs="Times New Roman"/>
          <w:sz w:val="28"/>
          <w:szCs w:val="28"/>
        </w:rPr>
        <w:t xml:space="preserve">соотношение пассажирских и грузовых перевозок; </w:t>
      </w:r>
    </w:p>
    <w:p w:rsidR="00CF1AAA" w:rsidRPr="00CF1AAA" w:rsidRDefault="00CF1AAA" w:rsidP="00CF1AAA">
      <w:pPr>
        <w:widowControl w:val="0"/>
        <w:numPr>
          <w:ilvl w:val="0"/>
          <w:numId w:val="1"/>
        </w:numPr>
        <w:shd w:val="clear" w:color="auto" w:fill="FFFFFF"/>
        <w:tabs>
          <w:tab w:val="left" w:pos="567"/>
          <w:tab w:val="left" w:pos="993"/>
          <w:tab w:val="left" w:pos="750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F1AAA">
        <w:rPr>
          <w:rFonts w:ascii="Times New Roman" w:eastAsia="Calibri" w:hAnsi="Times New Roman" w:cs="Times New Roman"/>
          <w:sz w:val="28"/>
          <w:szCs w:val="28"/>
        </w:rPr>
        <w:t xml:space="preserve">уровень развития транспортной инфраструктуры региона; </w:t>
      </w:r>
    </w:p>
    <w:p w:rsidR="00CF1AAA" w:rsidRPr="00CF1AAA" w:rsidRDefault="00CF1AAA" w:rsidP="00CF1AAA">
      <w:pPr>
        <w:widowControl w:val="0"/>
        <w:numPr>
          <w:ilvl w:val="0"/>
          <w:numId w:val="1"/>
        </w:numPr>
        <w:shd w:val="clear" w:color="auto" w:fill="FFFFFF"/>
        <w:tabs>
          <w:tab w:val="left" w:pos="567"/>
          <w:tab w:val="left" w:pos="993"/>
          <w:tab w:val="left" w:pos="750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F1AAA">
        <w:rPr>
          <w:rFonts w:ascii="Times New Roman" w:eastAsia="Calibri" w:hAnsi="Times New Roman" w:cs="Times New Roman"/>
          <w:sz w:val="28"/>
          <w:szCs w:val="28"/>
        </w:rPr>
        <w:t xml:space="preserve">коэффициент транспортной специализации; </w:t>
      </w:r>
    </w:p>
    <w:p w:rsidR="00CF1AAA" w:rsidRPr="00CF1AAA" w:rsidRDefault="00CF1AAA" w:rsidP="00CF1AAA">
      <w:pPr>
        <w:widowControl w:val="0"/>
        <w:numPr>
          <w:ilvl w:val="0"/>
          <w:numId w:val="1"/>
        </w:numPr>
        <w:shd w:val="clear" w:color="auto" w:fill="FFFFFF"/>
        <w:tabs>
          <w:tab w:val="left" w:pos="567"/>
          <w:tab w:val="left" w:pos="993"/>
          <w:tab w:val="left" w:pos="7503"/>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CF1AAA">
        <w:rPr>
          <w:rFonts w:ascii="Times New Roman" w:eastAsia="Calibri" w:hAnsi="Times New Roman" w:cs="Times New Roman"/>
          <w:sz w:val="28"/>
          <w:szCs w:val="28"/>
        </w:rPr>
        <w:t>уровень развития инфраструктуры региона и степень ее использования.</w:t>
      </w:r>
    </w:p>
    <w:p w:rsidR="00CF1AAA" w:rsidRPr="00CF1AAA" w:rsidRDefault="00CF1AAA" w:rsidP="00CF1AAA">
      <w:pPr>
        <w:widowControl w:val="0"/>
        <w:shd w:val="clear" w:color="auto" w:fill="FFFFFF"/>
        <w:tabs>
          <w:tab w:val="left" w:pos="567"/>
          <w:tab w:val="left" w:pos="993"/>
          <w:tab w:val="left" w:pos="7503"/>
        </w:tabs>
        <w:autoSpaceDE w:val="0"/>
        <w:autoSpaceDN w:val="0"/>
        <w:adjustRightInd w:val="0"/>
        <w:spacing w:after="0" w:line="240" w:lineRule="auto"/>
        <w:ind w:left="709"/>
        <w:contextualSpacing/>
        <w:jc w:val="both"/>
        <w:rPr>
          <w:rFonts w:ascii="Times New Roman" w:eastAsia="Calibri" w:hAnsi="Times New Roman" w:cs="Times New Roman"/>
          <w:sz w:val="28"/>
          <w:szCs w:val="28"/>
        </w:rPr>
      </w:pPr>
      <w:r w:rsidRPr="00CF1AAA">
        <w:rPr>
          <w:rFonts w:ascii="Times New Roman" w:eastAsia="Calibri" w:hAnsi="Times New Roman" w:cs="Times New Roman"/>
          <w:sz w:val="28"/>
          <w:szCs w:val="28"/>
        </w:rPr>
        <w:lastRenderedPageBreak/>
        <w:t xml:space="preserve"> </w:t>
      </w:r>
    </w:p>
    <w:p w:rsidR="00CF1AAA" w:rsidRPr="00CF1AAA" w:rsidRDefault="00CF1AAA" w:rsidP="00CF1AAA">
      <w:pPr>
        <w:shd w:val="clear" w:color="auto" w:fill="FFFFFF"/>
        <w:spacing w:after="0" w:line="240" w:lineRule="auto"/>
        <w:ind w:left="1282" w:firstLine="709"/>
        <w:contextualSpacing/>
        <w:jc w:val="right"/>
        <w:rPr>
          <w:rFonts w:ascii="Times New Roman" w:eastAsia="Calibri" w:hAnsi="Times New Roman" w:cs="Times New Roman"/>
          <w:sz w:val="28"/>
          <w:szCs w:val="28"/>
        </w:rPr>
      </w:pPr>
      <w:r w:rsidRPr="00CF1AAA">
        <w:rPr>
          <w:rFonts w:ascii="Times New Roman" w:eastAsia="Calibri" w:hAnsi="Times New Roman" w:cs="Times New Roman"/>
          <w:sz w:val="28"/>
          <w:szCs w:val="28"/>
        </w:rPr>
        <w:t>Таблица 2</w:t>
      </w:r>
    </w:p>
    <w:p w:rsidR="00CF1AAA" w:rsidRPr="00CF1AAA" w:rsidRDefault="00CF1AAA" w:rsidP="00CF1AAA">
      <w:pPr>
        <w:shd w:val="clear" w:color="auto" w:fill="FFFFFF"/>
        <w:tabs>
          <w:tab w:val="left" w:pos="7503"/>
        </w:tabs>
        <w:spacing w:after="0" w:line="240" w:lineRule="auto"/>
        <w:ind w:firstLine="6"/>
        <w:contextualSpacing/>
        <w:jc w:val="center"/>
        <w:rPr>
          <w:rFonts w:ascii="Times New Roman" w:eastAsia="Calibri" w:hAnsi="Times New Roman" w:cs="Times New Roman"/>
          <w:sz w:val="28"/>
          <w:szCs w:val="28"/>
        </w:rPr>
      </w:pPr>
      <w:r w:rsidRPr="00CF1AAA">
        <w:rPr>
          <w:rFonts w:ascii="Times New Roman" w:eastAsia="Calibri" w:hAnsi="Times New Roman" w:cs="Times New Roman"/>
          <w:sz w:val="28"/>
          <w:szCs w:val="28"/>
        </w:rPr>
        <w:t xml:space="preserve">Соотношение пассажирских и грузовых перевозок </w:t>
      </w:r>
    </w:p>
    <w:p w:rsidR="00CF1AAA" w:rsidRPr="00CF1AAA" w:rsidRDefault="00CF1AAA" w:rsidP="00CF1AAA">
      <w:pPr>
        <w:shd w:val="clear" w:color="auto" w:fill="FFFFFF"/>
        <w:tabs>
          <w:tab w:val="left" w:pos="7503"/>
        </w:tabs>
        <w:spacing w:after="0" w:line="240" w:lineRule="auto"/>
        <w:ind w:firstLine="6"/>
        <w:contextualSpacing/>
        <w:jc w:val="center"/>
        <w:rPr>
          <w:rFonts w:ascii="Times New Roman" w:eastAsia="Calibri" w:hAnsi="Times New Roman" w:cs="Times New Roman"/>
          <w:sz w:val="28"/>
          <w:szCs w:val="28"/>
        </w:rPr>
      </w:pPr>
      <w:r w:rsidRPr="00CF1AAA">
        <w:rPr>
          <w:rFonts w:ascii="Times New Roman" w:eastAsia="Calibri" w:hAnsi="Times New Roman" w:cs="Times New Roman"/>
          <w:sz w:val="28"/>
          <w:szCs w:val="28"/>
        </w:rPr>
        <w:t>в Донецкой Народной Республике</w:t>
      </w:r>
    </w:p>
    <w:tbl>
      <w:tblPr>
        <w:tblStyle w:val="a3"/>
        <w:tblW w:w="0" w:type="auto"/>
        <w:jc w:val="center"/>
        <w:tblLook w:val="04A0" w:firstRow="1" w:lastRow="0" w:firstColumn="1" w:lastColumn="0" w:noHBand="0" w:noVBand="1"/>
      </w:tblPr>
      <w:tblGrid>
        <w:gridCol w:w="3639"/>
        <w:gridCol w:w="1144"/>
        <w:gridCol w:w="1144"/>
        <w:gridCol w:w="1144"/>
        <w:gridCol w:w="1144"/>
      </w:tblGrid>
      <w:tr w:rsidR="00CF1AAA" w:rsidRPr="00CF1AAA" w:rsidTr="00BB1D7C">
        <w:trPr>
          <w:jc w:val="center"/>
        </w:trPr>
        <w:tc>
          <w:tcPr>
            <w:tcW w:w="3639" w:type="dxa"/>
            <w:vMerge w:val="restart"/>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Показатель</w:t>
            </w:r>
          </w:p>
        </w:tc>
        <w:tc>
          <w:tcPr>
            <w:tcW w:w="4576" w:type="dxa"/>
            <w:gridSpan w:val="4"/>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Годы</w:t>
            </w:r>
          </w:p>
        </w:tc>
      </w:tr>
      <w:tr w:rsidR="00CF1AAA" w:rsidRPr="00CF1AAA" w:rsidTr="00BB1D7C">
        <w:trPr>
          <w:jc w:val="center"/>
        </w:trPr>
        <w:tc>
          <w:tcPr>
            <w:tcW w:w="3639" w:type="dxa"/>
            <w:vMerge/>
            <w:vAlign w:val="center"/>
          </w:tcPr>
          <w:p w:rsidR="00CF1AAA" w:rsidRPr="00CF1AAA" w:rsidRDefault="00CF1AAA" w:rsidP="00CF1AAA">
            <w:pPr>
              <w:tabs>
                <w:tab w:val="left" w:pos="7503"/>
              </w:tabs>
              <w:jc w:val="center"/>
              <w:rPr>
                <w:rFonts w:ascii="Times New Roman" w:hAnsi="Times New Roman"/>
                <w:sz w:val="24"/>
                <w:szCs w:val="24"/>
              </w:rPr>
            </w:pP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2014</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2015</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2016</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2017</w:t>
            </w:r>
          </w:p>
        </w:tc>
      </w:tr>
      <w:tr w:rsidR="00CF1AAA" w:rsidRPr="00CF1AAA" w:rsidTr="00BB1D7C">
        <w:trPr>
          <w:jc w:val="center"/>
        </w:trPr>
        <w:tc>
          <w:tcPr>
            <w:tcW w:w="3639"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Грузовые перевозки</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532,0</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533,6</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531,8</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521,1</w:t>
            </w:r>
          </w:p>
        </w:tc>
      </w:tr>
      <w:tr w:rsidR="00CF1AAA" w:rsidRPr="00CF1AAA" w:rsidTr="00BB1D7C">
        <w:trPr>
          <w:jc w:val="center"/>
        </w:trPr>
        <w:tc>
          <w:tcPr>
            <w:tcW w:w="3639"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Пассажирские перевозки</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174,9</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131,7</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149,8</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165,9</w:t>
            </w:r>
          </w:p>
        </w:tc>
      </w:tr>
      <w:tr w:rsidR="00CF1AAA" w:rsidRPr="00CF1AAA" w:rsidTr="00BB1D7C">
        <w:trPr>
          <w:jc w:val="center"/>
        </w:trPr>
        <w:tc>
          <w:tcPr>
            <w:tcW w:w="3639"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Соотношение пассажирских и грузовых перевозок</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0,6:3</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0,2: 4</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0,4:3</w:t>
            </w:r>
          </w:p>
        </w:tc>
        <w:tc>
          <w:tcPr>
            <w:tcW w:w="1144" w:type="dxa"/>
            <w:vAlign w:val="center"/>
          </w:tcPr>
          <w:p w:rsidR="00CF1AAA" w:rsidRPr="00CF1AAA" w:rsidRDefault="00CF1AAA" w:rsidP="00CF1AAA">
            <w:pPr>
              <w:tabs>
                <w:tab w:val="left" w:pos="7503"/>
              </w:tabs>
              <w:jc w:val="center"/>
              <w:rPr>
                <w:rFonts w:ascii="Times New Roman" w:hAnsi="Times New Roman"/>
                <w:sz w:val="24"/>
                <w:szCs w:val="24"/>
              </w:rPr>
            </w:pPr>
            <w:r w:rsidRPr="00CF1AAA">
              <w:rPr>
                <w:rFonts w:ascii="Times New Roman" w:hAnsi="Times New Roman"/>
                <w:sz w:val="24"/>
                <w:szCs w:val="24"/>
              </w:rPr>
              <w:t>0,5:3</w:t>
            </w:r>
          </w:p>
        </w:tc>
      </w:tr>
    </w:tbl>
    <w:p w:rsidR="00CF1AAA" w:rsidRPr="00CF1AAA" w:rsidRDefault="00CF1AAA" w:rsidP="00CF1AAA">
      <w:pPr>
        <w:shd w:val="clear" w:color="auto" w:fill="FFFFFF"/>
        <w:tabs>
          <w:tab w:val="left" w:pos="7503"/>
        </w:tabs>
        <w:spacing w:after="0" w:line="240" w:lineRule="auto"/>
        <w:ind w:firstLine="709"/>
        <w:jc w:val="both"/>
        <w:rPr>
          <w:rFonts w:ascii="Times New Roman" w:eastAsia="Times New Roman" w:hAnsi="Times New Roman" w:cs="Times New Roman"/>
          <w:sz w:val="28"/>
          <w:szCs w:val="28"/>
          <w:lang w:eastAsia="ru-RU"/>
        </w:rPr>
      </w:pPr>
      <w:r w:rsidRPr="00CF1AAA">
        <w:rPr>
          <w:rFonts w:ascii="Times New Roman" w:eastAsia="Times New Roman" w:hAnsi="Times New Roman" w:cs="Times New Roman"/>
          <w:sz w:val="28"/>
          <w:szCs w:val="28"/>
          <w:lang w:eastAsia="ru-RU"/>
        </w:rPr>
        <w:t xml:space="preserve">Соотношение пассажирских и грузовых перевозок характеризует хозяйственную систему региона: если показатель превышает 1, то автомобильные перевозки в области ориентированы в большей степени на грузы, если меньше 1, то они ориентированы на пассажиров. Как свидетельствуют данные табл. 2, за период 2014-2017 гг. для Донецкой Народной Республики характерно существенное преобладание грузовых перевозок над пассажирскими. Подобное соотношение обуславливает необходимость дальнейшего развития в республике системы складирования, пунктов погрузки-выгрузки различных товаров и выделение этих составляющих в качестве приоритетных среди остальных видов транспортной инфраструктуры. </w:t>
      </w:r>
    </w:p>
    <w:p w:rsidR="00CF1AAA" w:rsidRPr="00CF1AAA" w:rsidRDefault="00CF1AAA" w:rsidP="00CF1AAA">
      <w:pPr>
        <w:shd w:val="clear" w:color="auto" w:fill="FFFFFF"/>
        <w:tabs>
          <w:tab w:val="left" w:pos="7503"/>
        </w:tabs>
        <w:spacing w:after="0" w:line="240" w:lineRule="auto"/>
        <w:ind w:firstLine="709"/>
        <w:jc w:val="both"/>
        <w:rPr>
          <w:rFonts w:ascii="Times New Roman" w:eastAsia="Times New Roman" w:hAnsi="Times New Roman" w:cs="Times New Roman"/>
          <w:sz w:val="28"/>
          <w:szCs w:val="28"/>
          <w:lang w:eastAsia="ru-RU"/>
        </w:rPr>
      </w:pPr>
    </w:p>
    <w:p w:rsidR="00CF1AAA" w:rsidRPr="00CF1AAA" w:rsidRDefault="00CF1AAA" w:rsidP="00CF1AAA">
      <w:pPr>
        <w:shd w:val="clear" w:color="auto" w:fill="FFFFFF"/>
        <w:tabs>
          <w:tab w:val="left" w:pos="7503"/>
        </w:tabs>
        <w:spacing w:after="0" w:line="240" w:lineRule="auto"/>
        <w:ind w:firstLine="567"/>
        <w:jc w:val="right"/>
        <w:rPr>
          <w:rFonts w:ascii="Times New Roman" w:eastAsia="Times New Roman" w:hAnsi="Times New Roman" w:cs="Times New Roman"/>
          <w:sz w:val="28"/>
          <w:szCs w:val="28"/>
          <w:lang w:eastAsia="ru-RU"/>
        </w:rPr>
      </w:pPr>
      <w:r w:rsidRPr="00CF1AAA">
        <w:rPr>
          <w:rFonts w:ascii="Times New Roman" w:eastAsia="Times New Roman" w:hAnsi="Times New Roman" w:cs="Times New Roman"/>
          <w:sz w:val="28"/>
          <w:szCs w:val="28"/>
          <w:lang w:eastAsia="ru-RU"/>
        </w:rPr>
        <w:t>Таблица 3</w:t>
      </w:r>
    </w:p>
    <w:p w:rsidR="00CF1AAA" w:rsidRPr="00CF1AAA" w:rsidRDefault="00CF1AAA" w:rsidP="00CF1AAA">
      <w:pPr>
        <w:shd w:val="clear" w:color="auto" w:fill="FFFFFF"/>
        <w:tabs>
          <w:tab w:val="left" w:pos="7503"/>
        </w:tabs>
        <w:spacing w:after="0" w:line="240" w:lineRule="auto"/>
        <w:ind w:firstLine="6"/>
        <w:contextualSpacing/>
        <w:jc w:val="center"/>
        <w:rPr>
          <w:rFonts w:ascii="Times New Roman" w:eastAsia="Calibri" w:hAnsi="Times New Roman" w:cs="Times New Roman"/>
          <w:sz w:val="28"/>
          <w:szCs w:val="28"/>
        </w:rPr>
      </w:pPr>
      <w:r w:rsidRPr="00CF1AAA">
        <w:rPr>
          <w:rFonts w:ascii="Times New Roman" w:eastAsia="Calibri" w:hAnsi="Times New Roman" w:cs="Times New Roman"/>
          <w:sz w:val="28"/>
          <w:szCs w:val="28"/>
        </w:rPr>
        <w:t>Соотношение пассажирских и грузовых перевозок в мире</w:t>
      </w:r>
    </w:p>
    <w:tbl>
      <w:tblPr>
        <w:tblStyle w:val="a3"/>
        <w:tblW w:w="0" w:type="auto"/>
        <w:jc w:val="center"/>
        <w:tblLook w:val="04A0" w:firstRow="1" w:lastRow="0" w:firstColumn="1" w:lastColumn="0" w:noHBand="0" w:noVBand="1"/>
      </w:tblPr>
      <w:tblGrid>
        <w:gridCol w:w="4041"/>
        <w:gridCol w:w="5173"/>
      </w:tblGrid>
      <w:tr w:rsidR="00CF1AAA" w:rsidRPr="00CF1AAA" w:rsidTr="00BB1D7C">
        <w:trPr>
          <w:jc w:val="center"/>
        </w:trPr>
        <w:tc>
          <w:tcPr>
            <w:tcW w:w="4041" w:type="dxa"/>
            <w:vAlign w:val="center"/>
          </w:tcPr>
          <w:p w:rsidR="00CF1AAA" w:rsidRPr="00CF1AAA" w:rsidRDefault="00CF1AAA" w:rsidP="00CF1AAA">
            <w:pPr>
              <w:tabs>
                <w:tab w:val="left" w:pos="7503"/>
              </w:tabs>
              <w:contextualSpacing/>
              <w:jc w:val="center"/>
              <w:rPr>
                <w:rFonts w:ascii="Times New Roman" w:eastAsia="Calibri" w:hAnsi="Times New Roman"/>
                <w:sz w:val="24"/>
                <w:szCs w:val="24"/>
              </w:rPr>
            </w:pPr>
            <w:r w:rsidRPr="00CF1AAA">
              <w:rPr>
                <w:rFonts w:ascii="Times New Roman" w:eastAsia="Calibri" w:hAnsi="Times New Roman"/>
                <w:sz w:val="24"/>
                <w:szCs w:val="24"/>
              </w:rPr>
              <w:t>Страна</w:t>
            </w:r>
          </w:p>
        </w:tc>
        <w:tc>
          <w:tcPr>
            <w:tcW w:w="5173" w:type="dxa"/>
            <w:vAlign w:val="center"/>
          </w:tcPr>
          <w:p w:rsidR="00CF1AAA" w:rsidRPr="00CF1AAA" w:rsidRDefault="00CF1AAA" w:rsidP="00CF1AAA">
            <w:pPr>
              <w:tabs>
                <w:tab w:val="left" w:pos="7503"/>
              </w:tabs>
              <w:contextualSpacing/>
              <w:jc w:val="center"/>
              <w:rPr>
                <w:rFonts w:ascii="Times New Roman" w:eastAsia="Calibri" w:hAnsi="Times New Roman"/>
                <w:sz w:val="24"/>
                <w:szCs w:val="24"/>
              </w:rPr>
            </w:pPr>
            <w:r w:rsidRPr="00CF1AAA">
              <w:rPr>
                <w:rFonts w:ascii="Times New Roman" w:eastAsia="Calibri" w:hAnsi="Times New Roman"/>
                <w:sz w:val="24"/>
                <w:szCs w:val="24"/>
              </w:rPr>
              <w:t>Соотношение пассажирских и грузовых перевозок</w:t>
            </w:r>
          </w:p>
        </w:tc>
      </w:tr>
      <w:tr w:rsidR="00CF1AAA" w:rsidRPr="00CF1AAA" w:rsidTr="00BB1D7C">
        <w:trPr>
          <w:jc w:val="center"/>
        </w:trPr>
        <w:tc>
          <w:tcPr>
            <w:tcW w:w="4041" w:type="dxa"/>
            <w:vAlign w:val="center"/>
          </w:tcPr>
          <w:p w:rsidR="00CF1AAA" w:rsidRPr="00CF1AAA" w:rsidRDefault="00CF1AAA" w:rsidP="00CF1AAA">
            <w:pPr>
              <w:tabs>
                <w:tab w:val="left" w:pos="7503"/>
              </w:tabs>
              <w:contextualSpacing/>
              <w:jc w:val="center"/>
              <w:rPr>
                <w:rFonts w:ascii="Times New Roman" w:eastAsia="Calibri" w:hAnsi="Times New Roman"/>
                <w:sz w:val="24"/>
                <w:szCs w:val="24"/>
              </w:rPr>
            </w:pPr>
            <w:r w:rsidRPr="00CF1AAA">
              <w:rPr>
                <w:rFonts w:ascii="Times New Roman" w:eastAsia="Calibri" w:hAnsi="Times New Roman"/>
                <w:sz w:val="24"/>
                <w:szCs w:val="24"/>
              </w:rPr>
              <w:t>США</w:t>
            </w:r>
          </w:p>
        </w:tc>
        <w:tc>
          <w:tcPr>
            <w:tcW w:w="5173" w:type="dxa"/>
            <w:vAlign w:val="center"/>
          </w:tcPr>
          <w:p w:rsidR="00CF1AAA" w:rsidRPr="00CF1AAA" w:rsidRDefault="00CF1AAA" w:rsidP="00CF1AAA">
            <w:pPr>
              <w:tabs>
                <w:tab w:val="left" w:pos="7503"/>
              </w:tabs>
              <w:contextualSpacing/>
              <w:jc w:val="center"/>
              <w:rPr>
                <w:rFonts w:ascii="Times New Roman" w:eastAsia="Calibri" w:hAnsi="Times New Roman"/>
                <w:sz w:val="24"/>
                <w:szCs w:val="24"/>
              </w:rPr>
            </w:pPr>
            <w:r w:rsidRPr="00CF1AAA">
              <w:rPr>
                <w:rFonts w:ascii="Times New Roman" w:eastAsia="Calibri" w:hAnsi="Times New Roman"/>
                <w:sz w:val="24"/>
                <w:szCs w:val="24"/>
              </w:rPr>
              <w:t>1:1</w:t>
            </w:r>
          </w:p>
        </w:tc>
      </w:tr>
      <w:tr w:rsidR="00CF1AAA" w:rsidRPr="00CF1AAA" w:rsidTr="00BB1D7C">
        <w:trPr>
          <w:jc w:val="center"/>
        </w:trPr>
        <w:tc>
          <w:tcPr>
            <w:tcW w:w="4041" w:type="dxa"/>
            <w:vAlign w:val="center"/>
          </w:tcPr>
          <w:p w:rsidR="00CF1AAA" w:rsidRPr="00CF1AAA" w:rsidRDefault="00CF1AAA" w:rsidP="00CF1AAA">
            <w:pPr>
              <w:tabs>
                <w:tab w:val="left" w:pos="7503"/>
              </w:tabs>
              <w:contextualSpacing/>
              <w:jc w:val="center"/>
              <w:rPr>
                <w:rFonts w:ascii="Times New Roman" w:eastAsia="Calibri" w:hAnsi="Times New Roman"/>
                <w:sz w:val="24"/>
                <w:szCs w:val="24"/>
              </w:rPr>
            </w:pPr>
            <w:r w:rsidRPr="00CF1AAA">
              <w:rPr>
                <w:rFonts w:ascii="Times New Roman" w:eastAsia="Calibri" w:hAnsi="Times New Roman"/>
                <w:sz w:val="24"/>
                <w:szCs w:val="24"/>
              </w:rPr>
              <w:t>Япония</w:t>
            </w:r>
          </w:p>
        </w:tc>
        <w:tc>
          <w:tcPr>
            <w:tcW w:w="5173" w:type="dxa"/>
            <w:vAlign w:val="center"/>
          </w:tcPr>
          <w:p w:rsidR="00CF1AAA" w:rsidRPr="00CF1AAA" w:rsidRDefault="00CF1AAA" w:rsidP="00CF1AAA">
            <w:pPr>
              <w:tabs>
                <w:tab w:val="left" w:pos="7503"/>
              </w:tabs>
              <w:contextualSpacing/>
              <w:jc w:val="center"/>
              <w:rPr>
                <w:rFonts w:ascii="Times New Roman" w:eastAsia="Calibri" w:hAnsi="Times New Roman"/>
                <w:sz w:val="24"/>
                <w:szCs w:val="24"/>
              </w:rPr>
            </w:pPr>
            <w:r w:rsidRPr="00CF1AAA">
              <w:rPr>
                <w:rFonts w:ascii="Times New Roman" w:eastAsia="Calibri" w:hAnsi="Times New Roman"/>
                <w:sz w:val="24"/>
                <w:szCs w:val="24"/>
              </w:rPr>
              <w:t>1:2</w:t>
            </w:r>
          </w:p>
        </w:tc>
      </w:tr>
      <w:tr w:rsidR="00CF1AAA" w:rsidRPr="00CF1AAA" w:rsidTr="00BB1D7C">
        <w:trPr>
          <w:jc w:val="center"/>
        </w:trPr>
        <w:tc>
          <w:tcPr>
            <w:tcW w:w="4041" w:type="dxa"/>
            <w:vAlign w:val="center"/>
          </w:tcPr>
          <w:p w:rsidR="00CF1AAA" w:rsidRPr="00CF1AAA" w:rsidRDefault="00CF1AAA" w:rsidP="00CF1AAA">
            <w:pPr>
              <w:tabs>
                <w:tab w:val="left" w:pos="7503"/>
              </w:tabs>
              <w:contextualSpacing/>
              <w:jc w:val="center"/>
              <w:rPr>
                <w:rFonts w:ascii="Times New Roman" w:eastAsia="Calibri" w:hAnsi="Times New Roman"/>
                <w:sz w:val="24"/>
                <w:szCs w:val="24"/>
              </w:rPr>
            </w:pPr>
            <w:r w:rsidRPr="00CF1AAA">
              <w:rPr>
                <w:rFonts w:ascii="Times New Roman" w:eastAsia="Calibri" w:hAnsi="Times New Roman"/>
                <w:sz w:val="24"/>
                <w:szCs w:val="24"/>
              </w:rPr>
              <w:t>Российская Федерация</w:t>
            </w:r>
          </w:p>
        </w:tc>
        <w:tc>
          <w:tcPr>
            <w:tcW w:w="5173" w:type="dxa"/>
            <w:vAlign w:val="center"/>
          </w:tcPr>
          <w:p w:rsidR="00CF1AAA" w:rsidRPr="00CF1AAA" w:rsidRDefault="00CF1AAA" w:rsidP="00CF1AAA">
            <w:pPr>
              <w:tabs>
                <w:tab w:val="left" w:pos="7503"/>
              </w:tabs>
              <w:contextualSpacing/>
              <w:jc w:val="center"/>
              <w:rPr>
                <w:rFonts w:ascii="Times New Roman" w:eastAsia="Calibri" w:hAnsi="Times New Roman"/>
                <w:sz w:val="24"/>
                <w:szCs w:val="24"/>
              </w:rPr>
            </w:pPr>
            <w:r w:rsidRPr="00CF1AAA">
              <w:rPr>
                <w:rFonts w:ascii="Times New Roman" w:eastAsia="Calibri" w:hAnsi="Times New Roman"/>
                <w:sz w:val="24"/>
                <w:szCs w:val="24"/>
              </w:rPr>
              <w:t>7:8</w:t>
            </w:r>
          </w:p>
        </w:tc>
      </w:tr>
      <w:tr w:rsidR="00CF1AAA" w:rsidRPr="00CF1AAA" w:rsidTr="00BB1D7C">
        <w:trPr>
          <w:jc w:val="center"/>
        </w:trPr>
        <w:tc>
          <w:tcPr>
            <w:tcW w:w="4041" w:type="dxa"/>
            <w:vAlign w:val="center"/>
          </w:tcPr>
          <w:p w:rsidR="00CF1AAA" w:rsidRPr="00CF1AAA" w:rsidRDefault="00CF1AAA" w:rsidP="00CF1AAA">
            <w:pPr>
              <w:tabs>
                <w:tab w:val="left" w:pos="7503"/>
              </w:tabs>
              <w:contextualSpacing/>
              <w:jc w:val="center"/>
              <w:rPr>
                <w:rFonts w:ascii="Times New Roman" w:eastAsia="Calibri" w:hAnsi="Times New Roman"/>
                <w:sz w:val="24"/>
                <w:szCs w:val="24"/>
              </w:rPr>
            </w:pPr>
            <w:r w:rsidRPr="00CF1AAA">
              <w:rPr>
                <w:rFonts w:ascii="Times New Roman" w:eastAsia="Calibri" w:hAnsi="Times New Roman"/>
                <w:sz w:val="24"/>
                <w:szCs w:val="24"/>
              </w:rPr>
              <w:t>Страны Восточной Европы</w:t>
            </w:r>
          </w:p>
        </w:tc>
        <w:tc>
          <w:tcPr>
            <w:tcW w:w="5173" w:type="dxa"/>
            <w:vAlign w:val="center"/>
          </w:tcPr>
          <w:p w:rsidR="00CF1AAA" w:rsidRPr="00CF1AAA" w:rsidRDefault="00CF1AAA" w:rsidP="00CF1AAA">
            <w:pPr>
              <w:tabs>
                <w:tab w:val="left" w:pos="7503"/>
              </w:tabs>
              <w:contextualSpacing/>
              <w:jc w:val="center"/>
              <w:rPr>
                <w:rFonts w:ascii="Times New Roman" w:eastAsia="Calibri" w:hAnsi="Times New Roman"/>
                <w:sz w:val="24"/>
                <w:szCs w:val="24"/>
              </w:rPr>
            </w:pPr>
            <w:r w:rsidRPr="00CF1AAA">
              <w:rPr>
                <w:rFonts w:ascii="Times New Roman" w:eastAsia="Calibri" w:hAnsi="Times New Roman"/>
                <w:sz w:val="24"/>
                <w:szCs w:val="24"/>
              </w:rPr>
              <w:t>3:5</w:t>
            </w:r>
          </w:p>
        </w:tc>
      </w:tr>
      <w:tr w:rsidR="00CF1AAA" w:rsidRPr="00CF1AAA" w:rsidTr="00BB1D7C">
        <w:trPr>
          <w:jc w:val="center"/>
        </w:trPr>
        <w:tc>
          <w:tcPr>
            <w:tcW w:w="4041" w:type="dxa"/>
            <w:vAlign w:val="center"/>
          </w:tcPr>
          <w:p w:rsidR="00CF1AAA" w:rsidRPr="00CF1AAA" w:rsidRDefault="00CF1AAA" w:rsidP="00CF1AAA">
            <w:pPr>
              <w:tabs>
                <w:tab w:val="left" w:pos="7503"/>
              </w:tabs>
              <w:contextualSpacing/>
              <w:jc w:val="center"/>
              <w:rPr>
                <w:rFonts w:ascii="Times New Roman" w:eastAsia="Calibri" w:hAnsi="Times New Roman"/>
                <w:sz w:val="24"/>
                <w:szCs w:val="24"/>
              </w:rPr>
            </w:pPr>
            <w:r w:rsidRPr="00CF1AAA">
              <w:rPr>
                <w:rFonts w:ascii="Times New Roman" w:eastAsia="Calibri" w:hAnsi="Times New Roman"/>
                <w:sz w:val="24"/>
                <w:szCs w:val="24"/>
              </w:rPr>
              <w:t>Страны Северной Африки</w:t>
            </w:r>
          </w:p>
        </w:tc>
        <w:tc>
          <w:tcPr>
            <w:tcW w:w="5173" w:type="dxa"/>
            <w:vAlign w:val="center"/>
          </w:tcPr>
          <w:p w:rsidR="00CF1AAA" w:rsidRPr="00CF1AAA" w:rsidRDefault="00CF1AAA" w:rsidP="00CF1AAA">
            <w:pPr>
              <w:tabs>
                <w:tab w:val="left" w:pos="7503"/>
              </w:tabs>
              <w:contextualSpacing/>
              <w:jc w:val="center"/>
              <w:rPr>
                <w:rFonts w:ascii="Times New Roman" w:eastAsia="Calibri" w:hAnsi="Times New Roman"/>
                <w:sz w:val="24"/>
                <w:szCs w:val="24"/>
              </w:rPr>
            </w:pPr>
            <w:r w:rsidRPr="00CF1AAA">
              <w:rPr>
                <w:rFonts w:ascii="Times New Roman" w:eastAsia="Calibri" w:hAnsi="Times New Roman"/>
                <w:sz w:val="24"/>
                <w:szCs w:val="24"/>
              </w:rPr>
              <w:t>2:5</w:t>
            </w:r>
          </w:p>
        </w:tc>
      </w:tr>
    </w:tbl>
    <w:p w:rsidR="00CF1AAA" w:rsidRPr="00CF1AAA" w:rsidRDefault="00CF1AAA" w:rsidP="00CF1AAA">
      <w:pPr>
        <w:shd w:val="clear" w:color="auto" w:fill="FFFFFF"/>
        <w:tabs>
          <w:tab w:val="left" w:pos="7503"/>
        </w:tabs>
        <w:spacing w:after="0" w:line="240" w:lineRule="auto"/>
        <w:ind w:firstLine="6"/>
        <w:contextualSpacing/>
        <w:jc w:val="center"/>
        <w:rPr>
          <w:rFonts w:ascii="Times New Roman" w:eastAsia="Calibri" w:hAnsi="Times New Roman" w:cs="Times New Roman"/>
          <w:sz w:val="28"/>
          <w:szCs w:val="28"/>
        </w:rPr>
      </w:pPr>
    </w:p>
    <w:p w:rsidR="00CF1AAA" w:rsidRPr="00CF1AAA" w:rsidRDefault="00CF1AAA" w:rsidP="00CF1AAA">
      <w:pPr>
        <w:shd w:val="clear" w:color="auto" w:fill="FFFFFF"/>
        <w:tabs>
          <w:tab w:val="left" w:pos="7503"/>
        </w:tabs>
        <w:spacing w:after="0" w:line="240" w:lineRule="auto"/>
        <w:ind w:firstLine="709"/>
        <w:jc w:val="both"/>
        <w:rPr>
          <w:rFonts w:ascii="Times New Roman" w:eastAsia="Times New Roman" w:hAnsi="Times New Roman" w:cs="Times New Roman"/>
          <w:sz w:val="28"/>
          <w:szCs w:val="28"/>
          <w:lang w:eastAsia="ru-RU"/>
        </w:rPr>
      </w:pPr>
      <w:r w:rsidRPr="00CF1AAA">
        <w:rPr>
          <w:rFonts w:ascii="Times New Roman" w:eastAsia="Times New Roman" w:hAnsi="Times New Roman" w:cs="Times New Roman"/>
          <w:sz w:val="28"/>
          <w:szCs w:val="28"/>
          <w:lang w:eastAsia="ru-RU"/>
        </w:rPr>
        <w:t>Для характеристики уровня развития транспортной инфраструктуры региона используют такой показатель, как плотность автомобильных дорог с твердым покрытием. Этот показатель в среднем по республике составляет 303,4 км/1000 км</w:t>
      </w:r>
      <w:r w:rsidRPr="00CF1AAA">
        <w:rPr>
          <w:rFonts w:ascii="Times New Roman" w:eastAsia="Times New Roman" w:hAnsi="Times New Roman" w:cs="Times New Roman"/>
          <w:sz w:val="28"/>
          <w:szCs w:val="28"/>
          <w:vertAlign w:val="superscript"/>
          <w:lang w:eastAsia="ru-RU"/>
        </w:rPr>
        <w:t>2</w:t>
      </w:r>
      <w:r w:rsidRPr="00CF1AAA">
        <w:rPr>
          <w:rFonts w:ascii="Times New Roman" w:eastAsia="Times New Roman" w:hAnsi="Times New Roman" w:cs="Times New Roman"/>
          <w:sz w:val="28"/>
          <w:szCs w:val="28"/>
          <w:lang w:eastAsia="ru-RU"/>
        </w:rPr>
        <w:t xml:space="preserve">. Однако, по сравнению с европейскими аналогами, Донецкая Народная Республика имеет существенное отставание в развитии. К основным недостаткам можно отнести качество дорожного покрытия (разрушение покрытия, ямы и выбоины на дорогах, загрязнения), недостаточное количество оборудованных стоянок, наличие «диких» съездов и т.д. [6]. </w:t>
      </w:r>
    </w:p>
    <w:p w:rsidR="00CF1AAA" w:rsidRPr="00CF1AAA" w:rsidRDefault="00CF1AAA" w:rsidP="00CF1AAA">
      <w:pPr>
        <w:shd w:val="clear" w:color="auto" w:fill="FFFFFF"/>
        <w:tabs>
          <w:tab w:val="left" w:pos="7503"/>
        </w:tabs>
        <w:spacing w:after="0" w:line="240" w:lineRule="auto"/>
        <w:ind w:firstLine="709"/>
        <w:jc w:val="both"/>
        <w:rPr>
          <w:rFonts w:ascii="Times New Roman" w:eastAsia="Times New Roman" w:hAnsi="Times New Roman" w:cs="Times New Roman"/>
          <w:sz w:val="28"/>
          <w:szCs w:val="28"/>
          <w:lang w:eastAsia="ru-RU"/>
        </w:rPr>
      </w:pPr>
      <w:r w:rsidRPr="00CF1AAA">
        <w:rPr>
          <w:rFonts w:ascii="Times New Roman" w:eastAsia="Times New Roman" w:hAnsi="Times New Roman" w:cs="Times New Roman"/>
          <w:sz w:val="28"/>
          <w:szCs w:val="28"/>
          <w:lang w:eastAsia="ru-RU"/>
        </w:rPr>
        <w:t>Развитию транспортной инфраструктуры может способствовать сбалансированное развитие инфраструктуры железнодорожного транспорта, возрождение аэропорта столицы Донецкой Народной Республики.</w:t>
      </w:r>
      <w:r w:rsidRPr="00CF1AAA">
        <w:rPr>
          <w:rFonts w:ascii="Times New Roman" w:eastAsia="Times New Roman" w:hAnsi="Times New Roman" w:cs="Times New Roman"/>
          <w:sz w:val="23"/>
          <w:szCs w:val="23"/>
          <w:lang w:eastAsia="ru-RU"/>
        </w:rPr>
        <w:t xml:space="preserve"> </w:t>
      </w:r>
      <w:r w:rsidRPr="00CF1AAA">
        <w:rPr>
          <w:rFonts w:ascii="Times New Roman" w:eastAsia="Times New Roman" w:hAnsi="Times New Roman" w:cs="Times New Roman"/>
          <w:sz w:val="28"/>
          <w:szCs w:val="28"/>
          <w:lang w:eastAsia="ru-RU"/>
        </w:rPr>
        <w:t xml:space="preserve">Касательно железнодорожного транспорта в ДНР, отметим, что его перспективы во многом определяются результатами реализации заявленных проектов и </w:t>
      </w:r>
      <w:r w:rsidRPr="00CF1AAA">
        <w:rPr>
          <w:rFonts w:ascii="Times New Roman" w:eastAsia="Times New Roman" w:hAnsi="Times New Roman" w:cs="Times New Roman"/>
          <w:sz w:val="28"/>
          <w:szCs w:val="28"/>
          <w:lang w:eastAsia="ru-RU"/>
        </w:rPr>
        <w:lastRenderedPageBreak/>
        <w:t>программ развития данного сектора экономики. В качестве наиболее приоритетных можно выделить следующие проекты: восстановление железнодорожных линий, разрушенных в результате проведения боевых действий на территории республики.</w:t>
      </w:r>
    </w:p>
    <w:p w:rsidR="00CF1AAA" w:rsidRPr="00CF1AAA" w:rsidRDefault="00CF1AAA" w:rsidP="00CF1AAA">
      <w:pPr>
        <w:shd w:val="clear" w:color="auto" w:fill="FFFFFF"/>
        <w:tabs>
          <w:tab w:val="left" w:pos="7503"/>
        </w:tabs>
        <w:spacing w:after="0" w:line="240" w:lineRule="auto"/>
        <w:ind w:firstLine="709"/>
        <w:jc w:val="both"/>
        <w:rPr>
          <w:rFonts w:ascii="Times New Roman" w:eastAsia="Times New Roman" w:hAnsi="Times New Roman" w:cs="Times New Roman"/>
          <w:sz w:val="28"/>
          <w:szCs w:val="28"/>
          <w:lang w:eastAsia="ru-RU"/>
        </w:rPr>
      </w:pPr>
      <w:r w:rsidRPr="00CF1AAA">
        <w:rPr>
          <w:rFonts w:ascii="Times New Roman" w:eastAsia="Times New Roman" w:hAnsi="Times New Roman" w:cs="Times New Roman"/>
          <w:sz w:val="28"/>
          <w:szCs w:val="28"/>
          <w:lang w:eastAsia="ru-RU"/>
        </w:rPr>
        <w:t>Сложность развития транспортной инфраструктуры состоит в том, что, являясь «жестким» элементом всей социально-экономической системы, трудно поддается воздействию со стороны властей, поскольку для изменения «жестких» элементов инфраструктуры требуются значительные капиталовложения. Отсюда следует, что администрации городов могут лишь влиять на строительство дорог, терминалов, складских помещений, однако, как правило, они не в состоянии финансировать это строительство. И здесь задача руководства республики состоит в координации субъектов, участвующих в создании новых элементов, формировании условий для капиталовложений в элементы республиканской инфраструктуры [7].</w:t>
      </w:r>
    </w:p>
    <w:p w:rsidR="00CF1AAA" w:rsidRPr="00CF1AAA" w:rsidRDefault="00CF1AAA" w:rsidP="00CF1AAA">
      <w:pPr>
        <w:shd w:val="clear" w:color="auto" w:fill="FFFFFF"/>
        <w:tabs>
          <w:tab w:val="left" w:pos="7503"/>
        </w:tabs>
        <w:spacing w:after="0" w:line="240" w:lineRule="auto"/>
        <w:ind w:firstLine="709"/>
        <w:jc w:val="both"/>
        <w:rPr>
          <w:rFonts w:ascii="Times New Roman" w:eastAsia="Times New Roman" w:hAnsi="Times New Roman" w:cs="Times New Roman"/>
          <w:sz w:val="28"/>
          <w:szCs w:val="28"/>
          <w:lang w:eastAsia="ru-RU"/>
        </w:rPr>
      </w:pPr>
      <w:r w:rsidRPr="00CF1AAA">
        <w:rPr>
          <w:rFonts w:ascii="Times New Roman" w:eastAsia="Times New Roman" w:hAnsi="Times New Roman" w:cs="Times New Roman"/>
          <w:sz w:val="28"/>
          <w:szCs w:val="28"/>
          <w:lang w:eastAsia="ru-RU"/>
        </w:rPr>
        <w:t>Учитывая вышесказанное, следует сказать, что совершенствование транспортной инфраструктуры для экономического развития Донецкой Народной Республики должно опираться, в первую очередь, на научно-обоснованные разработки и обеспечить:</w:t>
      </w:r>
    </w:p>
    <w:p w:rsidR="00CF1AAA" w:rsidRPr="00CF1AAA" w:rsidRDefault="00CF1AAA" w:rsidP="00CF1AAA">
      <w:pPr>
        <w:widowControl w:val="0"/>
        <w:numPr>
          <w:ilvl w:val="0"/>
          <w:numId w:val="2"/>
        </w:numPr>
        <w:shd w:val="clear" w:color="auto" w:fill="FFFFFF"/>
        <w:tabs>
          <w:tab w:val="left" w:pos="7503"/>
        </w:tabs>
        <w:autoSpaceDE w:val="0"/>
        <w:autoSpaceDN w:val="0"/>
        <w:adjustRightInd w:val="0"/>
        <w:spacing w:after="0" w:line="240" w:lineRule="auto"/>
        <w:ind w:left="1134" w:hanging="567"/>
        <w:contextualSpacing/>
        <w:jc w:val="both"/>
        <w:rPr>
          <w:rFonts w:ascii="Times New Roman" w:eastAsia="Calibri" w:hAnsi="Times New Roman" w:cs="Times New Roman"/>
          <w:sz w:val="28"/>
          <w:szCs w:val="28"/>
        </w:rPr>
      </w:pPr>
      <w:r w:rsidRPr="00CF1AAA">
        <w:rPr>
          <w:rFonts w:ascii="Times New Roman" w:eastAsia="Calibri" w:hAnsi="Times New Roman" w:cs="Times New Roman"/>
          <w:sz w:val="28"/>
          <w:szCs w:val="28"/>
        </w:rPr>
        <w:t>главенствующее развитие транспортной инфраструктуры по сравнению с другими отраслями экономики, позволяющее снять транспортные ограничения в производстве, сфере обращения и социальной сфере;</w:t>
      </w:r>
    </w:p>
    <w:p w:rsidR="00CF1AAA" w:rsidRPr="00CF1AAA" w:rsidRDefault="00CF1AAA" w:rsidP="00CF1AAA">
      <w:pPr>
        <w:widowControl w:val="0"/>
        <w:numPr>
          <w:ilvl w:val="0"/>
          <w:numId w:val="2"/>
        </w:numPr>
        <w:shd w:val="clear" w:color="auto" w:fill="FFFFFF"/>
        <w:tabs>
          <w:tab w:val="left" w:pos="7503"/>
        </w:tabs>
        <w:autoSpaceDE w:val="0"/>
        <w:autoSpaceDN w:val="0"/>
        <w:adjustRightInd w:val="0"/>
        <w:spacing w:after="0" w:line="240" w:lineRule="auto"/>
        <w:ind w:left="1134" w:hanging="567"/>
        <w:contextualSpacing/>
        <w:jc w:val="both"/>
        <w:rPr>
          <w:rFonts w:ascii="Times New Roman" w:eastAsia="Calibri" w:hAnsi="Times New Roman" w:cs="Times New Roman"/>
          <w:sz w:val="28"/>
          <w:szCs w:val="28"/>
        </w:rPr>
      </w:pPr>
      <w:r w:rsidRPr="00CF1AAA">
        <w:rPr>
          <w:rFonts w:ascii="Times New Roman" w:eastAsia="Calibri" w:hAnsi="Times New Roman" w:cs="Times New Roman"/>
          <w:sz w:val="28"/>
          <w:szCs w:val="28"/>
        </w:rPr>
        <w:t>адекватность развития транспортной системы общим социально-экономическим требованиям, предъявляемым к ней как экономикой, так и населением страны;</w:t>
      </w:r>
    </w:p>
    <w:p w:rsidR="00CF1AAA" w:rsidRPr="00CF1AAA" w:rsidRDefault="00CF1AAA" w:rsidP="00CF1AAA">
      <w:pPr>
        <w:widowControl w:val="0"/>
        <w:numPr>
          <w:ilvl w:val="0"/>
          <w:numId w:val="2"/>
        </w:numPr>
        <w:shd w:val="clear" w:color="auto" w:fill="FFFFFF"/>
        <w:tabs>
          <w:tab w:val="left" w:pos="7503"/>
        </w:tabs>
        <w:autoSpaceDE w:val="0"/>
        <w:autoSpaceDN w:val="0"/>
        <w:adjustRightInd w:val="0"/>
        <w:spacing w:after="0" w:line="240" w:lineRule="auto"/>
        <w:ind w:left="1134" w:hanging="567"/>
        <w:contextualSpacing/>
        <w:jc w:val="both"/>
        <w:rPr>
          <w:rFonts w:ascii="Times New Roman" w:eastAsia="Calibri" w:hAnsi="Times New Roman" w:cs="Times New Roman"/>
          <w:sz w:val="28"/>
          <w:szCs w:val="28"/>
        </w:rPr>
      </w:pPr>
      <w:r w:rsidRPr="00CF1AAA">
        <w:rPr>
          <w:rFonts w:ascii="Times New Roman" w:eastAsia="Calibri" w:hAnsi="Times New Roman" w:cs="Times New Roman"/>
          <w:sz w:val="28"/>
          <w:szCs w:val="28"/>
        </w:rPr>
        <w:t>рациональные схемы транспортно-экономических связей;</w:t>
      </w:r>
    </w:p>
    <w:p w:rsidR="00CF1AAA" w:rsidRPr="00CF1AAA" w:rsidRDefault="00CF1AAA" w:rsidP="00CF1AAA">
      <w:pPr>
        <w:widowControl w:val="0"/>
        <w:numPr>
          <w:ilvl w:val="0"/>
          <w:numId w:val="2"/>
        </w:numPr>
        <w:shd w:val="clear" w:color="auto" w:fill="FFFFFF"/>
        <w:tabs>
          <w:tab w:val="left" w:pos="7503"/>
        </w:tabs>
        <w:autoSpaceDE w:val="0"/>
        <w:autoSpaceDN w:val="0"/>
        <w:adjustRightInd w:val="0"/>
        <w:spacing w:after="0" w:line="240" w:lineRule="auto"/>
        <w:ind w:left="1134" w:hanging="567"/>
        <w:contextualSpacing/>
        <w:jc w:val="both"/>
        <w:rPr>
          <w:rFonts w:ascii="Times New Roman" w:eastAsia="Calibri" w:hAnsi="Times New Roman" w:cs="Times New Roman"/>
          <w:sz w:val="28"/>
          <w:szCs w:val="28"/>
        </w:rPr>
      </w:pPr>
      <w:r w:rsidRPr="00CF1AAA">
        <w:rPr>
          <w:rFonts w:ascii="Times New Roman" w:eastAsia="Calibri" w:hAnsi="Times New Roman" w:cs="Times New Roman"/>
          <w:sz w:val="28"/>
          <w:szCs w:val="28"/>
        </w:rPr>
        <w:t>согласованное развитие и экономически рациональное сочетание всех видов транспорта в соответствии с направлениями их эффективного использования, обеспечивающее снижение транзакционных и удельных транспортных издержек [8].</w:t>
      </w:r>
    </w:p>
    <w:p w:rsidR="00CF1AAA" w:rsidRPr="00CF1AAA" w:rsidRDefault="00CF1AAA" w:rsidP="00CF1AAA">
      <w:pPr>
        <w:shd w:val="clear" w:color="auto" w:fill="FFFFFF"/>
        <w:tabs>
          <w:tab w:val="left" w:pos="7503"/>
        </w:tabs>
        <w:spacing w:after="0" w:line="240" w:lineRule="auto"/>
        <w:ind w:firstLine="709"/>
        <w:jc w:val="both"/>
        <w:rPr>
          <w:rFonts w:ascii="Times New Roman" w:eastAsia="Times New Roman" w:hAnsi="Times New Roman" w:cs="Times New Roman"/>
          <w:sz w:val="28"/>
          <w:szCs w:val="28"/>
          <w:lang w:eastAsia="ru-RU"/>
        </w:rPr>
      </w:pPr>
      <w:r w:rsidRPr="00CF1AAA">
        <w:rPr>
          <w:rFonts w:ascii="Times New Roman" w:eastAsia="Times New Roman" w:hAnsi="Times New Roman" w:cs="Times New Roman"/>
          <w:b/>
          <w:sz w:val="28"/>
          <w:szCs w:val="28"/>
          <w:lang w:eastAsia="ru-RU"/>
        </w:rPr>
        <w:t>Выводы.</w:t>
      </w:r>
      <w:r w:rsidRPr="00CF1AAA">
        <w:rPr>
          <w:rFonts w:ascii="Times New Roman" w:eastAsia="Times New Roman" w:hAnsi="Times New Roman" w:cs="Times New Roman"/>
          <w:b/>
          <w:sz w:val="28"/>
          <w:szCs w:val="24"/>
          <w:lang w:eastAsia="ru-RU"/>
        </w:rPr>
        <w:t xml:space="preserve"> </w:t>
      </w:r>
      <w:r w:rsidRPr="00CF1AAA">
        <w:rPr>
          <w:rFonts w:ascii="Times New Roman" w:eastAsia="Times New Roman" w:hAnsi="Times New Roman" w:cs="Times New Roman"/>
          <w:sz w:val="28"/>
          <w:szCs w:val="28"/>
          <w:lang w:eastAsia="ru-RU"/>
        </w:rPr>
        <w:t>Таким образом,</w:t>
      </w:r>
      <w:r w:rsidRPr="00CF1AAA">
        <w:rPr>
          <w:rFonts w:ascii="Times New Roman" w:eastAsia="Times New Roman" w:hAnsi="Times New Roman" w:cs="Times New Roman"/>
          <w:b/>
          <w:sz w:val="28"/>
          <w:szCs w:val="28"/>
          <w:lang w:eastAsia="ru-RU"/>
        </w:rPr>
        <w:t xml:space="preserve"> </w:t>
      </w:r>
      <w:r w:rsidRPr="00CF1AAA">
        <w:rPr>
          <w:rFonts w:ascii="Times New Roman" w:eastAsia="Times New Roman" w:hAnsi="Times New Roman" w:cs="Times New Roman"/>
          <w:sz w:val="28"/>
          <w:szCs w:val="28"/>
          <w:lang w:eastAsia="ru-RU"/>
        </w:rPr>
        <w:t>модернизация транспортной инфраструктуры Донецкой Народной Республики, реализация выше указанных положений позволит улучшить экономические показатели государства, повысить эффективность транзитного потенциала республики, а также будет способствовать возрождению депрессивных территорий.</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CF1AAA" w:rsidRPr="00CF1AAA" w:rsidTr="00BB1D7C">
        <w:trPr>
          <w:jc w:val="center"/>
        </w:trPr>
        <w:tc>
          <w:tcPr>
            <w:tcW w:w="5000" w:type="pct"/>
            <w:gridSpan w:val="2"/>
          </w:tcPr>
          <w:p w:rsidR="00CF1AAA" w:rsidRPr="00CF1AAA" w:rsidRDefault="00CF1AAA" w:rsidP="00CF1AAA">
            <w:pPr>
              <w:contextualSpacing/>
              <w:jc w:val="both"/>
              <w:rPr>
                <w:rFonts w:ascii="Times New Roman" w:eastAsia="Calibri" w:hAnsi="Times New Roman"/>
                <w:sz w:val="24"/>
                <w:szCs w:val="24"/>
              </w:rPr>
            </w:pPr>
          </w:p>
        </w:tc>
      </w:tr>
      <w:tr w:rsidR="00CF1AAA" w:rsidRPr="00CF1AAA" w:rsidTr="00BB1D7C">
        <w:trPr>
          <w:jc w:val="center"/>
        </w:trPr>
        <w:tc>
          <w:tcPr>
            <w:tcW w:w="5000" w:type="pct"/>
            <w:gridSpan w:val="2"/>
          </w:tcPr>
          <w:p w:rsidR="00CF1AAA" w:rsidRPr="00CF1AAA" w:rsidRDefault="00CF1AAA" w:rsidP="00CF1AAA">
            <w:pPr>
              <w:ind w:firstLine="709"/>
              <w:jc w:val="center"/>
              <w:rPr>
                <w:rFonts w:ascii="Times New Roman" w:hAnsi="Times New Roman"/>
                <w:b/>
                <w:sz w:val="28"/>
                <w:szCs w:val="28"/>
              </w:rPr>
            </w:pPr>
            <w:r w:rsidRPr="00CF1AAA">
              <w:rPr>
                <w:rFonts w:ascii="Times New Roman" w:hAnsi="Times New Roman"/>
                <w:b/>
                <w:sz w:val="28"/>
                <w:szCs w:val="28"/>
              </w:rPr>
              <w:t>Список литературы</w:t>
            </w:r>
          </w:p>
        </w:tc>
      </w:tr>
      <w:tr w:rsidR="00CF1AAA" w:rsidRPr="00CF1AAA" w:rsidTr="00BB1D7C">
        <w:trPr>
          <w:jc w:val="center"/>
        </w:trPr>
        <w:tc>
          <w:tcPr>
            <w:tcW w:w="293" w:type="pct"/>
          </w:tcPr>
          <w:p w:rsidR="00CF1AAA" w:rsidRPr="00CF1AAA" w:rsidRDefault="00CF1AAA" w:rsidP="00CF1AAA">
            <w:pPr>
              <w:widowControl w:val="0"/>
              <w:numPr>
                <w:ilvl w:val="0"/>
                <w:numId w:val="4"/>
              </w:numPr>
              <w:contextualSpacing/>
              <w:jc w:val="both"/>
              <w:rPr>
                <w:rFonts w:ascii="Times New Roman" w:eastAsia="Calibri" w:hAnsi="Times New Roman"/>
                <w:sz w:val="24"/>
                <w:szCs w:val="24"/>
              </w:rPr>
            </w:pPr>
          </w:p>
        </w:tc>
        <w:tc>
          <w:tcPr>
            <w:tcW w:w="4707" w:type="pct"/>
          </w:tcPr>
          <w:p w:rsidR="00CF1AAA" w:rsidRPr="00CF1AAA" w:rsidRDefault="00CF1AAA" w:rsidP="00CF1AAA">
            <w:pPr>
              <w:shd w:val="clear" w:color="auto" w:fill="FFFFFF"/>
              <w:tabs>
                <w:tab w:val="left" w:pos="7503"/>
              </w:tabs>
              <w:jc w:val="both"/>
              <w:rPr>
                <w:rFonts w:ascii="Times New Roman" w:hAnsi="Times New Roman"/>
                <w:sz w:val="24"/>
                <w:szCs w:val="24"/>
              </w:rPr>
            </w:pPr>
            <w:r w:rsidRPr="00CF1AAA">
              <w:rPr>
                <w:rFonts w:ascii="Times New Roman" w:hAnsi="Times New Roman"/>
                <w:sz w:val="24"/>
                <w:szCs w:val="24"/>
              </w:rPr>
              <w:t>Зандер Е.В. Развитие транспортной инфраструктуры как необходимое условие социально-экономического развития региона [Текст] / Е.В. Зандер, Е.А. Корякова // Сибирский журнал науки и технологий. – 2012. № 4. – С. 173-178.</w:t>
            </w:r>
          </w:p>
        </w:tc>
      </w:tr>
      <w:tr w:rsidR="00CF1AAA" w:rsidRPr="00CF1AAA" w:rsidTr="00BB1D7C">
        <w:trPr>
          <w:jc w:val="center"/>
        </w:trPr>
        <w:tc>
          <w:tcPr>
            <w:tcW w:w="293" w:type="pct"/>
          </w:tcPr>
          <w:p w:rsidR="00CF1AAA" w:rsidRPr="00CF1AAA" w:rsidRDefault="00CF1AAA" w:rsidP="00CF1AAA">
            <w:pPr>
              <w:widowControl w:val="0"/>
              <w:numPr>
                <w:ilvl w:val="0"/>
                <w:numId w:val="4"/>
              </w:numPr>
              <w:contextualSpacing/>
              <w:jc w:val="both"/>
              <w:rPr>
                <w:rFonts w:ascii="Times New Roman" w:eastAsia="Calibri" w:hAnsi="Times New Roman"/>
                <w:sz w:val="24"/>
                <w:szCs w:val="24"/>
              </w:rPr>
            </w:pPr>
          </w:p>
        </w:tc>
        <w:tc>
          <w:tcPr>
            <w:tcW w:w="4707" w:type="pct"/>
          </w:tcPr>
          <w:p w:rsidR="00CF1AAA" w:rsidRPr="00CF1AAA" w:rsidRDefault="00CF1AAA" w:rsidP="00CF1AAA">
            <w:pPr>
              <w:shd w:val="clear" w:color="auto" w:fill="FFFFFF"/>
              <w:tabs>
                <w:tab w:val="left" w:pos="7503"/>
              </w:tabs>
              <w:jc w:val="both"/>
              <w:rPr>
                <w:rFonts w:ascii="Times New Roman" w:hAnsi="Times New Roman"/>
                <w:sz w:val="24"/>
                <w:szCs w:val="24"/>
              </w:rPr>
            </w:pPr>
            <w:r w:rsidRPr="00CF1AAA">
              <w:rPr>
                <w:rFonts w:ascii="Times New Roman" w:hAnsi="Times New Roman"/>
                <w:sz w:val="24"/>
                <w:szCs w:val="24"/>
              </w:rPr>
              <w:t>Тумхаджиев А.Б. Развитие транспортной инфраструктуры региона [Текст] / А.Б. Тумхаджиев // Бизнес в законе. Экономико-юридический журнал. – 2012. № 3. – С. 197-200.</w:t>
            </w:r>
          </w:p>
        </w:tc>
      </w:tr>
      <w:tr w:rsidR="00CF1AAA" w:rsidRPr="00CF1AAA" w:rsidTr="00BB1D7C">
        <w:trPr>
          <w:jc w:val="center"/>
        </w:trPr>
        <w:tc>
          <w:tcPr>
            <w:tcW w:w="293" w:type="pct"/>
          </w:tcPr>
          <w:p w:rsidR="00CF1AAA" w:rsidRPr="00CF1AAA" w:rsidRDefault="00CF1AAA" w:rsidP="00CF1AAA">
            <w:pPr>
              <w:widowControl w:val="0"/>
              <w:numPr>
                <w:ilvl w:val="0"/>
                <w:numId w:val="4"/>
              </w:numPr>
              <w:contextualSpacing/>
              <w:jc w:val="both"/>
              <w:rPr>
                <w:rFonts w:ascii="Times New Roman" w:eastAsia="Calibri" w:hAnsi="Times New Roman"/>
                <w:sz w:val="24"/>
                <w:szCs w:val="24"/>
              </w:rPr>
            </w:pPr>
          </w:p>
        </w:tc>
        <w:tc>
          <w:tcPr>
            <w:tcW w:w="4707" w:type="pct"/>
          </w:tcPr>
          <w:p w:rsidR="00CF1AAA" w:rsidRPr="00CF1AAA" w:rsidRDefault="00CF1AAA" w:rsidP="00CF1AAA">
            <w:pPr>
              <w:shd w:val="clear" w:color="auto" w:fill="FFFFFF"/>
              <w:tabs>
                <w:tab w:val="left" w:pos="7503"/>
              </w:tabs>
              <w:jc w:val="both"/>
              <w:rPr>
                <w:rFonts w:ascii="Times New Roman" w:hAnsi="Times New Roman"/>
                <w:sz w:val="24"/>
                <w:szCs w:val="24"/>
              </w:rPr>
            </w:pPr>
            <w:r w:rsidRPr="00CF1AAA">
              <w:rPr>
                <w:rFonts w:ascii="Times New Roman" w:hAnsi="Times New Roman"/>
                <w:sz w:val="24"/>
                <w:szCs w:val="24"/>
              </w:rPr>
              <w:t>Ильина Е.А. Оценка влияния транспортной сети на экономическое развитие региона [Текст] / Е.А. Ильина // ARS ADMINISTRANDI. 2013. № 6. – С. 91-97.</w:t>
            </w:r>
          </w:p>
        </w:tc>
      </w:tr>
      <w:tr w:rsidR="00CF1AAA" w:rsidRPr="00CF1AAA" w:rsidTr="00BB1D7C">
        <w:trPr>
          <w:jc w:val="center"/>
        </w:trPr>
        <w:tc>
          <w:tcPr>
            <w:tcW w:w="293" w:type="pct"/>
          </w:tcPr>
          <w:p w:rsidR="00CF1AAA" w:rsidRPr="00CF1AAA" w:rsidRDefault="00CF1AAA" w:rsidP="00CF1AAA">
            <w:pPr>
              <w:widowControl w:val="0"/>
              <w:numPr>
                <w:ilvl w:val="0"/>
                <w:numId w:val="4"/>
              </w:numPr>
              <w:contextualSpacing/>
              <w:jc w:val="both"/>
              <w:rPr>
                <w:rFonts w:ascii="Times New Roman" w:eastAsia="Calibri" w:hAnsi="Times New Roman"/>
                <w:sz w:val="24"/>
                <w:szCs w:val="24"/>
              </w:rPr>
            </w:pPr>
          </w:p>
        </w:tc>
        <w:tc>
          <w:tcPr>
            <w:tcW w:w="4707" w:type="pct"/>
          </w:tcPr>
          <w:p w:rsidR="00CF1AAA" w:rsidRPr="00CF1AAA" w:rsidRDefault="00CF1AAA" w:rsidP="00CF1AAA">
            <w:pPr>
              <w:shd w:val="clear" w:color="auto" w:fill="FFFFFF"/>
              <w:tabs>
                <w:tab w:val="left" w:pos="7503"/>
              </w:tabs>
              <w:jc w:val="both"/>
              <w:rPr>
                <w:rFonts w:ascii="Times New Roman" w:hAnsi="Times New Roman"/>
                <w:sz w:val="24"/>
                <w:szCs w:val="24"/>
              </w:rPr>
            </w:pPr>
            <w:r w:rsidRPr="00CF1AAA">
              <w:rPr>
                <w:rFonts w:ascii="Times New Roman" w:hAnsi="Times New Roman"/>
                <w:sz w:val="24"/>
                <w:szCs w:val="24"/>
              </w:rPr>
              <w:t xml:space="preserve">Гриценко С.І. Стратегія випередженого розвитку транспортно-логістичних кластерів в Україні / С.І. Гриценко //Маркетинг в Україні. — 2012. – № 2. – С. 56-60. </w:t>
            </w:r>
          </w:p>
        </w:tc>
      </w:tr>
      <w:tr w:rsidR="00CF1AAA" w:rsidRPr="00CF1AAA" w:rsidTr="00BB1D7C">
        <w:trPr>
          <w:jc w:val="center"/>
        </w:trPr>
        <w:tc>
          <w:tcPr>
            <w:tcW w:w="293" w:type="pct"/>
          </w:tcPr>
          <w:p w:rsidR="00CF1AAA" w:rsidRPr="00CF1AAA" w:rsidRDefault="00CF1AAA" w:rsidP="00CF1AAA">
            <w:pPr>
              <w:widowControl w:val="0"/>
              <w:numPr>
                <w:ilvl w:val="0"/>
                <w:numId w:val="4"/>
              </w:numPr>
              <w:contextualSpacing/>
              <w:jc w:val="both"/>
              <w:rPr>
                <w:rFonts w:ascii="Times New Roman" w:eastAsia="Calibri" w:hAnsi="Times New Roman"/>
                <w:sz w:val="24"/>
                <w:szCs w:val="24"/>
              </w:rPr>
            </w:pPr>
          </w:p>
        </w:tc>
        <w:tc>
          <w:tcPr>
            <w:tcW w:w="4707" w:type="pct"/>
          </w:tcPr>
          <w:p w:rsidR="00CF1AAA" w:rsidRPr="00CF1AAA" w:rsidRDefault="00CF1AAA" w:rsidP="00CF1AAA">
            <w:pPr>
              <w:shd w:val="clear" w:color="auto" w:fill="FFFFFF"/>
              <w:tabs>
                <w:tab w:val="left" w:pos="7503"/>
              </w:tabs>
              <w:jc w:val="both"/>
              <w:rPr>
                <w:rFonts w:ascii="Times New Roman" w:hAnsi="Times New Roman"/>
                <w:sz w:val="24"/>
                <w:szCs w:val="24"/>
              </w:rPr>
            </w:pPr>
            <w:r w:rsidRPr="00CF1AAA">
              <w:rPr>
                <w:rFonts w:ascii="Times New Roman" w:hAnsi="Times New Roman"/>
                <w:sz w:val="24"/>
                <w:szCs w:val="24"/>
              </w:rPr>
              <w:t>Курбатова А.В. Экономика и организация управления транспортними потоками: монография – Екатеринбург: UrORAN, 2013 – 252 с.</w:t>
            </w:r>
          </w:p>
        </w:tc>
      </w:tr>
      <w:tr w:rsidR="00CF1AAA" w:rsidRPr="00CF1AAA" w:rsidTr="00BB1D7C">
        <w:trPr>
          <w:jc w:val="center"/>
        </w:trPr>
        <w:tc>
          <w:tcPr>
            <w:tcW w:w="293" w:type="pct"/>
          </w:tcPr>
          <w:p w:rsidR="00CF1AAA" w:rsidRPr="00CF1AAA" w:rsidRDefault="00CF1AAA" w:rsidP="00CF1AAA">
            <w:pPr>
              <w:widowControl w:val="0"/>
              <w:numPr>
                <w:ilvl w:val="0"/>
                <w:numId w:val="4"/>
              </w:numPr>
              <w:contextualSpacing/>
              <w:jc w:val="both"/>
              <w:rPr>
                <w:rFonts w:ascii="Times New Roman" w:eastAsia="Calibri" w:hAnsi="Times New Roman"/>
                <w:sz w:val="24"/>
                <w:szCs w:val="24"/>
              </w:rPr>
            </w:pPr>
          </w:p>
        </w:tc>
        <w:tc>
          <w:tcPr>
            <w:tcW w:w="4707" w:type="pct"/>
          </w:tcPr>
          <w:p w:rsidR="00CF1AAA" w:rsidRPr="00CF1AAA" w:rsidRDefault="00CF1AAA" w:rsidP="00CF1AAA">
            <w:pPr>
              <w:shd w:val="clear" w:color="auto" w:fill="FFFFFF"/>
              <w:tabs>
                <w:tab w:val="left" w:pos="7503"/>
              </w:tabs>
              <w:jc w:val="both"/>
              <w:rPr>
                <w:rFonts w:ascii="Times New Roman" w:hAnsi="Times New Roman"/>
                <w:sz w:val="24"/>
                <w:szCs w:val="24"/>
              </w:rPr>
            </w:pPr>
            <w:r w:rsidRPr="00CF1AAA">
              <w:rPr>
                <w:rFonts w:ascii="Times New Roman" w:hAnsi="Times New Roman"/>
                <w:sz w:val="24"/>
                <w:szCs w:val="24"/>
              </w:rPr>
              <w:t xml:space="preserve">Развитие транспортной инфраструктуры [Электронный ресурс] – Режим доступа: http//: www. transport_econ. </w:t>
            </w:r>
          </w:p>
        </w:tc>
      </w:tr>
      <w:tr w:rsidR="00CF1AAA" w:rsidRPr="00CF1AAA" w:rsidTr="00BB1D7C">
        <w:trPr>
          <w:jc w:val="center"/>
        </w:trPr>
        <w:tc>
          <w:tcPr>
            <w:tcW w:w="293" w:type="pct"/>
          </w:tcPr>
          <w:p w:rsidR="00CF1AAA" w:rsidRPr="00CF1AAA" w:rsidRDefault="00CF1AAA" w:rsidP="00CF1AAA">
            <w:pPr>
              <w:widowControl w:val="0"/>
              <w:numPr>
                <w:ilvl w:val="0"/>
                <w:numId w:val="4"/>
              </w:numPr>
              <w:contextualSpacing/>
              <w:jc w:val="both"/>
              <w:rPr>
                <w:rFonts w:ascii="Times New Roman" w:eastAsia="Calibri" w:hAnsi="Times New Roman"/>
                <w:sz w:val="24"/>
                <w:szCs w:val="24"/>
              </w:rPr>
            </w:pPr>
          </w:p>
        </w:tc>
        <w:tc>
          <w:tcPr>
            <w:tcW w:w="4707" w:type="pct"/>
          </w:tcPr>
          <w:p w:rsidR="00CF1AAA" w:rsidRPr="00CF1AAA" w:rsidRDefault="00CF1AAA" w:rsidP="00CF1AAA">
            <w:pPr>
              <w:jc w:val="both"/>
              <w:rPr>
                <w:rFonts w:ascii="Times New Roman" w:hAnsi="Times New Roman"/>
                <w:sz w:val="24"/>
                <w:szCs w:val="24"/>
              </w:rPr>
            </w:pPr>
            <w:r w:rsidRPr="00CF1AAA">
              <w:rPr>
                <w:rFonts w:ascii="Times New Roman" w:hAnsi="Times New Roman"/>
                <w:sz w:val="24"/>
                <w:szCs w:val="24"/>
              </w:rPr>
              <w:t>Головкова Л.С. Обеспечение конкурентоспособности железнодорожного транспорта в условиях Евроинтеграции [Текст] / Л.С. Головкова, Г.В. Омельчак // Проблемы экономики транспорта. – 2014. № 7. – С. 80-87.</w:t>
            </w:r>
          </w:p>
        </w:tc>
      </w:tr>
      <w:tr w:rsidR="00CF1AAA" w:rsidRPr="00CF1AAA" w:rsidTr="00BB1D7C">
        <w:trPr>
          <w:jc w:val="center"/>
        </w:trPr>
        <w:tc>
          <w:tcPr>
            <w:tcW w:w="293" w:type="pct"/>
          </w:tcPr>
          <w:p w:rsidR="00CF1AAA" w:rsidRPr="00CF1AAA" w:rsidRDefault="00CF1AAA" w:rsidP="00CF1AAA">
            <w:pPr>
              <w:widowControl w:val="0"/>
              <w:numPr>
                <w:ilvl w:val="0"/>
                <w:numId w:val="4"/>
              </w:numPr>
              <w:contextualSpacing/>
              <w:jc w:val="both"/>
              <w:rPr>
                <w:rFonts w:ascii="Times New Roman" w:eastAsia="Calibri" w:hAnsi="Times New Roman"/>
                <w:sz w:val="24"/>
                <w:szCs w:val="24"/>
              </w:rPr>
            </w:pPr>
          </w:p>
        </w:tc>
        <w:tc>
          <w:tcPr>
            <w:tcW w:w="4707" w:type="pct"/>
          </w:tcPr>
          <w:p w:rsidR="00CF1AAA" w:rsidRPr="00CF1AAA" w:rsidRDefault="00CF1AAA" w:rsidP="00CF1AAA">
            <w:pPr>
              <w:shd w:val="clear" w:color="auto" w:fill="FFFFFF"/>
              <w:tabs>
                <w:tab w:val="left" w:pos="7503"/>
              </w:tabs>
              <w:jc w:val="both"/>
              <w:rPr>
                <w:rFonts w:ascii="Times New Roman" w:hAnsi="Times New Roman"/>
                <w:sz w:val="24"/>
                <w:szCs w:val="24"/>
              </w:rPr>
            </w:pPr>
            <w:r w:rsidRPr="00CF1AAA">
              <w:rPr>
                <w:rFonts w:ascii="Times New Roman" w:hAnsi="Times New Roman"/>
                <w:sz w:val="24"/>
                <w:szCs w:val="24"/>
              </w:rPr>
              <w:t>Мищенко Г.И. Механизмы государственного управления развитием транспортного обслуживания населения в регионе: дис. ... канд. наук гос. упр.: спец.: «Механизмы государственного управления» / Г.И. Мищенко. — Донецьк, 2014. – 256 с.</w:t>
            </w:r>
          </w:p>
        </w:tc>
      </w:tr>
    </w:tbl>
    <w:p w:rsidR="00DA6D04" w:rsidRDefault="00DA6D04">
      <w:bookmarkStart w:id="4" w:name="_GoBack"/>
      <w:bookmarkEnd w:id="4"/>
    </w:p>
    <w:sectPr w:rsidR="00DA6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30757"/>
    <w:multiLevelType w:val="hybridMultilevel"/>
    <w:tmpl w:val="A21A4026"/>
    <w:lvl w:ilvl="0" w:tplc="6AD623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CD32675"/>
    <w:multiLevelType w:val="hybridMultilevel"/>
    <w:tmpl w:val="653E53EC"/>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A73E9B"/>
    <w:multiLevelType w:val="hybridMultilevel"/>
    <w:tmpl w:val="E4D66F2C"/>
    <w:lvl w:ilvl="0" w:tplc="6AD62322">
      <w:start w:val="1"/>
      <w:numFmt w:val="bullet"/>
      <w:lvlText w:val=""/>
      <w:lvlJc w:val="left"/>
      <w:pPr>
        <w:ind w:left="1282" w:hanging="360"/>
      </w:pPr>
      <w:rPr>
        <w:rFonts w:ascii="Symbol" w:hAnsi="Symbol" w:hint="default"/>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3" w15:restartNumberingAfterBreak="0">
    <w:nsid w:val="5CE929EB"/>
    <w:multiLevelType w:val="hybridMultilevel"/>
    <w:tmpl w:val="8FB0D5A0"/>
    <w:lvl w:ilvl="0" w:tplc="6AD62322">
      <w:start w:val="1"/>
      <w:numFmt w:val="bullet"/>
      <w:lvlText w:val=""/>
      <w:lvlJc w:val="left"/>
      <w:pPr>
        <w:ind w:left="1282" w:hanging="360"/>
      </w:pPr>
      <w:rPr>
        <w:rFonts w:ascii="Symbol" w:hAnsi="Symbol" w:hint="default"/>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AA"/>
    <w:rsid w:val="00CF1AAA"/>
    <w:rsid w:val="00DA6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154D1-4E3C-48A7-A36B-0034A5A0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1AA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1842</Words>
  <Characters>10501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2018-09-22T06:45:00Z</dcterms:created>
  <dcterms:modified xsi:type="dcterms:W3CDTF">2018-09-22T06:46:00Z</dcterms:modified>
</cp:coreProperties>
</file>