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136"/>
      </w:tblGrid>
      <w:tr w:rsidR="00D4728D" w:rsidRPr="00D4728D" w:rsidTr="00BB1D7C">
        <w:trPr>
          <w:jc w:val="center"/>
        </w:trPr>
        <w:tc>
          <w:tcPr>
            <w:tcW w:w="2165" w:type="pct"/>
          </w:tcPr>
          <w:p w:rsidR="00D4728D" w:rsidRPr="00D4728D" w:rsidRDefault="00D4728D" w:rsidP="00D4728D">
            <w:pPr>
              <w:widowControl w:val="0"/>
              <w:spacing w:line="228" w:lineRule="auto"/>
              <w:rPr>
                <w:rFonts w:ascii="Times New Roman" w:hAnsi="Times New Roman"/>
                <w:sz w:val="28"/>
                <w:szCs w:val="28"/>
              </w:rPr>
            </w:pPr>
            <w:r w:rsidRPr="00D4728D">
              <w:rPr>
                <w:rFonts w:ascii="Times New Roman" w:hAnsi="Times New Roman"/>
                <w:b/>
                <w:sz w:val="28"/>
                <w:szCs w:val="24"/>
                <w:shd w:val="clear" w:color="auto" w:fill="FFFFFF"/>
              </w:rPr>
              <w:t>УДК 338.2</w:t>
            </w:r>
          </w:p>
        </w:tc>
        <w:tc>
          <w:tcPr>
            <w:tcW w:w="2636" w:type="pct"/>
            <w:tcMar>
              <w:left w:w="0" w:type="dxa"/>
              <w:right w:w="0" w:type="dxa"/>
            </w:tcMar>
          </w:tcPr>
          <w:p w:rsidR="00D4728D" w:rsidRPr="00D4728D" w:rsidRDefault="00D4728D" w:rsidP="00D4728D">
            <w:pPr>
              <w:widowControl w:val="0"/>
              <w:shd w:val="clear" w:color="auto" w:fill="FFFFFF"/>
              <w:spacing w:line="228" w:lineRule="auto"/>
              <w:rPr>
                <w:rFonts w:ascii="Times New Roman" w:hAnsi="Times New Roman"/>
                <w:sz w:val="28"/>
                <w:szCs w:val="28"/>
              </w:rPr>
            </w:pPr>
          </w:p>
        </w:tc>
      </w:tr>
      <w:tr w:rsidR="00D4728D" w:rsidRPr="00D4728D" w:rsidTr="00BB1D7C">
        <w:trPr>
          <w:jc w:val="center"/>
        </w:trPr>
        <w:tc>
          <w:tcPr>
            <w:tcW w:w="2165" w:type="pct"/>
          </w:tcPr>
          <w:p w:rsidR="00D4728D" w:rsidRPr="00D4728D" w:rsidRDefault="00D4728D" w:rsidP="00D4728D">
            <w:pPr>
              <w:widowControl w:val="0"/>
              <w:spacing w:line="228" w:lineRule="auto"/>
              <w:jc w:val="right"/>
              <w:rPr>
                <w:rFonts w:ascii="Times New Roman" w:hAnsi="Times New Roman"/>
                <w:sz w:val="28"/>
                <w:szCs w:val="28"/>
              </w:rPr>
            </w:pPr>
          </w:p>
        </w:tc>
        <w:tc>
          <w:tcPr>
            <w:tcW w:w="2636" w:type="pct"/>
            <w:tcMar>
              <w:left w:w="0" w:type="dxa"/>
              <w:right w:w="0" w:type="dxa"/>
            </w:tcMar>
          </w:tcPr>
          <w:p w:rsidR="00D4728D" w:rsidRPr="00D4728D" w:rsidRDefault="00D4728D" w:rsidP="00D4728D">
            <w:pPr>
              <w:widowControl w:val="0"/>
              <w:spacing w:line="228" w:lineRule="auto"/>
              <w:jc w:val="both"/>
              <w:rPr>
                <w:rFonts w:ascii="Times New Roman" w:hAnsi="Times New Roman"/>
                <w:sz w:val="28"/>
                <w:szCs w:val="24"/>
              </w:rPr>
            </w:pPr>
            <w:bookmarkStart w:id="0" w:name="_Toc518846461"/>
            <w:r w:rsidRPr="00D4728D">
              <w:rPr>
                <w:rFonts w:ascii="Times New Roman" w:hAnsi="Times New Roman"/>
                <w:b/>
                <w:bCs/>
                <w:sz w:val="28"/>
                <w:szCs w:val="28"/>
              </w:rPr>
              <w:t>Е.Г. Курган,</w:t>
            </w:r>
            <w:bookmarkEnd w:id="0"/>
            <w:r w:rsidRPr="00D4728D">
              <w:rPr>
                <w:rFonts w:ascii="Times New Roman" w:hAnsi="Times New Roman"/>
                <w:sz w:val="28"/>
                <w:szCs w:val="24"/>
                <w:shd w:val="clear" w:color="auto" w:fill="FFFFFF"/>
              </w:rPr>
              <w:t xml:space="preserve"> </w:t>
            </w:r>
            <w:r w:rsidRPr="00D4728D">
              <w:rPr>
                <w:rFonts w:ascii="Times New Roman" w:hAnsi="Times New Roman"/>
                <w:i/>
                <w:sz w:val="28"/>
                <w:szCs w:val="24"/>
                <w:shd w:val="clear" w:color="auto" w:fill="FFFFFF"/>
              </w:rPr>
              <w:t>к.э.н., доц.</w:t>
            </w:r>
          </w:p>
          <w:p w:rsidR="00D4728D" w:rsidRPr="00D4728D" w:rsidRDefault="00D4728D" w:rsidP="00D4728D">
            <w:pPr>
              <w:widowControl w:val="0"/>
              <w:numPr>
                <w:ilvl w:val="1"/>
                <w:numId w:val="0"/>
              </w:numPr>
              <w:tabs>
                <w:tab w:val="left" w:pos="709"/>
              </w:tabs>
              <w:suppressAutoHyphens/>
              <w:spacing w:line="228" w:lineRule="auto"/>
              <w:ind w:firstLine="709"/>
              <w:outlineLvl w:val="1"/>
              <w:rPr>
                <w:rFonts w:ascii="Times New Roman" w:hAnsi="Times New Roman"/>
                <w:b/>
                <w:bCs/>
                <w:sz w:val="28"/>
                <w:szCs w:val="28"/>
                <w:shd w:val="clear" w:color="auto" w:fill="FFFFFF"/>
              </w:rPr>
            </w:pPr>
            <w:bookmarkStart w:id="1" w:name="_Toc518846462"/>
            <w:r w:rsidRPr="00D4728D">
              <w:rPr>
                <w:rFonts w:ascii="Times New Roman" w:hAnsi="Times New Roman"/>
                <w:b/>
                <w:bCs/>
                <w:sz w:val="28"/>
                <w:szCs w:val="28"/>
                <w:shd w:val="clear" w:color="auto" w:fill="FFFFFF"/>
              </w:rPr>
              <w:t>О.Ю. Савченко</w:t>
            </w:r>
            <w:bookmarkEnd w:id="1"/>
          </w:p>
          <w:p w:rsidR="00D4728D" w:rsidRPr="00D4728D" w:rsidRDefault="00D4728D" w:rsidP="00D4728D">
            <w:pPr>
              <w:widowControl w:val="0"/>
              <w:spacing w:line="228" w:lineRule="auto"/>
              <w:rPr>
                <w:rFonts w:ascii="Times New Roman" w:hAnsi="Times New Roman"/>
                <w:i/>
                <w:sz w:val="28"/>
                <w:szCs w:val="28"/>
                <w:shd w:val="clear" w:color="auto" w:fill="FFFFFF"/>
              </w:rPr>
            </w:pPr>
            <w:r w:rsidRPr="00D4728D">
              <w:rPr>
                <w:rFonts w:ascii="Times New Roman" w:hAnsi="Times New Roman"/>
                <w:i/>
                <w:sz w:val="28"/>
                <w:szCs w:val="28"/>
                <w:shd w:val="clear" w:color="auto" w:fill="FFFFFF"/>
              </w:rPr>
              <w:t xml:space="preserve">ГОУ ВПО «Донецкий национальный технический университет» </w:t>
            </w:r>
          </w:p>
          <w:p w:rsidR="00D4728D" w:rsidRPr="00D4728D" w:rsidRDefault="00D4728D" w:rsidP="00D4728D">
            <w:pPr>
              <w:widowControl w:val="0"/>
              <w:spacing w:line="228" w:lineRule="auto"/>
              <w:jc w:val="both"/>
              <w:rPr>
                <w:rFonts w:ascii="Times New Roman" w:hAnsi="Times New Roman"/>
                <w:i/>
                <w:sz w:val="28"/>
                <w:szCs w:val="28"/>
              </w:rPr>
            </w:pPr>
            <w:r w:rsidRPr="00D4728D">
              <w:rPr>
                <w:rFonts w:ascii="Times New Roman" w:hAnsi="Times New Roman"/>
                <w:i/>
                <w:sz w:val="28"/>
                <w:szCs w:val="28"/>
              </w:rPr>
              <w:t>Донецк, Донецкая Народная Республика</w:t>
            </w:r>
          </w:p>
          <w:p w:rsidR="00D4728D" w:rsidRPr="00D4728D" w:rsidRDefault="00D4728D" w:rsidP="00D4728D">
            <w:pPr>
              <w:widowControl w:val="0"/>
              <w:spacing w:line="228" w:lineRule="auto"/>
              <w:jc w:val="both"/>
              <w:rPr>
                <w:rFonts w:ascii="Times New Roman" w:hAnsi="Times New Roman"/>
                <w:b/>
                <w:i/>
                <w:color w:val="313131"/>
                <w:sz w:val="28"/>
                <w:szCs w:val="28"/>
              </w:rPr>
            </w:pPr>
            <w:r w:rsidRPr="00D4728D">
              <w:rPr>
                <w:rFonts w:ascii="Times New Roman" w:hAnsi="Times New Roman"/>
                <w:b/>
                <w:i/>
                <w:color w:val="313131"/>
                <w:sz w:val="28"/>
                <w:szCs w:val="28"/>
                <w:lang w:val="en-US"/>
              </w:rPr>
              <w:t>E</w:t>
            </w:r>
            <w:r w:rsidRPr="00D4728D">
              <w:rPr>
                <w:rFonts w:ascii="Times New Roman" w:hAnsi="Times New Roman"/>
                <w:b/>
                <w:i/>
                <w:color w:val="313131"/>
                <w:sz w:val="28"/>
                <w:szCs w:val="28"/>
              </w:rPr>
              <w:t>.</w:t>
            </w:r>
            <w:r w:rsidRPr="00D4728D">
              <w:rPr>
                <w:rFonts w:ascii="Times New Roman" w:hAnsi="Times New Roman"/>
                <w:b/>
                <w:i/>
                <w:color w:val="313131"/>
                <w:sz w:val="28"/>
                <w:szCs w:val="28"/>
                <w:lang w:val="en-US"/>
              </w:rPr>
              <w:t>G</w:t>
            </w:r>
            <w:r w:rsidRPr="00D4728D">
              <w:rPr>
                <w:rFonts w:ascii="Times New Roman" w:hAnsi="Times New Roman"/>
                <w:b/>
                <w:i/>
                <w:color w:val="313131"/>
                <w:sz w:val="28"/>
                <w:szCs w:val="28"/>
              </w:rPr>
              <w:t xml:space="preserve">. </w:t>
            </w:r>
            <w:r w:rsidRPr="00D4728D">
              <w:rPr>
                <w:rFonts w:ascii="Times New Roman" w:hAnsi="Times New Roman"/>
                <w:b/>
                <w:i/>
                <w:color w:val="313131"/>
                <w:sz w:val="28"/>
                <w:szCs w:val="28"/>
                <w:lang w:val="en-US"/>
              </w:rPr>
              <w:t>Kurgan</w:t>
            </w:r>
            <w:r w:rsidRPr="00D4728D">
              <w:rPr>
                <w:rFonts w:ascii="Times New Roman" w:hAnsi="Times New Roman"/>
                <w:i/>
                <w:color w:val="313131"/>
                <w:sz w:val="28"/>
                <w:szCs w:val="28"/>
              </w:rPr>
              <w:t xml:space="preserve">, </w:t>
            </w:r>
            <w:r w:rsidRPr="00D4728D">
              <w:rPr>
                <w:rFonts w:ascii="Times New Roman" w:hAnsi="Times New Roman"/>
                <w:b/>
                <w:i/>
                <w:color w:val="313131"/>
                <w:sz w:val="28"/>
                <w:szCs w:val="28"/>
                <w:lang w:val="en-US"/>
              </w:rPr>
              <w:t>O</w:t>
            </w:r>
            <w:r w:rsidRPr="00D4728D">
              <w:rPr>
                <w:rFonts w:ascii="Times New Roman" w:hAnsi="Times New Roman"/>
                <w:b/>
                <w:i/>
                <w:color w:val="313131"/>
                <w:sz w:val="28"/>
                <w:szCs w:val="28"/>
              </w:rPr>
              <w:t>.</w:t>
            </w:r>
            <w:r w:rsidRPr="00D4728D">
              <w:rPr>
                <w:rFonts w:ascii="Times New Roman" w:hAnsi="Times New Roman"/>
                <w:b/>
                <w:i/>
                <w:color w:val="313131"/>
                <w:sz w:val="28"/>
                <w:szCs w:val="28"/>
                <w:lang w:val="en-US"/>
              </w:rPr>
              <w:t>J</w:t>
            </w:r>
            <w:r w:rsidRPr="00D4728D">
              <w:rPr>
                <w:rFonts w:ascii="Times New Roman" w:hAnsi="Times New Roman"/>
                <w:b/>
                <w:i/>
                <w:color w:val="313131"/>
                <w:sz w:val="28"/>
                <w:szCs w:val="28"/>
              </w:rPr>
              <w:t xml:space="preserve">. </w:t>
            </w:r>
            <w:r w:rsidRPr="00D4728D">
              <w:rPr>
                <w:rFonts w:ascii="Times New Roman" w:hAnsi="Times New Roman"/>
                <w:b/>
                <w:i/>
                <w:color w:val="313131"/>
                <w:sz w:val="28"/>
                <w:szCs w:val="28"/>
                <w:lang w:val="en-US"/>
              </w:rPr>
              <w:t>Savtchenko</w:t>
            </w:r>
            <w:r w:rsidRPr="00D4728D">
              <w:rPr>
                <w:rFonts w:ascii="Times New Roman" w:hAnsi="Times New Roman"/>
                <w:b/>
                <w:i/>
                <w:color w:val="313131"/>
                <w:sz w:val="28"/>
                <w:szCs w:val="28"/>
              </w:rPr>
              <w:t xml:space="preserve"> </w:t>
            </w:r>
          </w:p>
          <w:p w:rsidR="00D4728D" w:rsidRPr="00D4728D" w:rsidRDefault="00D4728D" w:rsidP="00D4728D">
            <w:pPr>
              <w:widowControl w:val="0"/>
              <w:tabs>
                <w:tab w:val="left" w:pos="709"/>
              </w:tabs>
              <w:suppressAutoHyphens/>
              <w:spacing w:line="228" w:lineRule="auto"/>
              <w:rPr>
                <w:rFonts w:ascii="Times New Roman" w:hAnsi="Times New Roman"/>
                <w:i/>
                <w:sz w:val="28"/>
                <w:szCs w:val="28"/>
                <w:lang w:val="en-US"/>
              </w:rPr>
            </w:pPr>
            <w:r w:rsidRPr="00D4728D">
              <w:rPr>
                <w:rFonts w:ascii="Times New Roman" w:hAnsi="Times New Roman"/>
                <w:i/>
                <w:sz w:val="28"/>
                <w:szCs w:val="28"/>
                <w:lang w:val="en-US"/>
              </w:rPr>
              <w:t>Donetsk national Technical University</w:t>
            </w:r>
          </w:p>
          <w:p w:rsidR="00D4728D" w:rsidRPr="00D4728D" w:rsidRDefault="00D4728D" w:rsidP="00D4728D">
            <w:pPr>
              <w:widowControl w:val="0"/>
              <w:spacing w:line="228" w:lineRule="auto"/>
              <w:jc w:val="both"/>
              <w:rPr>
                <w:rFonts w:ascii="Times New Roman" w:hAnsi="Times New Roman"/>
                <w:i/>
                <w:sz w:val="28"/>
                <w:szCs w:val="24"/>
                <w:lang w:val="en-US"/>
              </w:rPr>
            </w:pPr>
            <w:r w:rsidRPr="00D4728D">
              <w:rPr>
                <w:rFonts w:ascii="Times New Roman" w:hAnsi="Times New Roman"/>
                <w:i/>
                <w:sz w:val="28"/>
                <w:szCs w:val="28"/>
                <w:lang w:val="en-US"/>
              </w:rPr>
              <w:t>Donetsk, Donetsk People's Republic</w:t>
            </w:r>
          </w:p>
        </w:tc>
      </w:tr>
      <w:tr w:rsidR="00D4728D" w:rsidRPr="00D4728D" w:rsidTr="00BB1D7C">
        <w:trPr>
          <w:trHeight w:val="221"/>
          <w:jc w:val="center"/>
        </w:trPr>
        <w:tc>
          <w:tcPr>
            <w:tcW w:w="2165" w:type="pct"/>
          </w:tcPr>
          <w:p w:rsidR="00D4728D" w:rsidRPr="00D4728D" w:rsidRDefault="00D4728D" w:rsidP="00D4728D">
            <w:pPr>
              <w:keepNext/>
              <w:keepLines/>
              <w:ind w:hanging="28"/>
              <w:jc w:val="center"/>
              <w:outlineLvl w:val="0"/>
              <w:rPr>
                <w:rFonts w:ascii="Times New Roman" w:hAnsi="Times New Roman"/>
                <w:b/>
                <w:bCs/>
                <w:caps/>
                <w:sz w:val="28"/>
                <w:szCs w:val="28"/>
                <w:shd w:val="clear" w:color="auto" w:fill="FFFFFF"/>
                <w:lang w:val="en-US"/>
              </w:rPr>
            </w:pPr>
          </w:p>
        </w:tc>
        <w:tc>
          <w:tcPr>
            <w:tcW w:w="2636" w:type="pct"/>
          </w:tcPr>
          <w:p w:rsidR="00D4728D" w:rsidRPr="00D4728D" w:rsidRDefault="00D4728D" w:rsidP="00D4728D">
            <w:pPr>
              <w:widowControl w:val="0"/>
              <w:spacing w:line="228" w:lineRule="auto"/>
              <w:jc w:val="both"/>
              <w:rPr>
                <w:rFonts w:ascii="Times New Roman" w:hAnsi="Times New Roman"/>
                <w:lang w:val="en-US"/>
              </w:rPr>
            </w:pPr>
          </w:p>
        </w:tc>
      </w:tr>
      <w:tr w:rsidR="00D4728D" w:rsidRPr="00D4728D" w:rsidTr="00BB1D7C">
        <w:trPr>
          <w:jc w:val="center"/>
        </w:trPr>
        <w:tc>
          <w:tcPr>
            <w:tcW w:w="4801" w:type="pct"/>
            <w:gridSpan w:val="2"/>
          </w:tcPr>
          <w:p w:rsidR="00D4728D" w:rsidRPr="00D4728D" w:rsidRDefault="00D4728D" w:rsidP="00D4728D">
            <w:pPr>
              <w:keepNext/>
              <w:keepLines/>
              <w:ind w:hanging="28"/>
              <w:jc w:val="center"/>
              <w:outlineLvl w:val="0"/>
              <w:rPr>
                <w:rFonts w:ascii="Times New Roman" w:hAnsi="Times New Roman"/>
                <w:b/>
                <w:bCs/>
                <w:caps/>
                <w:sz w:val="28"/>
                <w:szCs w:val="28"/>
                <w:shd w:val="clear" w:color="auto" w:fill="FFFFFF"/>
              </w:rPr>
            </w:pPr>
            <w:bookmarkStart w:id="2" w:name="_Toc518846463"/>
            <w:r w:rsidRPr="00D4728D">
              <w:rPr>
                <w:rFonts w:ascii="Times New Roman" w:hAnsi="Times New Roman"/>
                <w:b/>
                <w:bCs/>
                <w:caps/>
                <w:sz w:val="28"/>
                <w:szCs w:val="28"/>
                <w:shd w:val="clear" w:color="auto" w:fill="FFFFFF"/>
              </w:rPr>
              <w:t>СОВЕРШЕНСТВОВАНИЕ СИСТЕМЫ ГОСУДАРСТВЕННОГО СТРАТЕГИЧЕСКОГО ПЛАНИРОВАНИЯ И ПРОГНОЗИРОВАНИЯ</w:t>
            </w:r>
            <w:bookmarkEnd w:id="2"/>
            <w:r w:rsidRPr="00D4728D">
              <w:rPr>
                <w:rFonts w:ascii="Times New Roman" w:hAnsi="Times New Roman"/>
                <w:b/>
                <w:bCs/>
                <w:caps/>
                <w:sz w:val="28"/>
                <w:szCs w:val="28"/>
                <w:shd w:val="clear" w:color="auto" w:fill="FFFFFF"/>
              </w:rPr>
              <w:t xml:space="preserve"> </w:t>
            </w:r>
          </w:p>
        </w:tc>
      </w:tr>
      <w:tr w:rsidR="00D4728D" w:rsidRPr="00D4728D" w:rsidTr="00BB1D7C">
        <w:trPr>
          <w:jc w:val="center"/>
        </w:trPr>
        <w:tc>
          <w:tcPr>
            <w:tcW w:w="4801" w:type="pct"/>
            <w:gridSpan w:val="2"/>
          </w:tcPr>
          <w:p w:rsidR="00D4728D" w:rsidRPr="00D4728D" w:rsidRDefault="00D4728D" w:rsidP="00D4728D">
            <w:pPr>
              <w:widowControl w:val="0"/>
              <w:spacing w:line="228" w:lineRule="auto"/>
              <w:jc w:val="both"/>
              <w:rPr>
                <w:rFonts w:ascii="Times New Roman" w:hAnsi="Times New Roman"/>
              </w:rPr>
            </w:pPr>
          </w:p>
        </w:tc>
      </w:tr>
      <w:tr w:rsidR="00D4728D" w:rsidRPr="00D4728D" w:rsidTr="00BB1D7C">
        <w:trPr>
          <w:jc w:val="center"/>
        </w:trPr>
        <w:tc>
          <w:tcPr>
            <w:tcW w:w="4801" w:type="pct"/>
            <w:gridSpan w:val="2"/>
          </w:tcPr>
          <w:p w:rsidR="00D4728D" w:rsidRPr="00D4728D" w:rsidRDefault="00D4728D" w:rsidP="00D4728D">
            <w:pPr>
              <w:widowControl w:val="0"/>
              <w:shd w:val="clear" w:color="auto" w:fill="FFFFFF"/>
              <w:spacing w:line="228" w:lineRule="auto"/>
              <w:jc w:val="center"/>
              <w:rPr>
                <w:rFonts w:ascii="Times New Roman" w:hAnsi="Times New Roman"/>
                <w:b/>
                <w:sz w:val="28"/>
                <w:szCs w:val="28"/>
                <w:lang w:val="en-US"/>
              </w:rPr>
            </w:pPr>
            <w:r w:rsidRPr="00D4728D">
              <w:rPr>
                <w:rFonts w:ascii="Times New Roman" w:hAnsi="Times New Roman"/>
                <w:b/>
                <w:sz w:val="28"/>
                <w:szCs w:val="28"/>
                <w:lang w:val="en-US"/>
              </w:rPr>
              <w:t xml:space="preserve">IMPROVING THE STATE STRATEGIC PLANNING AND FORECASTING SYSTEM </w:t>
            </w:r>
          </w:p>
        </w:tc>
      </w:tr>
    </w:tbl>
    <w:p w:rsidR="00D4728D" w:rsidRPr="00D4728D" w:rsidRDefault="00D4728D" w:rsidP="00D4728D">
      <w:pPr>
        <w:widowControl w:val="0"/>
        <w:spacing w:after="0" w:line="228" w:lineRule="auto"/>
        <w:ind w:firstLine="709"/>
        <w:jc w:val="both"/>
        <w:rPr>
          <w:rFonts w:ascii="Times New Roman" w:eastAsia="Times New Roman" w:hAnsi="Times New Roman" w:cs="Times New Roman"/>
          <w:i/>
          <w:sz w:val="24"/>
          <w:szCs w:val="24"/>
          <w:shd w:val="clear" w:color="auto" w:fill="FFFFFF"/>
          <w:lang w:val="en-US" w:eastAsia="ru-RU"/>
        </w:rPr>
      </w:pPr>
    </w:p>
    <w:p w:rsidR="00D4728D" w:rsidRPr="00D4728D" w:rsidRDefault="00D4728D" w:rsidP="00D4728D">
      <w:pPr>
        <w:widowControl w:val="0"/>
        <w:tabs>
          <w:tab w:val="left" w:pos="5896"/>
        </w:tabs>
        <w:spacing w:after="0" w:line="228" w:lineRule="auto"/>
        <w:ind w:firstLine="709"/>
        <w:jc w:val="both"/>
        <w:rPr>
          <w:rFonts w:ascii="Times New Roman" w:eastAsia="Times New Roman" w:hAnsi="Times New Roman" w:cs="Times New Roman"/>
          <w:i/>
          <w:spacing w:val="-12"/>
          <w:sz w:val="24"/>
          <w:szCs w:val="24"/>
          <w:lang w:eastAsia="ru-RU"/>
        </w:rPr>
      </w:pPr>
      <w:r w:rsidRPr="00D4728D">
        <w:rPr>
          <w:rFonts w:ascii="Times New Roman" w:eastAsia="Times New Roman" w:hAnsi="Times New Roman" w:cs="Times New Roman"/>
          <w:i/>
          <w:spacing w:val="-12"/>
          <w:sz w:val="24"/>
          <w:szCs w:val="24"/>
          <w:lang w:eastAsia="ru-RU"/>
        </w:rPr>
        <w:t>Аннотация. В статье определены современные тенденции системы государственного стратегического планирования и прогнозирования, а также представлены основные направления развития системы государственного стратегического планирования и прогнозирования в Донецкой Народной Республике. Проведен анализ сильных и слабых сторон, возможностей и угроз при реализации направлений по совершенствованию системы государственного стратегического планирования.</w:t>
      </w:r>
    </w:p>
    <w:p w:rsidR="00D4728D" w:rsidRPr="00D4728D" w:rsidRDefault="00D4728D" w:rsidP="00D4728D">
      <w:pPr>
        <w:widowControl w:val="0"/>
        <w:tabs>
          <w:tab w:val="left" w:pos="5896"/>
        </w:tabs>
        <w:spacing w:after="0" w:line="228" w:lineRule="auto"/>
        <w:ind w:firstLine="709"/>
        <w:jc w:val="both"/>
        <w:rPr>
          <w:rFonts w:ascii="Times New Roman" w:eastAsia="Times New Roman" w:hAnsi="Times New Roman" w:cs="Times New Roman"/>
          <w:i/>
          <w:sz w:val="24"/>
          <w:szCs w:val="24"/>
          <w:lang w:eastAsia="ru-RU"/>
        </w:rPr>
      </w:pPr>
      <w:r w:rsidRPr="00D4728D">
        <w:rPr>
          <w:rFonts w:ascii="Times New Roman" w:eastAsia="Times New Roman" w:hAnsi="Times New Roman" w:cs="Times New Roman"/>
          <w:i/>
          <w:sz w:val="24"/>
          <w:szCs w:val="24"/>
          <w:lang w:eastAsia="ru-RU"/>
        </w:rPr>
        <w:t>Ключевые слова: государственное стратегическое планирование, прогнозирование, система, информационная платформа.</w:t>
      </w:r>
    </w:p>
    <w:p w:rsidR="00D4728D" w:rsidRPr="00D4728D" w:rsidRDefault="00D4728D" w:rsidP="00D4728D">
      <w:pPr>
        <w:widowControl w:val="0"/>
        <w:tabs>
          <w:tab w:val="left" w:pos="5896"/>
        </w:tabs>
        <w:spacing w:after="0" w:line="228" w:lineRule="auto"/>
        <w:ind w:firstLine="709"/>
        <w:jc w:val="both"/>
        <w:rPr>
          <w:rFonts w:ascii="Times New Roman" w:eastAsia="Times New Roman" w:hAnsi="Times New Roman" w:cs="Times New Roman"/>
          <w:i/>
          <w:sz w:val="24"/>
          <w:szCs w:val="24"/>
          <w:lang w:eastAsia="ru-RU"/>
        </w:rPr>
      </w:pPr>
    </w:p>
    <w:p w:rsidR="00D4728D" w:rsidRPr="00D4728D" w:rsidRDefault="00D4728D" w:rsidP="00D4728D">
      <w:pPr>
        <w:widowControl w:val="0"/>
        <w:tabs>
          <w:tab w:val="left" w:pos="5896"/>
        </w:tabs>
        <w:spacing w:after="0" w:line="228" w:lineRule="auto"/>
        <w:ind w:firstLine="709"/>
        <w:jc w:val="both"/>
        <w:rPr>
          <w:rFonts w:ascii="Times New Roman" w:eastAsia="Times New Roman" w:hAnsi="Times New Roman" w:cs="Times New Roman"/>
          <w:i/>
          <w:spacing w:val="-12"/>
          <w:sz w:val="24"/>
          <w:szCs w:val="24"/>
          <w:lang w:val="en-US" w:eastAsia="ru-RU"/>
        </w:rPr>
      </w:pPr>
      <w:r w:rsidRPr="00D4728D">
        <w:rPr>
          <w:rFonts w:ascii="Times New Roman" w:eastAsia="Times New Roman" w:hAnsi="Times New Roman" w:cs="Times New Roman"/>
          <w:i/>
          <w:spacing w:val="-12"/>
          <w:sz w:val="24"/>
          <w:szCs w:val="24"/>
          <w:lang w:val="en-US" w:eastAsia="ru-RU"/>
        </w:rPr>
        <w:t>Abstract. In article current trends of system of the state strategic planning and forecasting are defined and also the main directions of development of system of the state strategic planning and forecasting in the Donetsk People's Republic are presented. The analysis strong and weaknesses, opportunities and threats at realization of the directions on improvement of system of the state strategic planning is carried out.</w:t>
      </w:r>
    </w:p>
    <w:p w:rsidR="00D4728D" w:rsidRPr="00D4728D" w:rsidRDefault="00D4728D" w:rsidP="00D4728D">
      <w:pPr>
        <w:widowControl w:val="0"/>
        <w:tabs>
          <w:tab w:val="left" w:pos="5896"/>
        </w:tabs>
        <w:spacing w:after="0" w:line="228" w:lineRule="auto"/>
        <w:ind w:firstLine="709"/>
        <w:jc w:val="both"/>
        <w:rPr>
          <w:rFonts w:ascii="Times New Roman" w:eastAsia="Times New Roman" w:hAnsi="Times New Roman" w:cs="Times New Roman"/>
          <w:i/>
          <w:sz w:val="24"/>
          <w:szCs w:val="24"/>
          <w:lang w:val="en-US" w:eastAsia="ru-RU"/>
        </w:rPr>
      </w:pPr>
      <w:r w:rsidRPr="00D4728D">
        <w:rPr>
          <w:rFonts w:ascii="Times New Roman" w:eastAsia="Times New Roman" w:hAnsi="Times New Roman" w:cs="Times New Roman"/>
          <w:i/>
          <w:sz w:val="24"/>
          <w:szCs w:val="24"/>
          <w:lang w:val="en-US" w:eastAsia="ru-RU"/>
        </w:rPr>
        <w:t>Keywords: state strategic planning, forecasting, system, information platform.</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b/>
          <w:sz w:val="24"/>
          <w:szCs w:val="24"/>
          <w:lang w:val="en-US" w:eastAsia="ru-RU"/>
        </w:rPr>
      </w:pPr>
    </w:p>
    <w:p w:rsidR="00D4728D" w:rsidRPr="00D4728D" w:rsidRDefault="00D4728D" w:rsidP="00D4728D">
      <w:pPr>
        <w:widowControl w:val="0"/>
        <w:spacing w:after="0" w:line="228"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b/>
          <w:sz w:val="28"/>
          <w:szCs w:val="28"/>
          <w:lang w:eastAsia="ru-RU"/>
        </w:rPr>
        <w:t>Постановка проблемы.</w:t>
      </w:r>
      <w:r w:rsidRPr="00D4728D">
        <w:rPr>
          <w:rFonts w:ascii="Times New Roman" w:eastAsia="Times New Roman" w:hAnsi="Times New Roman" w:cs="Times New Roman"/>
          <w:sz w:val="28"/>
          <w:szCs w:val="28"/>
          <w:lang w:eastAsia="ru-RU"/>
        </w:rPr>
        <w:t xml:space="preserve"> Совершенствование системы государственного стратегического планирования и прогнозирования, как важнейшего инструмента влияния на социально-экономическое развитие государства, является актуальной темой исследования. В настоящее время отсутствие целостной системы государственного стратегического планирования, как в Российской Федерации, так и в Донецкой Народной Республике не позволяет достичь должного эффекта стратегических решений по социально-экономическому развитию.</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z w:val="28"/>
          <w:szCs w:val="28"/>
          <w:shd w:val="clear" w:color="auto" w:fill="FFFFFF"/>
          <w:lang w:eastAsia="ru-RU"/>
        </w:rPr>
      </w:pPr>
      <w:r w:rsidRPr="00D4728D">
        <w:rPr>
          <w:rFonts w:ascii="Times New Roman" w:eastAsia="Times New Roman" w:hAnsi="Times New Roman" w:cs="Times New Roman"/>
          <w:b/>
          <w:sz w:val="28"/>
          <w:szCs w:val="28"/>
          <w:shd w:val="clear" w:color="auto" w:fill="FFFFFF"/>
          <w:lang w:eastAsia="ru-RU"/>
        </w:rPr>
        <w:t>Анализ последних исследований и публикаций.</w:t>
      </w:r>
      <w:r w:rsidRPr="00D4728D">
        <w:rPr>
          <w:rFonts w:ascii="Times New Roman" w:eastAsia="Times New Roman" w:hAnsi="Times New Roman" w:cs="Times New Roman"/>
          <w:sz w:val="28"/>
          <w:szCs w:val="28"/>
          <w:shd w:val="clear" w:color="auto" w:fill="FFFFFF"/>
          <w:lang w:eastAsia="ru-RU"/>
        </w:rPr>
        <w:t xml:space="preserve"> Проблемы государственного стратегического планирования постоянно находятся в поле зрения научных и практических работников государственного управления и экономики. Существенный вклад в решение указанных проблем отражен в работах современных исследователей</w:t>
      </w:r>
      <w:r w:rsidRPr="00D4728D">
        <w:rPr>
          <w:rFonts w:ascii="Times New Roman" w:eastAsia="Times New Roman" w:hAnsi="Times New Roman" w:cs="Times New Roman"/>
          <w:sz w:val="28"/>
          <w:szCs w:val="28"/>
          <w:lang w:eastAsia="ru-RU"/>
        </w:rPr>
        <w:t xml:space="preserve">  О.О. Смирновой [2], Ж.А. Сапара [3], Ю.В. Кузнецова [4]. </w:t>
      </w:r>
      <w:r w:rsidRPr="00D4728D">
        <w:rPr>
          <w:rFonts w:ascii="Times New Roman" w:eastAsia="Times New Roman" w:hAnsi="Times New Roman" w:cs="Times New Roman"/>
          <w:sz w:val="28"/>
          <w:szCs w:val="28"/>
          <w:shd w:val="clear" w:color="auto" w:fill="FFFFFF"/>
          <w:lang w:eastAsia="ru-RU"/>
        </w:rPr>
        <w:t>Однако по данной тематике остается ряд нераскрытых вопросов, требующих проведения дальнейших исследований.</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b/>
          <w:sz w:val="28"/>
          <w:szCs w:val="28"/>
          <w:lang w:eastAsia="ru-RU"/>
        </w:rPr>
        <w:t>Целью статьи</w:t>
      </w:r>
      <w:r w:rsidRPr="00D4728D">
        <w:rPr>
          <w:rFonts w:ascii="Times New Roman" w:eastAsia="Times New Roman" w:hAnsi="Times New Roman" w:cs="Times New Roman"/>
          <w:sz w:val="28"/>
          <w:szCs w:val="28"/>
          <w:lang w:eastAsia="ru-RU"/>
        </w:rPr>
        <w:t xml:space="preserve"> является определение направлений усовершенствования системы государственного стратегического планирования и прогнозирования и обоснование их необходимости.</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b/>
          <w:sz w:val="28"/>
          <w:szCs w:val="28"/>
          <w:lang w:eastAsia="ru-RU"/>
        </w:rPr>
        <w:t>Основные результаты исследования.</w:t>
      </w:r>
      <w:r w:rsidRPr="00D4728D">
        <w:rPr>
          <w:rFonts w:ascii="Times New Roman" w:eastAsia="Times New Roman" w:hAnsi="Times New Roman" w:cs="Times New Roman"/>
          <w:sz w:val="28"/>
          <w:szCs w:val="28"/>
          <w:lang w:eastAsia="ru-RU"/>
        </w:rPr>
        <w:t xml:space="preserve"> Одним из важнейших видов </w:t>
      </w:r>
      <w:r w:rsidRPr="00D4728D">
        <w:rPr>
          <w:rFonts w:ascii="Times New Roman" w:eastAsia="Times New Roman" w:hAnsi="Times New Roman" w:cs="Times New Roman"/>
          <w:sz w:val="28"/>
          <w:szCs w:val="28"/>
          <w:lang w:eastAsia="ru-RU"/>
        </w:rPr>
        <w:lastRenderedPageBreak/>
        <w:t xml:space="preserve">ресурсов современного общества являются информационные ресурсы. Со временем значимость информационных ресурсов возрастает; одно из свидетельств этого заключается в том, что они становятся товаром, совокупная стоимость которого на рынке сопоставима со стоимостью традиционных ресурсов. Информация должна быть точной, полной и своевременной. </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pacing w:val="-6"/>
          <w:sz w:val="28"/>
          <w:szCs w:val="28"/>
          <w:lang w:eastAsia="ru-RU"/>
        </w:rPr>
      </w:pPr>
      <w:r w:rsidRPr="00D4728D">
        <w:rPr>
          <w:rFonts w:ascii="Times New Roman" w:eastAsia="Times New Roman" w:hAnsi="Times New Roman" w:cs="Times New Roman"/>
          <w:spacing w:val="-6"/>
          <w:sz w:val="28"/>
          <w:szCs w:val="28"/>
          <w:lang w:eastAsia="ru-RU"/>
        </w:rPr>
        <w:t>Однако на данный момент в государственных структурах существует ряд проблем в работе с информацией. Разобщенность методов при сборе, обработке и анализе информации значительно затрудняет стратегическое планирование в различных отраслях промышленности и в государстве в целом, а, следовательно, снижает эффективность развития, как отдельных отраслей, так и государства.</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 xml:space="preserve">Одним из эффективных способов решения вышеуказанной проблемы является создание и формирование единого информационного Дата-центра или центра хранения и обработки данных, в т.ч. информационной платформы удаленного доступа для работы с документами стратегического планирования для хранения, обработки, анализа данных во всех сферах деятельности. </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Основой информационного Дата-цента или центра хранения и обработки данных является первичная информация из различных отраслей промышленности (статистические данные, результаты деятельности предприятий, организаций различных отраслей промышленности).</w:t>
      </w:r>
    </w:p>
    <w:p w:rsidR="00D4728D" w:rsidRPr="00D4728D" w:rsidRDefault="00D4728D" w:rsidP="00D4728D">
      <w:pPr>
        <w:widowControl w:val="0"/>
        <w:spacing w:after="0" w:line="228" w:lineRule="auto"/>
        <w:ind w:firstLine="709"/>
        <w:jc w:val="both"/>
        <w:rPr>
          <w:rFonts w:ascii="Times New Roman" w:eastAsia="Times New Roman" w:hAnsi="Times New Roman" w:cs="Times New Roman"/>
          <w:spacing w:val="-6"/>
          <w:sz w:val="28"/>
          <w:szCs w:val="28"/>
          <w:lang w:eastAsia="ru-RU"/>
        </w:rPr>
      </w:pPr>
      <w:r w:rsidRPr="00D4728D">
        <w:rPr>
          <w:rFonts w:ascii="Times New Roman" w:eastAsia="Times New Roman" w:hAnsi="Times New Roman" w:cs="Times New Roman"/>
          <w:spacing w:val="-6"/>
          <w:sz w:val="28"/>
          <w:szCs w:val="28"/>
          <w:lang w:eastAsia="ru-RU"/>
        </w:rPr>
        <w:t>Планирование и прогнозирование, как в отдельных отраслях промышленности, так и в государстве в целом, осуществляется на основании первичной информации, в зависимости от территориального признака (государство в целом, район, город) и периода, на который осуществляется прогноз и планирование (краткосрочный, среднесрочный, долгосрочный период) [1] (рис. 1).</w:t>
      </w:r>
    </w:p>
    <w:p w:rsidR="00D4728D" w:rsidRPr="00D4728D" w:rsidRDefault="00D4728D" w:rsidP="00D4728D">
      <w:pPr>
        <w:spacing w:after="0" w:line="240" w:lineRule="auto"/>
        <w:jc w:val="center"/>
        <w:rPr>
          <w:rFonts w:ascii="Times New Roman" w:eastAsia="Times New Roman" w:hAnsi="Times New Roman" w:cs="Times New Roman"/>
          <w:sz w:val="28"/>
          <w:szCs w:val="28"/>
          <w:lang w:eastAsia="ru-RU"/>
        </w:rPr>
      </w:pPr>
      <w:r w:rsidRPr="00D4728D">
        <w:rPr>
          <w:rFonts w:ascii="Times New Roman" w:eastAsia="Times New Roman" w:hAnsi="Times New Roman" w:cs="Times New Roman"/>
          <w:noProof/>
          <w:sz w:val="24"/>
          <w:szCs w:val="24"/>
          <w:lang w:eastAsia="ru-RU"/>
        </w:rPr>
        <w:drawing>
          <wp:inline distT="0" distB="0" distL="0" distR="0" wp14:anchorId="0A6B9EB9" wp14:editId="5DB4C425">
            <wp:extent cx="4452774" cy="4191006"/>
            <wp:effectExtent l="0" t="0" r="5080" b="0"/>
            <wp:docPr id="3" name="Рисунок 3" descr="F:\1. ДЛЯ ДИПЛОМА стратегия развития ППП ДНР на 2020г\3 семестр\Пентанрамма итог 21.01.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ДЛЯ ДИПЛОМА стратегия развития ППП ДНР на 2020г\3 семестр\Пентанрамма итог 21.01.20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3378" cy="4191575"/>
                    </a:xfrm>
                    <a:prstGeom prst="rect">
                      <a:avLst/>
                    </a:prstGeom>
                    <a:noFill/>
                    <a:ln>
                      <a:noFill/>
                    </a:ln>
                  </pic:spPr>
                </pic:pic>
              </a:graphicData>
            </a:graphic>
          </wp:inline>
        </w:drawing>
      </w:r>
    </w:p>
    <w:p w:rsidR="00D4728D" w:rsidRPr="00D4728D" w:rsidRDefault="00D4728D" w:rsidP="00D4728D">
      <w:pPr>
        <w:widowControl w:val="0"/>
        <w:spacing w:after="0" w:line="216" w:lineRule="auto"/>
        <w:jc w:val="center"/>
        <w:rPr>
          <w:rFonts w:ascii="Times New Roman" w:eastAsia="Times New Roman" w:hAnsi="Times New Roman" w:cs="Times New Roman"/>
          <w:spacing w:val="-8"/>
          <w:sz w:val="28"/>
          <w:szCs w:val="28"/>
          <w:lang w:eastAsia="ru-RU"/>
        </w:rPr>
      </w:pPr>
      <w:r w:rsidRPr="00D4728D">
        <w:rPr>
          <w:rFonts w:ascii="Times New Roman" w:eastAsia="Times New Roman" w:hAnsi="Times New Roman" w:cs="Times New Roman"/>
          <w:spacing w:val="-8"/>
          <w:sz w:val="28"/>
          <w:szCs w:val="28"/>
          <w:lang w:eastAsia="ru-RU"/>
        </w:rPr>
        <w:t xml:space="preserve">Рис. 1. Схема обмена информацией для стратегического планирования и </w:t>
      </w:r>
      <w:r w:rsidRPr="00D4728D">
        <w:rPr>
          <w:rFonts w:ascii="Times New Roman" w:eastAsia="Times New Roman" w:hAnsi="Times New Roman" w:cs="Times New Roman"/>
          <w:spacing w:val="-8"/>
          <w:sz w:val="28"/>
          <w:szCs w:val="28"/>
          <w:lang w:eastAsia="ru-RU"/>
        </w:rPr>
        <w:lastRenderedPageBreak/>
        <w:t>прогнозирования в государственной сфере на кратко-, средне-, долгосрочный период</w:t>
      </w:r>
    </w:p>
    <w:p w:rsidR="00D4728D" w:rsidRPr="00D4728D" w:rsidRDefault="00D4728D" w:rsidP="00D4728D">
      <w:pPr>
        <w:spacing w:after="0" w:line="216"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Рассмотрим основные цели, задачи проекта информационного Дата-центра, этапы выполнения проекта, ресурсы необходимые для выполнения проекта (табл. 1).</w:t>
      </w:r>
    </w:p>
    <w:p w:rsidR="00D4728D" w:rsidRPr="00D4728D" w:rsidRDefault="00D4728D" w:rsidP="00D4728D">
      <w:pPr>
        <w:spacing w:after="0" w:line="216" w:lineRule="auto"/>
        <w:ind w:firstLine="567"/>
        <w:jc w:val="right"/>
        <w:rPr>
          <w:rFonts w:ascii="Times New Roman" w:eastAsia="Times New Roman" w:hAnsi="Times New Roman" w:cs="Times New Roman"/>
          <w:color w:val="000000"/>
          <w:sz w:val="28"/>
          <w:szCs w:val="28"/>
          <w:lang w:val="uk-UA" w:eastAsia="ru-RU"/>
        </w:rPr>
      </w:pPr>
      <w:r w:rsidRPr="00D4728D">
        <w:rPr>
          <w:rFonts w:ascii="Times New Roman" w:eastAsia="Times New Roman" w:hAnsi="Times New Roman" w:cs="Times New Roman"/>
          <w:color w:val="000000"/>
          <w:sz w:val="28"/>
          <w:szCs w:val="28"/>
          <w:lang w:eastAsia="ru-RU"/>
        </w:rPr>
        <w:t xml:space="preserve">Таблица </w:t>
      </w:r>
      <w:r w:rsidRPr="00D4728D">
        <w:rPr>
          <w:rFonts w:ascii="Times New Roman" w:eastAsia="Times New Roman" w:hAnsi="Times New Roman" w:cs="Times New Roman"/>
          <w:color w:val="000000"/>
          <w:sz w:val="28"/>
          <w:szCs w:val="28"/>
          <w:lang w:val="uk-UA" w:eastAsia="ru-RU"/>
        </w:rPr>
        <w:t>1</w:t>
      </w:r>
    </w:p>
    <w:p w:rsidR="00D4728D" w:rsidRPr="00D4728D" w:rsidRDefault="00D4728D" w:rsidP="00D4728D">
      <w:pPr>
        <w:spacing w:after="0" w:line="216"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Основные параметры проекта информационного Дата-центра</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7263"/>
      </w:tblGrid>
      <w:tr w:rsidR="00D4728D" w:rsidRPr="00D4728D" w:rsidTr="00BB1D7C">
        <w:trPr>
          <w:trHeight w:val="360"/>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Цель проекта</w:t>
            </w:r>
          </w:p>
        </w:tc>
        <w:tc>
          <w:tcPr>
            <w:tcW w:w="4006"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Создание и формирование единого информационного Дата-центра, в т.ч. информационной платформы удаленного доступа для работы с документами стратегического планирования для хранения, обработки, анализа данных во всех сферах деятельности способствует:</w:t>
            </w:r>
          </w:p>
          <w:p w:rsidR="00D4728D" w:rsidRPr="00D4728D" w:rsidRDefault="00D4728D" w:rsidP="00D4728D">
            <w:pPr>
              <w:numPr>
                <w:ilvl w:val="0"/>
                <w:numId w:val="7"/>
              </w:numPr>
              <w:tabs>
                <w:tab w:val="left" w:pos="38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снижению коррупционного фактора;</w:t>
            </w:r>
          </w:p>
          <w:p w:rsidR="00D4728D" w:rsidRPr="00D4728D" w:rsidRDefault="00D4728D" w:rsidP="00D4728D">
            <w:pPr>
              <w:numPr>
                <w:ilvl w:val="0"/>
                <w:numId w:val="7"/>
              </w:numPr>
              <w:tabs>
                <w:tab w:val="left" w:pos="397"/>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снижению механических опечаток и ошибок;</w:t>
            </w:r>
          </w:p>
          <w:p w:rsidR="00D4728D" w:rsidRPr="00D4728D" w:rsidRDefault="00D4728D" w:rsidP="00D4728D">
            <w:pPr>
              <w:numPr>
                <w:ilvl w:val="0"/>
                <w:numId w:val="7"/>
              </w:numPr>
              <w:tabs>
                <w:tab w:val="left" w:pos="397"/>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снижению времени на ввод, обработку анализ данных;</w:t>
            </w:r>
          </w:p>
          <w:p w:rsidR="00D4728D" w:rsidRPr="00D4728D" w:rsidRDefault="00D4728D" w:rsidP="00D4728D">
            <w:pPr>
              <w:numPr>
                <w:ilvl w:val="0"/>
                <w:numId w:val="7"/>
              </w:numPr>
              <w:tabs>
                <w:tab w:val="left" w:pos="397"/>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недопущению несогласованности данных в различных источниках информации;</w:t>
            </w:r>
          </w:p>
          <w:p w:rsidR="00D4728D" w:rsidRPr="00D4728D" w:rsidRDefault="00D4728D" w:rsidP="00D4728D">
            <w:pPr>
              <w:numPr>
                <w:ilvl w:val="0"/>
                <w:numId w:val="7"/>
              </w:numPr>
              <w:tabs>
                <w:tab w:val="left" w:pos="397"/>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возможности формирования общей картины деятельности как отдельной организации и отрасли, так и государства в целом.</w:t>
            </w:r>
          </w:p>
        </w:tc>
      </w:tr>
      <w:tr w:rsidR="00D4728D" w:rsidRPr="00D4728D" w:rsidTr="00BB1D7C">
        <w:trPr>
          <w:trHeight w:val="375"/>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Задачи по освоению и реализации проекта</w:t>
            </w:r>
          </w:p>
        </w:tc>
        <w:tc>
          <w:tcPr>
            <w:tcW w:w="4006" w:type="pct"/>
          </w:tcPr>
          <w:p w:rsidR="00D4728D" w:rsidRPr="00D4728D" w:rsidRDefault="00D4728D" w:rsidP="00D4728D">
            <w:pPr>
              <w:numPr>
                <w:ilvl w:val="0"/>
                <w:numId w:val="8"/>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Формирование необходимых ресурсов в необходимом количестве и необходимого качества</w:t>
            </w:r>
          </w:p>
          <w:p w:rsidR="00D4728D" w:rsidRPr="00D4728D" w:rsidRDefault="00D4728D" w:rsidP="00D4728D">
            <w:pPr>
              <w:numPr>
                <w:ilvl w:val="0"/>
                <w:numId w:val="8"/>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 xml:space="preserve">Формирование единого информационного Дата-центра, в т.ч. информационной платформы удаленного доступа для работы с документами стратегического планирования </w:t>
            </w:r>
          </w:p>
          <w:p w:rsidR="00D4728D" w:rsidRPr="00D4728D" w:rsidRDefault="00D4728D" w:rsidP="00D4728D">
            <w:pPr>
              <w:numPr>
                <w:ilvl w:val="0"/>
                <w:numId w:val="8"/>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Обучение кадров по работе с единым информационным Дата-центром</w:t>
            </w:r>
          </w:p>
          <w:p w:rsidR="00D4728D" w:rsidRPr="00D4728D" w:rsidRDefault="00D4728D" w:rsidP="00D4728D">
            <w:pPr>
              <w:numPr>
                <w:ilvl w:val="0"/>
                <w:numId w:val="8"/>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Наполнение Дата-центра информацией</w:t>
            </w:r>
          </w:p>
          <w:p w:rsidR="00D4728D" w:rsidRPr="00D4728D" w:rsidRDefault="00D4728D" w:rsidP="00D4728D">
            <w:pPr>
              <w:numPr>
                <w:ilvl w:val="0"/>
                <w:numId w:val="8"/>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Формирование документов в информационной платформе удаленного доступа для работы с документами стратегического планирования</w:t>
            </w:r>
          </w:p>
        </w:tc>
      </w:tr>
      <w:tr w:rsidR="00D4728D" w:rsidRPr="00D4728D" w:rsidTr="00BB1D7C">
        <w:trPr>
          <w:trHeight w:val="435"/>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Исполнители проекта</w:t>
            </w:r>
          </w:p>
        </w:tc>
        <w:tc>
          <w:tcPr>
            <w:tcW w:w="4006"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Органы государственной власти</w:t>
            </w:r>
          </w:p>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p>
        </w:tc>
      </w:tr>
      <w:tr w:rsidR="00D4728D" w:rsidRPr="00D4728D" w:rsidTr="00BB1D7C">
        <w:trPr>
          <w:trHeight w:val="405"/>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Участники проекта</w:t>
            </w:r>
          </w:p>
        </w:tc>
        <w:tc>
          <w:tcPr>
            <w:tcW w:w="4006"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Органы государственной власти, субъекты хозяйственной деятельности, учреждения и организации</w:t>
            </w:r>
          </w:p>
        </w:tc>
      </w:tr>
      <w:tr w:rsidR="00D4728D" w:rsidRPr="00D4728D" w:rsidTr="00BB1D7C">
        <w:trPr>
          <w:trHeight w:val="315"/>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Этапы реализации проекта</w:t>
            </w:r>
          </w:p>
        </w:tc>
        <w:tc>
          <w:tcPr>
            <w:tcW w:w="4006" w:type="pct"/>
          </w:tcPr>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Подготовительный этап: формирование законодательной базы, техники и технологий для осуществления проекта, формирование кадрового потенциала по реализации данного проекта, поиск необходимых финансовых ресурсов для реализации проекта</w:t>
            </w:r>
          </w:p>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Формирование в едином информационном поле баз данных, статистических данных, реестров, данных по кодировке и классификации</w:t>
            </w:r>
          </w:p>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Формирование информационной платформы по работе с документами стратегического планирования, подключенного к общему информационному полю</w:t>
            </w:r>
          </w:p>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Тестирование информационной платформы</w:t>
            </w:r>
          </w:p>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Подключение участников проекта к информационной платформе и выдача доступа, инструктирование</w:t>
            </w:r>
          </w:p>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Работа с помощью информационной платформы участников проекта</w:t>
            </w:r>
          </w:p>
          <w:p w:rsidR="00D4728D" w:rsidRPr="00D4728D" w:rsidRDefault="00D4728D" w:rsidP="00D4728D">
            <w:pPr>
              <w:numPr>
                <w:ilvl w:val="0"/>
                <w:numId w:val="5"/>
              </w:numPr>
              <w:tabs>
                <w:tab w:val="left" w:pos="50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Формирование результатов по работе с информационной платформой</w:t>
            </w:r>
          </w:p>
        </w:tc>
      </w:tr>
      <w:tr w:rsidR="00D4728D" w:rsidRPr="00D4728D" w:rsidTr="00BB1D7C">
        <w:trPr>
          <w:trHeight w:val="570"/>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Ресурсы, необходимые для выполнения проекта</w:t>
            </w:r>
          </w:p>
        </w:tc>
        <w:tc>
          <w:tcPr>
            <w:tcW w:w="4006" w:type="pct"/>
          </w:tcPr>
          <w:p w:rsidR="00D4728D" w:rsidRPr="00D4728D" w:rsidRDefault="00D4728D" w:rsidP="00D4728D">
            <w:pPr>
              <w:numPr>
                <w:ilvl w:val="0"/>
                <w:numId w:val="6"/>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Законодательная база</w:t>
            </w:r>
          </w:p>
          <w:p w:rsidR="00D4728D" w:rsidRPr="00D4728D" w:rsidRDefault="00D4728D" w:rsidP="00D4728D">
            <w:pPr>
              <w:numPr>
                <w:ilvl w:val="0"/>
                <w:numId w:val="6"/>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Финансовые ресурсы</w:t>
            </w:r>
          </w:p>
          <w:p w:rsidR="00D4728D" w:rsidRPr="00D4728D" w:rsidRDefault="00D4728D" w:rsidP="00D4728D">
            <w:pPr>
              <w:numPr>
                <w:ilvl w:val="0"/>
                <w:numId w:val="6"/>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Материально-техническое обеспечение</w:t>
            </w:r>
          </w:p>
          <w:p w:rsidR="00D4728D" w:rsidRPr="00D4728D" w:rsidRDefault="00D4728D" w:rsidP="00D4728D">
            <w:pPr>
              <w:numPr>
                <w:ilvl w:val="0"/>
                <w:numId w:val="6"/>
              </w:numPr>
              <w:tabs>
                <w:tab w:val="left" w:pos="472"/>
              </w:tabs>
              <w:spacing w:after="0" w:line="216" w:lineRule="auto"/>
              <w:contextualSpacing/>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Кадровые ресурсы</w:t>
            </w:r>
          </w:p>
        </w:tc>
      </w:tr>
      <w:tr w:rsidR="00D4728D" w:rsidRPr="00D4728D" w:rsidTr="00BB1D7C">
        <w:trPr>
          <w:trHeight w:val="132"/>
          <w:jc w:val="center"/>
        </w:trPr>
        <w:tc>
          <w:tcPr>
            <w:tcW w:w="994"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lastRenderedPageBreak/>
              <w:t>Ожидаемый результат</w:t>
            </w:r>
          </w:p>
        </w:tc>
        <w:tc>
          <w:tcPr>
            <w:tcW w:w="4006" w:type="pct"/>
          </w:tcPr>
          <w:p w:rsidR="00D4728D" w:rsidRPr="00D4728D" w:rsidRDefault="00D4728D" w:rsidP="00D4728D">
            <w:pPr>
              <w:spacing w:after="0" w:line="216" w:lineRule="auto"/>
              <w:jc w:val="both"/>
              <w:rPr>
                <w:rFonts w:ascii="Times New Roman" w:eastAsia="Times New Roman" w:hAnsi="Times New Roman" w:cs="Times New Roman"/>
                <w:sz w:val="24"/>
                <w:szCs w:val="24"/>
                <w:lang w:eastAsia="ru-RU"/>
              </w:rPr>
            </w:pPr>
            <w:r w:rsidRPr="00D4728D">
              <w:rPr>
                <w:rFonts w:ascii="Times New Roman" w:eastAsia="Times New Roman" w:hAnsi="Times New Roman" w:cs="Times New Roman"/>
                <w:sz w:val="24"/>
                <w:szCs w:val="24"/>
                <w:lang w:eastAsia="ru-RU"/>
              </w:rPr>
              <w:t>Формирование единого информационного Дата-центра (data center), или центра хранения и обработки данных, в т.ч. информационной платформы удаленного доступа для работы с документами стратегического планирования, хранения, обработки, анализа данных во всех сферах деятельности.</w:t>
            </w:r>
          </w:p>
        </w:tc>
      </w:tr>
    </w:tbl>
    <w:p w:rsidR="00D4728D" w:rsidRPr="00D4728D" w:rsidRDefault="00D4728D" w:rsidP="00D4728D">
      <w:pPr>
        <w:spacing w:after="0" w:line="240"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Рассмотрим SWOT-анализ формирования единого информационного Дата-центра, в т.ч. информационной платформы удаленного доступа для работы с документами стратегического планирования (табл. 2).</w:t>
      </w:r>
    </w:p>
    <w:p w:rsidR="00D4728D" w:rsidRPr="00D4728D" w:rsidRDefault="00D4728D" w:rsidP="00D4728D">
      <w:pPr>
        <w:spacing w:after="0" w:line="240" w:lineRule="auto"/>
        <w:ind w:firstLine="567"/>
        <w:jc w:val="right"/>
        <w:rPr>
          <w:rFonts w:ascii="Times New Roman" w:eastAsia="Times New Roman" w:hAnsi="Times New Roman" w:cs="Times New Roman"/>
          <w:color w:val="000000"/>
          <w:sz w:val="20"/>
          <w:szCs w:val="20"/>
          <w:lang w:eastAsia="ru-RU"/>
        </w:rPr>
      </w:pPr>
    </w:p>
    <w:p w:rsidR="00D4728D" w:rsidRPr="00D4728D" w:rsidRDefault="00D4728D" w:rsidP="00D4728D">
      <w:pPr>
        <w:spacing w:after="0" w:line="240" w:lineRule="auto"/>
        <w:ind w:firstLine="567"/>
        <w:jc w:val="right"/>
        <w:rPr>
          <w:rFonts w:ascii="Times New Roman" w:eastAsia="Times New Roman" w:hAnsi="Times New Roman" w:cs="Times New Roman"/>
          <w:color w:val="000000"/>
          <w:sz w:val="28"/>
          <w:szCs w:val="28"/>
          <w:lang w:val="uk-UA" w:eastAsia="ru-RU"/>
        </w:rPr>
      </w:pPr>
      <w:r w:rsidRPr="00D4728D">
        <w:rPr>
          <w:rFonts w:ascii="Times New Roman" w:eastAsia="Times New Roman" w:hAnsi="Times New Roman" w:cs="Times New Roman"/>
          <w:color w:val="000000"/>
          <w:sz w:val="28"/>
          <w:szCs w:val="28"/>
          <w:lang w:eastAsia="ru-RU"/>
        </w:rPr>
        <w:t xml:space="preserve">Таблица </w:t>
      </w:r>
      <w:r w:rsidRPr="00D4728D">
        <w:rPr>
          <w:rFonts w:ascii="Times New Roman" w:eastAsia="Times New Roman" w:hAnsi="Times New Roman" w:cs="Times New Roman"/>
          <w:color w:val="000000"/>
          <w:sz w:val="28"/>
          <w:szCs w:val="28"/>
          <w:lang w:val="uk-UA" w:eastAsia="ru-RU"/>
        </w:rPr>
        <w:t>2</w:t>
      </w:r>
    </w:p>
    <w:p w:rsidR="00D4728D" w:rsidRPr="00D4728D" w:rsidRDefault="00D4728D" w:rsidP="00D4728D">
      <w:pPr>
        <w:spacing w:after="0" w:line="240" w:lineRule="auto"/>
        <w:ind w:firstLine="142"/>
        <w:jc w:val="center"/>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SWOT-анализ формирования единого информационного Дата-центра</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1"/>
        <w:gridCol w:w="3864"/>
      </w:tblGrid>
      <w:tr w:rsidR="00D4728D" w:rsidRPr="00D4728D" w:rsidTr="00BB1D7C">
        <w:trPr>
          <w:trHeight w:val="252"/>
          <w:jc w:val="center"/>
        </w:trPr>
        <w:tc>
          <w:tcPr>
            <w:tcW w:w="2869" w:type="pct"/>
          </w:tcPr>
          <w:p w:rsidR="00D4728D" w:rsidRPr="00D4728D" w:rsidRDefault="00D4728D" w:rsidP="00D4728D">
            <w:pPr>
              <w:autoSpaceDE w:val="0"/>
              <w:autoSpaceDN w:val="0"/>
              <w:adjustRightInd w:val="0"/>
              <w:spacing w:after="0" w:line="240" w:lineRule="auto"/>
              <w:jc w:val="center"/>
              <w:rPr>
                <w:rFonts w:ascii="Times New Roman" w:eastAsia="Calibri" w:hAnsi="Times New Roman" w:cs="Times New Roman"/>
                <w:b/>
                <w:sz w:val="24"/>
                <w:szCs w:val="24"/>
              </w:rPr>
            </w:pPr>
            <w:r w:rsidRPr="00D4728D">
              <w:rPr>
                <w:rFonts w:ascii="Times New Roman" w:eastAsia="Calibri" w:hAnsi="Times New Roman" w:cs="Times New Roman"/>
                <w:b/>
                <w:sz w:val="24"/>
                <w:szCs w:val="24"/>
              </w:rPr>
              <w:t>Сильные стороны</w:t>
            </w:r>
          </w:p>
        </w:tc>
        <w:tc>
          <w:tcPr>
            <w:tcW w:w="2131" w:type="pct"/>
          </w:tcPr>
          <w:p w:rsidR="00D4728D" w:rsidRPr="00D4728D" w:rsidRDefault="00D4728D" w:rsidP="00D4728D">
            <w:pPr>
              <w:autoSpaceDE w:val="0"/>
              <w:autoSpaceDN w:val="0"/>
              <w:adjustRightInd w:val="0"/>
              <w:spacing w:after="0" w:line="240" w:lineRule="auto"/>
              <w:jc w:val="center"/>
              <w:rPr>
                <w:rFonts w:ascii="Times New Roman" w:eastAsia="Calibri" w:hAnsi="Times New Roman" w:cs="Times New Roman"/>
                <w:b/>
                <w:sz w:val="24"/>
                <w:szCs w:val="24"/>
              </w:rPr>
            </w:pPr>
            <w:r w:rsidRPr="00D4728D">
              <w:rPr>
                <w:rFonts w:ascii="Times New Roman" w:eastAsia="Calibri" w:hAnsi="Times New Roman" w:cs="Times New Roman"/>
                <w:b/>
                <w:sz w:val="24"/>
                <w:szCs w:val="24"/>
              </w:rPr>
              <w:t>Слабые стороны</w:t>
            </w:r>
          </w:p>
        </w:tc>
      </w:tr>
      <w:tr w:rsidR="00D4728D" w:rsidRPr="00D4728D" w:rsidTr="00BB1D7C">
        <w:trPr>
          <w:trHeight w:val="2653"/>
          <w:jc w:val="center"/>
        </w:trPr>
        <w:tc>
          <w:tcPr>
            <w:tcW w:w="2869" w:type="pct"/>
          </w:tcPr>
          <w:p w:rsidR="00D4728D" w:rsidRPr="00D4728D" w:rsidRDefault="00D4728D" w:rsidP="00D4728D">
            <w:pPr>
              <w:numPr>
                <w:ilvl w:val="0"/>
                <w:numId w:val="1"/>
              </w:numPr>
              <w:tabs>
                <w:tab w:val="left" w:pos="392"/>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Наличие кадрового потенциала для формирования и разработки информационной платформы</w:t>
            </w:r>
          </w:p>
          <w:p w:rsidR="00D4728D" w:rsidRPr="00D4728D" w:rsidRDefault="00D4728D" w:rsidP="00D4728D">
            <w:pPr>
              <w:numPr>
                <w:ilvl w:val="0"/>
                <w:numId w:val="1"/>
              </w:numPr>
              <w:tabs>
                <w:tab w:val="left" w:pos="392"/>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Наличие кадрового потенциала, желание обучатся пользоваться данным информационной платформы</w:t>
            </w:r>
          </w:p>
          <w:p w:rsidR="00D4728D" w:rsidRPr="00D4728D" w:rsidRDefault="00D4728D" w:rsidP="00D4728D">
            <w:pPr>
              <w:numPr>
                <w:ilvl w:val="0"/>
                <w:numId w:val="1"/>
              </w:numPr>
              <w:tabs>
                <w:tab w:val="left" w:pos="392"/>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Наличие учебных  заведений, кадровых ресурсов для освоения и работы с  информационной платформой</w:t>
            </w:r>
          </w:p>
        </w:tc>
        <w:tc>
          <w:tcPr>
            <w:tcW w:w="2131" w:type="pct"/>
          </w:tcPr>
          <w:p w:rsidR="00D4728D" w:rsidRPr="00D4728D" w:rsidRDefault="00D4728D" w:rsidP="00D4728D">
            <w:pPr>
              <w:numPr>
                <w:ilvl w:val="0"/>
                <w:numId w:val="2"/>
              </w:numPr>
              <w:tabs>
                <w:tab w:val="left" w:pos="383"/>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Информационная система безопасности</w:t>
            </w:r>
          </w:p>
          <w:p w:rsidR="00D4728D" w:rsidRPr="00D4728D" w:rsidRDefault="00D4728D" w:rsidP="00D4728D">
            <w:pPr>
              <w:numPr>
                <w:ilvl w:val="0"/>
                <w:numId w:val="2"/>
              </w:numPr>
              <w:tabs>
                <w:tab w:val="left" w:pos="383"/>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Необходимость техническом оснащении высокого качества и необходимых характеристик (сервер основной и запасной, в случае неполадок)</w:t>
            </w:r>
          </w:p>
          <w:p w:rsidR="00D4728D" w:rsidRPr="00D4728D" w:rsidRDefault="00D4728D" w:rsidP="00D4728D">
            <w:pPr>
              <w:numPr>
                <w:ilvl w:val="0"/>
                <w:numId w:val="2"/>
              </w:numPr>
              <w:tabs>
                <w:tab w:val="left" w:pos="383"/>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Отсутствие опыта при формировании подобной информационной платформы</w:t>
            </w:r>
          </w:p>
          <w:p w:rsidR="00D4728D" w:rsidRPr="00D4728D" w:rsidRDefault="00D4728D" w:rsidP="00D4728D">
            <w:pPr>
              <w:numPr>
                <w:ilvl w:val="0"/>
                <w:numId w:val="2"/>
              </w:numPr>
              <w:tabs>
                <w:tab w:val="left" w:pos="383"/>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Законодательная база</w:t>
            </w:r>
          </w:p>
        </w:tc>
      </w:tr>
      <w:tr w:rsidR="00D4728D" w:rsidRPr="00D4728D" w:rsidTr="00BB1D7C">
        <w:trPr>
          <w:trHeight w:val="328"/>
          <w:jc w:val="center"/>
        </w:trPr>
        <w:tc>
          <w:tcPr>
            <w:tcW w:w="2869" w:type="pct"/>
          </w:tcPr>
          <w:p w:rsidR="00D4728D" w:rsidRPr="00D4728D" w:rsidRDefault="00D4728D" w:rsidP="00D4728D">
            <w:pPr>
              <w:autoSpaceDE w:val="0"/>
              <w:autoSpaceDN w:val="0"/>
              <w:adjustRightInd w:val="0"/>
              <w:spacing w:after="0" w:line="240" w:lineRule="auto"/>
              <w:jc w:val="center"/>
              <w:rPr>
                <w:rFonts w:ascii="Times New Roman" w:eastAsia="Calibri" w:hAnsi="Times New Roman" w:cs="Times New Roman"/>
                <w:b/>
                <w:sz w:val="24"/>
                <w:szCs w:val="24"/>
              </w:rPr>
            </w:pPr>
            <w:r w:rsidRPr="00D4728D">
              <w:rPr>
                <w:rFonts w:ascii="Times New Roman" w:eastAsia="Calibri" w:hAnsi="Times New Roman" w:cs="Times New Roman"/>
                <w:b/>
                <w:sz w:val="24"/>
                <w:szCs w:val="24"/>
              </w:rPr>
              <w:t>Возможности</w:t>
            </w:r>
          </w:p>
        </w:tc>
        <w:tc>
          <w:tcPr>
            <w:tcW w:w="2131" w:type="pct"/>
          </w:tcPr>
          <w:p w:rsidR="00D4728D" w:rsidRPr="00D4728D" w:rsidRDefault="00D4728D" w:rsidP="00D4728D">
            <w:pPr>
              <w:autoSpaceDE w:val="0"/>
              <w:autoSpaceDN w:val="0"/>
              <w:adjustRightInd w:val="0"/>
              <w:spacing w:after="0" w:line="240" w:lineRule="auto"/>
              <w:jc w:val="center"/>
              <w:rPr>
                <w:rFonts w:ascii="Times New Roman" w:eastAsia="Calibri" w:hAnsi="Times New Roman" w:cs="Times New Roman"/>
                <w:b/>
                <w:sz w:val="24"/>
                <w:szCs w:val="24"/>
              </w:rPr>
            </w:pPr>
            <w:r w:rsidRPr="00D4728D">
              <w:rPr>
                <w:rFonts w:ascii="Times New Roman" w:eastAsia="Calibri" w:hAnsi="Times New Roman" w:cs="Times New Roman"/>
                <w:b/>
                <w:sz w:val="24"/>
                <w:szCs w:val="24"/>
              </w:rPr>
              <w:t>Угрозы</w:t>
            </w:r>
          </w:p>
        </w:tc>
      </w:tr>
      <w:tr w:rsidR="00D4728D" w:rsidRPr="00D4728D" w:rsidTr="00BB1D7C">
        <w:trPr>
          <w:trHeight w:val="273"/>
          <w:jc w:val="center"/>
        </w:trPr>
        <w:tc>
          <w:tcPr>
            <w:tcW w:w="2869" w:type="pct"/>
          </w:tcPr>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Единая информационная база, информационный ресурс, недопущение несогласованности данных в различных источниках информации</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Недопущение механических ошибок (опечатки неправильные расчеты) благодаря автоматизированной системе формирования отчетов</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Возможность отследить полный спектр деятельности предприятий и отраслей в целом</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Сокращение процедуры согласования и утверждения документов стратегического планирования</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 xml:space="preserve">Формирование возможности взаимоувязки документов стратегического планирования с другими информационными источниками, для отслеживания выполнения плановых показателей государственного уровня и разрезе отраслей промышленности отраслевым предприятиям, предприятиям в смежных отраслях </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pacing w:val="-6"/>
                <w:sz w:val="24"/>
                <w:szCs w:val="24"/>
              </w:rPr>
            </w:pPr>
            <w:r w:rsidRPr="00D4728D">
              <w:rPr>
                <w:rFonts w:ascii="Times New Roman" w:eastAsia="Calibri" w:hAnsi="Times New Roman" w:cs="Times New Roman"/>
                <w:spacing w:val="-6"/>
                <w:sz w:val="24"/>
                <w:szCs w:val="24"/>
              </w:rPr>
              <w:t>Недопущение угрозы дублирования мероп</w:t>
            </w:r>
            <w:r w:rsidRPr="00D4728D">
              <w:rPr>
                <w:rFonts w:ascii="Times New Roman" w:eastAsia="Calibri" w:hAnsi="Times New Roman" w:cs="Times New Roman"/>
                <w:spacing w:val="-6"/>
                <w:sz w:val="24"/>
                <w:szCs w:val="24"/>
              </w:rPr>
              <w:softHyphen/>
              <w:t>риятий, финансирования, перекладывания ответ</w:t>
            </w:r>
            <w:r w:rsidRPr="00D4728D">
              <w:rPr>
                <w:rFonts w:ascii="Times New Roman" w:eastAsia="Calibri" w:hAnsi="Times New Roman" w:cs="Times New Roman"/>
                <w:spacing w:val="-6"/>
                <w:sz w:val="24"/>
                <w:szCs w:val="24"/>
              </w:rPr>
              <w:softHyphen/>
              <w:t>ствен</w:t>
            </w:r>
            <w:r w:rsidRPr="00D4728D">
              <w:rPr>
                <w:rFonts w:ascii="Times New Roman" w:eastAsia="Calibri" w:hAnsi="Times New Roman" w:cs="Times New Roman"/>
                <w:spacing w:val="-6"/>
                <w:sz w:val="24"/>
                <w:szCs w:val="24"/>
              </w:rPr>
              <w:softHyphen/>
            </w:r>
            <w:r w:rsidRPr="00D4728D">
              <w:rPr>
                <w:rFonts w:ascii="Times New Roman" w:eastAsia="Calibri" w:hAnsi="Times New Roman" w:cs="Times New Roman"/>
                <w:spacing w:val="-6"/>
                <w:sz w:val="24"/>
                <w:szCs w:val="24"/>
              </w:rPr>
              <w:softHyphen/>
            </w:r>
            <w:r w:rsidRPr="00D4728D">
              <w:rPr>
                <w:rFonts w:ascii="Times New Roman" w:eastAsia="Calibri" w:hAnsi="Times New Roman" w:cs="Times New Roman"/>
                <w:spacing w:val="-6"/>
                <w:sz w:val="24"/>
                <w:szCs w:val="24"/>
              </w:rPr>
              <w:softHyphen/>
              <w:t>ности за исполнение программных мероп</w:t>
            </w:r>
            <w:r w:rsidRPr="00D4728D">
              <w:rPr>
                <w:rFonts w:ascii="Times New Roman" w:eastAsia="Calibri" w:hAnsi="Times New Roman" w:cs="Times New Roman"/>
                <w:spacing w:val="-6"/>
                <w:sz w:val="24"/>
                <w:szCs w:val="24"/>
              </w:rPr>
              <w:softHyphen/>
              <w:t xml:space="preserve">риятий, показателей </w:t>
            </w:r>
            <w:r w:rsidRPr="00D4728D">
              <w:rPr>
                <w:rFonts w:ascii="Times New Roman" w:eastAsia="Calibri" w:hAnsi="Times New Roman" w:cs="Times New Roman"/>
                <w:spacing w:val="-6"/>
                <w:sz w:val="24"/>
                <w:szCs w:val="24"/>
              </w:rPr>
              <w:lastRenderedPageBreak/>
              <w:t>или программы в целом, благодаря системе кодирования мероприятий, пока</w:t>
            </w:r>
            <w:r w:rsidRPr="00D4728D">
              <w:rPr>
                <w:rFonts w:ascii="Times New Roman" w:eastAsia="Calibri" w:hAnsi="Times New Roman" w:cs="Times New Roman"/>
                <w:spacing w:val="-6"/>
                <w:sz w:val="24"/>
                <w:szCs w:val="24"/>
              </w:rPr>
              <w:softHyphen/>
              <w:t>за</w:t>
            </w:r>
            <w:r w:rsidRPr="00D4728D">
              <w:rPr>
                <w:rFonts w:ascii="Times New Roman" w:eastAsia="Calibri" w:hAnsi="Times New Roman" w:cs="Times New Roman"/>
                <w:spacing w:val="-6"/>
                <w:sz w:val="24"/>
                <w:szCs w:val="24"/>
              </w:rPr>
              <w:softHyphen/>
              <w:t>телей, источников финансирования и взаимо</w:t>
            </w:r>
            <w:r w:rsidRPr="00D4728D">
              <w:rPr>
                <w:rFonts w:ascii="Times New Roman" w:eastAsia="Calibri" w:hAnsi="Times New Roman" w:cs="Times New Roman"/>
                <w:spacing w:val="-6"/>
                <w:sz w:val="24"/>
                <w:szCs w:val="24"/>
              </w:rPr>
              <w:softHyphen/>
            </w:r>
            <w:r w:rsidRPr="00D4728D">
              <w:rPr>
                <w:rFonts w:ascii="Times New Roman" w:eastAsia="Calibri" w:hAnsi="Times New Roman" w:cs="Times New Roman"/>
                <w:spacing w:val="-6"/>
                <w:sz w:val="24"/>
                <w:szCs w:val="24"/>
              </w:rPr>
              <w:softHyphen/>
              <w:t>увязки документов стратегического планирования</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Препятствие и снижение коррупционных рисков</w:t>
            </w:r>
          </w:p>
          <w:p w:rsidR="00D4728D" w:rsidRPr="00D4728D" w:rsidRDefault="00D4728D" w:rsidP="00D4728D">
            <w:pPr>
              <w:numPr>
                <w:ilvl w:val="0"/>
                <w:numId w:val="4"/>
              </w:numPr>
              <w:tabs>
                <w:tab w:val="left" w:pos="302"/>
              </w:tabs>
              <w:autoSpaceDE w:val="0"/>
              <w:autoSpaceDN w:val="0"/>
              <w:adjustRightInd w:val="0"/>
              <w:spacing w:after="0" w:line="228"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Система «Экологический офис или Зеленый офис» - экономия канцелярских товаров</w:t>
            </w:r>
          </w:p>
        </w:tc>
        <w:tc>
          <w:tcPr>
            <w:tcW w:w="2131" w:type="pct"/>
          </w:tcPr>
          <w:p w:rsidR="00D4728D" w:rsidRPr="00D4728D" w:rsidRDefault="00D4728D" w:rsidP="00D4728D">
            <w:pPr>
              <w:numPr>
                <w:ilvl w:val="0"/>
                <w:numId w:val="3"/>
              </w:numPr>
              <w:tabs>
                <w:tab w:val="left" w:pos="488"/>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lastRenderedPageBreak/>
              <w:t>Хакерские атаки, блокирование информационной платформы, опубликование информации в открытых источниках</w:t>
            </w:r>
          </w:p>
          <w:p w:rsidR="00D4728D" w:rsidRPr="00D4728D" w:rsidRDefault="00D4728D" w:rsidP="00D4728D">
            <w:pPr>
              <w:numPr>
                <w:ilvl w:val="0"/>
                <w:numId w:val="3"/>
              </w:numPr>
              <w:tabs>
                <w:tab w:val="left" w:pos="488"/>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Низкий уровень компьютерной грамотности сотрудников на местах, которые будут пользоваться информационной платформой</w:t>
            </w:r>
          </w:p>
          <w:p w:rsidR="00D4728D" w:rsidRPr="00D4728D" w:rsidRDefault="00D4728D" w:rsidP="00D4728D">
            <w:pPr>
              <w:numPr>
                <w:ilvl w:val="0"/>
                <w:numId w:val="3"/>
              </w:numPr>
              <w:tabs>
                <w:tab w:val="left" w:pos="488"/>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Низкие технические характеристики компьютерной техники на местах, что значительно осложняет работу с информационной платформой</w:t>
            </w:r>
          </w:p>
          <w:p w:rsidR="00D4728D" w:rsidRPr="00D4728D" w:rsidRDefault="00D4728D" w:rsidP="00D4728D">
            <w:pPr>
              <w:numPr>
                <w:ilvl w:val="0"/>
                <w:numId w:val="3"/>
              </w:numPr>
              <w:tabs>
                <w:tab w:val="left" w:pos="488"/>
              </w:tabs>
              <w:autoSpaceDE w:val="0"/>
              <w:autoSpaceDN w:val="0"/>
              <w:adjustRightInd w:val="0"/>
              <w:spacing w:after="0" w:line="240" w:lineRule="auto"/>
              <w:jc w:val="both"/>
              <w:rPr>
                <w:rFonts w:ascii="Times New Roman" w:eastAsia="Calibri" w:hAnsi="Times New Roman" w:cs="Times New Roman"/>
                <w:sz w:val="24"/>
                <w:szCs w:val="24"/>
              </w:rPr>
            </w:pPr>
            <w:r w:rsidRPr="00D4728D">
              <w:rPr>
                <w:rFonts w:ascii="Times New Roman" w:eastAsia="Calibri" w:hAnsi="Times New Roman" w:cs="Times New Roman"/>
                <w:sz w:val="24"/>
                <w:szCs w:val="24"/>
              </w:rPr>
              <w:t xml:space="preserve">Отсутствие возможности постоянного, бесперебойного подключения на местах к интернету, в связи с боевыми действиями. </w:t>
            </w:r>
            <w:r w:rsidRPr="00D4728D">
              <w:rPr>
                <w:rFonts w:ascii="Times New Roman" w:eastAsia="Calibri" w:hAnsi="Times New Roman" w:cs="Times New Roman"/>
                <w:sz w:val="24"/>
                <w:szCs w:val="24"/>
              </w:rPr>
              <w:lastRenderedPageBreak/>
              <w:t>Присутствует необходимость удаленной работы без временного доступа в интернет</w:t>
            </w:r>
          </w:p>
        </w:tc>
      </w:tr>
    </w:tbl>
    <w:p w:rsidR="00D4728D" w:rsidRPr="00D4728D" w:rsidRDefault="00D4728D" w:rsidP="00D4728D">
      <w:pPr>
        <w:spacing w:after="0" w:line="240" w:lineRule="auto"/>
        <w:ind w:firstLine="567"/>
        <w:jc w:val="right"/>
        <w:rPr>
          <w:rFonts w:ascii="Times New Roman" w:eastAsia="Times New Roman" w:hAnsi="Times New Roman" w:cs="Times New Roman"/>
          <w:sz w:val="28"/>
          <w:szCs w:val="28"/>
          <w:lang w:eastAsia="ru-RU"/>
        </w:rPr>
      </w:pPr>
    </w:p>
    <w:p w:rsidR="00D4728D" w:rsidRPr="00D4728D" w:rsidRDefault="00D4728D" w:rsidP="00D4728D">
      <w:pPr>
        <w:spacing w:after="0" w:line="240" w:lineRule="auto"/>
        <w:ind w:firstLine="567"/>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Для полноценного понимания поэтапного совершенствования процессов по совершенствованию системы государственного стратегического планирования и прогнозирования в Донецкой Народной Республике, рассмотрим дорожную карту (табл. 3).</w:t>
      </w:r>
    </w:p>
    <w:p w:rsidR="00D4728D" w:rsidRPr="00D4728D" w:rsidRDefault="00D4728D" w:rsidP="00D4728D">
      <w:pPr>
        <w:spacing w:after="0" w:line="240" w:lineRule="auto"/>
        <w:ind w:firstLine="567"/>
        <w:jc w:val="right"/>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Таблица 3</w:t>
      </w:r>
    </w:p>
    <w:p w:rsidR="00D4728D" w:rsidRPr="00D4728D" w:rsidRDefault="00D4728D" w:rsidP="00D4728D">
      <w:pPr>
        <w:spacing w:after="0" w:line="240" w:lineRule="auto"/>
        <w:jc w:val="center"/>
        <w:rPr>
          <w:rFonts w:ascii="Times New Roman" w:eastAsia="Times New Roman" w:hAnsi="Times New Roman" w:cs="Times New Roman"/>
          <w:sz w:val="28"/>
          <w:szCs w:val="28"/>
          <w:lang w:eastAsia="ru-RU"/>
        </w:rPr>
      </w:pPr>
      <w:r w:rsidRPr="00D4728D">
        <w:rPr>
          <w:rFonts w:ascii="Times New Roman" w:eastAsia="Times New Roman" w:hAnsi="Times New Roman" w:cs="Times New Roman"/>
          <w:sz w:val="28"/>
          <w:szCs w:val="28"/>
          <w:lang w:eastAsia="ru-RU"/>
        </w:rPr>
        <w:t>Дорожная карта по совершенствованию системы государственного стратегического планирования и прогнозирования в Донецкой Народной Республике</w:t>
      </w:r>
    </w:p>
    <w:tbl>
      <w:tblPr>
        <w:tblStyle w:val="a3"/>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
        <w:gridCol w:w="71"/>
        <w:gridCol w:w="1460"/>
        <w:gridCol w:w="1933"/>
        <w:gridCol w:w="3437"/>
        <w:gridCol w:w="2073"/>
      </w:tblGrid>
      <w:tr w:rsidR="00D4728D" w:rsidRPr="00D4728D" w:rsidTr="00BB1D7C">
        <w:trPr>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 пп</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Мероприя</w:t>
            </w:r>
            <w:r w:rsidRPr="00D4728D">
              <w:rPr>
                <w:rFonts w:ascii="Times New Roman" w:hAnsi="Times New Roman"/>
                <w:sz w:val="24"/>
                <w:szCs w:val="24"/>
              </w:rPr>
              <w:softHyphen/>
              <w:t xml:space="preserve">тие  </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 xml:space="preserve">Содержание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Ожидаемый результат</w:t>
            </w:r>
          </w:p>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Целевой показатель</w:t>
            </w:r>
          </w:p>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Форма исполнения</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Ответственные исполнители, соисполнители, участники</w:t>
            </w:r>
          </w:p>
        </w:tc>
      </w:tr>
      <w:tr w:rsidR="00D4728D" w:rsidRPr="00D4728D" w:rsidTr="00BB1D7C">
        <w:trPr>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1</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2</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4</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5</w:t>
            </w:r>
          </w:p>
        </w:tc>
      </w:tr>
      <w:tr w:rsidR="00D4728D" w:rsidRPr="00D4728D" w:rsidTr="00BB1D7C">
        <w:tc>
          <w:tcPr>
            <w:tcW w:w="19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819" w:type="pct"/>
            <w:gridSpan w:val="2"/>
            <w:tcBorders>
              <w:top w:val="single" w:sz="4" w:space="0" w:color="auto"/>
              <w:bottom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 xml:space="preserve">Оценка состояния и потенциала государственного стратегического планирования и прогнозирования </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Проведение необходимых процедурных, логических мероприятий по оценке текущего состояния и по</w:t>
            </w:r>
            <w:r w:rsidRPr="00D4728D">
              <w:rPr>
                <w:rFonts w:ascii="Times New Roman" w:hAnsi="Times New Roman"/>
                <w:sz w:val="24"/>
                <w:szCs w:val="24"/>
              </w:rPr>
              <w:softHyphen/>
              <w:t>тен</w:t>
            </w:r>
            <w:r w:rsidRPr="00D4728D">
              <w:rPr>
                <w:rFonts w:ascii="Times New Roman" w:hAnsi="Times New Roman"/>
                <w:sz w:val="24"/>
                <w:szCs w:val="24"/>
              </w:rPr>
              <w:softHyphen/>
              <w:t>циала страте</w:t>
            </w:r>
            <w:r w:rsidRPr="00D4728D">
              <w:rPr>
                <w:rFonts w:ascii="Times New Roman" w:hAnsi="Times New Roman"/>
                <w:sz w:val="24"/>
                <w:szCs w:val="24"/>
              </w:rPr>
              <w:softHyphen/>
              <w:t>гического плани</w:t>
            </w:r>
            <w:r w:rsidRPr="00D4728D">
              <w:rPr>
                <w:rFonts w:ascii="Times New Roman" w:hAnsi="Times New Roman"/>
                <w:sz w:val="24"/>
                <w:szCs w:val="24"/>
              </w:rPr>
              <w:softHyphen/>
              <w:t>рования и прог</w:t>
            </w:r>
            <w:r w:rsidRPr="00D4728D">
              <w:rPr>
                <w:rFonts w:ascii="Times New Roman" w:hAnsi="Times New Roman"/>
                <w:sz w:val="24"/>
                <w:szCs w:val="24"/>
              </w:rPr>
              <w:softHyphen/>
              <w:t>но</w:t>
            </w:r>
            <w:r w:rsidRPr="00D4728D">
              <w:rPr>
                <w:rFonts w:ascii="Times New Roman" w:hAnsi="Times New Roman"/>
                <w:sz w:val="24"/>
                <w:szCs w:val="24"/>
              </w:rPr>
              <w:softHyphen/>
              <w:t>зи</w:t>
            </w:r>
            <w:r w:rsidRPr="00D4728D">
              <w:rPr>
                <w:rFonts w:ascii="Times New Roman" w:hAnsi="Times New Roman"/>
                <w:sz w:val="24"/>
                <w:szCs w:val="24"/>
              </w:rPr>
              <w:softHyphen/>
              <w:t>рования го</w:t>
            </w:r>
            <w:r w:rsidRPr="00D4728D">
              <w:rPr>
                <w:rFonts w:ascii="Times New Roman" w:hAnsi="Times New Roman"/>
                <w:sz w:val="24"/>
                <w:szCs w:val="24"/>
              </w:rPr>
              <w:softHyphen/>
              <w:t>су</w:t>
            </w:r>
            <w:r w:rsidRPr="00D4728D">
              <w:rPr>
                <w:rFonts w:ascii="Times New Roman" w:hAnsi="Times New Roman"/>
                <w:sz w:val="24"/>
                <w:szCs w:val="24"/>
              </w:rPr>
              <w:softHyphen/>
              <w:t>дарства в целом, и отдель</w:t>
            </w:r>
            <w:r w:rsidRPr="00D4728D">
              <w:rPr>
                <w:rFonts w:ascii="Times New Roman" w:hAnsi="Times New Roman"/>
                <w:sz w:val="24"/>
                <w:szCs w:val="24"/>
              </w:rPr>
              <w:softHyphen/>
              <w:t>ных отраслей промышленности</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0"/>
              </w:numPr>
              <w:tabs>
                <w:tab w:val="left" w:pos="276"/>
              </w:tabs>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Анализ существующей нормативно-правовой базы в сфере государственного стратегического планирования.</w:t>
            </w:r>
          </w:p>
          <w:p w:rsidR="00D4728D" w:rsidRPr="00D4728D" w:rsidRDefault="00D4728D" w:rsidP="00D4728D">
            <w:pPr>
              <w:numPr>
                <w:ilvl w:val="0"/>
                <w:numId w:val="10"/>
              </w:numPr>
              <w:tabs>
                <w:tab w:val="left" w:pos="276"/>
              </w:tabs>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Оценка существующей тех</w:t>
            </w:r>
            <w:r w:rsidRPr="00D4728D">
              <w:rPr>
                <w:rFonts w:ascii="Times New Roman" w:eastAsia="Calibri" w:hAnsi="Times New Roman"/>
                <w:sz w:val="24"/>
                <w:szCs w:val="24"/>
              </w:rPr>
              <w:softHyphen/>
              <w:t>ни</w:t>
            </w:r>
            <w:r w:rsidRPr="00D4728D">
              <w:rPr>
                <w:rFonts w:ascii="Times New Roman" w:eastAsia="Calibri" w:hAnsi="Times New Roman"/>
                <w:sz w:val="24"/>
                <w:szCs w:val="24"/>
              </w:rPr>
              <w:softHyphen/>
              <w:t>ческой и технологической базы.</w:t>
            </w:r>
          </w:p>
          <w:p w:rsidR="00D4728D" w:rsidRPr="00D4728D" w:rsidRDefault="00D4728D" w:rsidP="00D4728D">
            <w:pPr>
              <w:numPr>
                <w:ilvl w:val="0"/>
                <w:numId w:val="10"/>
              </w:numPr>
              <w:tabs>
                <w:tab w:val="left" w:pos="276"/>
              </w:tabs>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Оценка существующего кадрового потенциала.</w:t>
            </w:r>
          </w:p>
          <w:p w:rsidR="00D4728D" w:rsidRPr="00D4728D" w:rsidRDefault="00D4728D" w:rsidP="00D4728D">
            <w:pPr>
              <w:numPr>
                <w:ilvl w:val="0"/>
                <w:numId w:val="10"/>
              </w:numPr>
              <w:tabs>
                <w:tab w:val="left" w:pos="276"/>
              </w:tabs>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Определение проблемных вопросов возобновления регис</w:t>
            </w:r>
            <w:r w:rsidRPr="00D4728D">
              <w:rPr>
                <w:rFonts w:ascii="Times New Roman" w:eastAsia="Calibri" w:hAnsi="Times New Roman"/>
                <w:sz w:val="24"/>
                <w:szCs w:val="24"/>
              </w:rPr>
              <w:softHyphen/>
              <w:t>трации и деятельности пред</w:t>
            </w:r>
            <w:r w:rsidRPr="00D4728D">
              <w:rPr>
                <w:rFonts w:ascii="Times New Roman" w:eastAsia="Calibri" w:hAnsi="Times New Roman"/>
                <w:sz w:val="24"/>
                <w:szCs w:val="24"/>
              </w:rPr>
              <w:softHyphen/>
              <w:t>прия</w:t>
            </w:r>
            <w:r w:rsidRPr="00D4728D">
              <w:rPr>
                <w:rFonts w:ascii="Times New Roman" w:eastAsia="Calibri" w:hAnsi="Times New Roman"/>
                <w:sz w:val="24"/>
                <w:szCs w:val="24"/>
              </w:rPr>
              <w:softHyphen/>
              <w:t>тий, поиск собственников, инвесторов, финансовых, кадровых, энергетических источников и ресурсов.</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Совет Министров, Народный Совет, профильные министерства и ведомства</w:t>
            </w:r>
          </w:p>
        </w:tc>
      </w:tr>
      <w:tr w:rsidR="00D4728D" w:rsidRPr="00D4728D" w:rsidTr="00BB1D7C">
        <w:tc>
          <w:tcPr>
            <w:tcW w:w="19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pacing w:val="-6"/>
                <w:sz w:val="24"/>
                <w:szCs w:val="24"/>
              </w:rPr>
            </w:pPr>
            <w:r w:rsidRPr="00D4728D">
              <w:rPr>
                <w:rFonts w:ascii="Times New Roman" w:hAnsi="Times New Roman"/>
                <w:spacing w:val="-6"/>
                <w:sz w:val="24"/>
                <w:szCs w:val="24"/>
              </w:rPr>
              <w:t>Формирование переч</w:t>
            </w:r>
            <w:r w:rsidRPr="00D4728D">
              <w:rPr>
                <w:rFonts w:ascii="Times New Roman" w:hAnsi="Times New Roman"/>
                <w:spacing w:val="-6"/>
                <w:sz w:val="24"/>
                <w:szCs w:val="24"/>
              </w:rPr>
              <w:softHyphen/>
              <w:t>ня необходи</w:t>
            </w:r>
            <w:r w:rsidRPr="00D4728D">
              <w:rPr>
                <w:rFonts w:ascii="Times New Roman" w:hAnsi="Times New Roman"/>
                <w:spacing w:val="-6"/>
                <w:sz w:val="24"/>
                <w:szCs w:val="24"/>
              </w:rPr>
              <w:softHyphen/>
              <w:t>мых ре</w:t>
            </w:r>
            <w:r w:rsidRPr="00D4728D">
              <w:rPr>
                <w:rFonts w:ascii="Times New Roman" w:hAnsi="Times New Roman"/>
                <w:spacing w:val="-6"/>
                <w:sz w:val="24"/>
                <w:szCs w:val="24"/>
              </w:rPr>
              <w:softHyphen/>
              <w:t>сур</w:t>
            </w:r>
            <w:r w:rsidRPr="00D4728D">
              <w:rPr>
                <w:rFonts w:ascii="Times New Roman" w:hAnsi="Times New Roman"/>
                <w:spacing w:val="-6"/>
                <w:sz w:val="24"/>
                <w:szCs w:val="24"/>
              </w:rPr>
              <w:softHyphen/>
              <w:t>сов для реа</w:t>
            </w:r>
            <w:r w:rsidRPr="00D4728D">
              <w:rPr>
                <w:rFonts w:ascii="Times New Roman" w:hAnsi="Times New Roman"/>
                <w:spacing w:val="-6"/>
                <w:sz w:val="24"/>
                <w:szCs w:val="24"/>
              </w:rPr>
              <w:softHyphen/>
              <w:t>лизации ме</w:t>
            </w:r>
            <w:r w:rsidRPr="00D4728D">
              <w:rPr>
                <w:rFonts w:ascii="Times New Roman" w:hAnsi="Times New Roman"/>
                <w:spacing w:val="-6"/>
                <w:sz w:val="24"/>
                <w:szCs w:val="24"/>
              </w:rPr>
              <w:softHyphen/>
              <w:t>роприятий по совер</w:t>
            </w:r>
            <w:r w:rsidRPr="00D4728D">
              <w:rPr>
                <w:rFonts w:ascii="Times New Roman" w:hAnsi="Times New Roman"/>
                <w:spacing w:val="-6"/>
                <w:sz w:val="24"/>
                <w:szCs w:val="24"/>
              </w:rPr>
              <w:softHyphen/>
              <w:t>шенствова</w:t>
            </w:r>
            <w:r w:rsidRPr="00D4728D">
              <w:rPr>
                <w:rFonts w:ascii="Times New Roman" w:hAnsi="Times New Roman"/>
                <w:spacing w:val="-6"/>
                <w:sz w:val="24"/>
                <w:szCs w:val="24"/>
              </w:rPr>
              <w:softHyphen/>
              <w:t>нию страте</w:t>
            </w:r>
            <w:r w:rsidRPr="00D4728D">
              <w:rPr>
                <w:rFonts w:ascii="Times New Roman" w:hAnsi="Times New Roman"/>
                <w:spacing w:val="-6"/>
                <w:sz w:val="24"/>
                <w:szCs w:val="24"/>
              </w:rPr>
              <w:softHyphen/>
            </w:r>
            <w:r w:rsidRPr="00D4728D">
              <w:rPr>
                <w:rFonts w:ascii="Times New Roman" w:hAnsi="Times New Roman"/>
                <w:spacing w:val="-6"/>
                <w:sz w:val="24"/>
                <w:szCs w:val="24"/>
              </w:rPr>
              <w:lastRenderedPageBreak/>
              <w:t>ги</w:t>
            </w:r>
            <w:r w:rsidRPr="00D4728D">
              <w:rPr>
                <w:rFonts w:ascii="Times New Roman" w:hAnsi="Times New Roman"/>
                <w:spacing w:val="-6"/>
                <w:sz w:val="24"/>
                <w:szCs w:val="24"/>
              </w:rPr>
              <w:softHyphen/>
              <w:t>ческого пла</w:t>
            </w:r>
            <w:r w:rsidRPr="00D4728D">
              <w:rPr>
                <w:rFonts w:ascii="Times New Roman" w:hAnsi="Times New Roman"/>
                <w:spacing w:val="-6"/>
                <w:sz w:val="24"/>
                <w:szCs w:val="24"/>
              </w:rPr>
              <w:softHyphen/>
              <w:t>нирования и прог</w:t>
            </w:r>
            <w:r w:rsidRPr="00D4728D">
              <w:rPr>
                <w:rFonts w:ascii="Times New Roman" w:hAnsi="Times New Roman"/>
                <w:spacing w:val="-6"/>
                <w:sz w:val="24"/>
                <w:szCs w:val="24"/>
              </w:rPr>
              <w:softHyphen/>
              <w:t>но</w:t>
            </w:r>
            <w:r w:rsidRPr="00D4728D">
              <w:rPr>
                <w:rFonts w:ascii="Times New Roman" w:hAnsi="Times New Roman"/>
                <w:spacing w:val="-6"/>
                <w:sz w:val="24"/>
                <w:szCs w:val="24"/>
              </w:rPr>
              <w:softHyphen/>
              <w:t>зи</w:t>
            </w:r>
            <w:r w:rsidRPr="00D4728D">
              <w:rPr>
                <w:rFonts w:ascii="Times New Roman" w:hAnsi="Times New Roman"/>
                <w:spacing w:val="-6"/>
                <w:sz w:val="24"/>
                <w:szCs w:val="24"/>
              </w:rPr>
              <w:softHyphen/>
              <w:t>ро</w:t>
            </w:r>
            <w:r w:rsidRPr="00D4728D">
              <w:rPr>
                <w:rFonts w:ascii="Times New Roman" w:hAnsi="Times New Roman"/>
                <w:spacing w:val="-6"/>
                <w:sz w:val="24"/>
                <w:szCs w:val="24"/>
              </w:rPr>
              <w:softHyphen/>
              <w:t>ва</w:t>
            </w:r>
            <w:r w:rsidRPr="00D4728D">
              <w:rPr>
                <w:rFonts w:ascii="Times New Roman" w:hAnsi="Times New Roman"/>
                <w:spacing w:val="-6"/>
                <w:sz w:val="24"/>
                <w:szCs w:val="24"/>
              </w:rPr>
              <w:softHyphen/>
            </w:r>
            <w:r w:rsidRPr="00D4728D">
              <w:rPr>
                <w:rFonts w:ascii="Times New Roman" w:hAnsi="Times New Roman"/>
                <w:spacing w:val="-6"/>
                <w:sz w:val="24"/>
                <w:szCs w:val="24"/>
              </w:rPr>
              <w:softHyphen/>
              <w:t>ния го</w:t>
            </w:r>
            <w:r w:rsidRPr="00D4728D">
              <w:rPr>
                <w:rFonts w:ascii="Times New Roman" w:hAnsi="Times New Roman"/>
                <w:spacing w:val="-6"/>
                <w:sz w:val="24"/>
                <w:szCs w:val="24"/>
              </w:rPr>
              <w:softHyphen/>
              <w:t>су</w:t>
            </w:r>
            <w:r w:rsidRPr="00D4728D">
              <w:rPr>
                <w:rFonts w:ascii="Times New Roman" w:hAnsi="Times New Roman"/>
                <w:spacing w:val="-6"/>
                <w:sz w:val="24"/>
                <w:szCs w:val="24"/>
              </w:rPr>
              <w:softHyphen/>
              <w:t>дарства в це</w:t>
            </w:r>
            <w:r w:rsidRPr="00D4728D">
              <w:rPr>
                <w:rFonts w:ascii="Times New Roman" w:hAnsi="Times New Roman"/>
                <w:spacing w:val="-6"/>
                <w:sz w:val="24"/>
                <w:szCs w:val="24"/>
              </w:rPr>
              <w:softHyphen/>
              <w:t>лом, и от</w:t>
            </w:r>
            <w:r w:rsidRPr="00D4728D">
              <w:rPr>
                <w:rFonts w:ascii="Times New Roman" w:hAnsi="Times New Roman"/>
                <w:spacing w:val="-6"/>
                <w:sz w:val="24"/>
                <w:szCs w:val="24"/>
              </w:rPr>
              <w:softHyphen/>
              <w:t>дель</w:t>
            </w:r>
            <w:r w:rsidRPr="00D4728D">
              <w:rPr>
                <w:rFonts w:ascii="Times New Roman" w:hAnsi="Times New Roman"/>
                <w:spacing w:val="-6"/>
                <w:sz w:val="24"/>
                <w:szCs w:val="24"/>
              </w:rPr>
              <w:softHyphen/>
              <w:t>ных отраслей промышленности</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lastRenderedPageBreak/>
              <w:t xml:space="preserve">Выявление «белых пятен» в существующей системе  государственного стратегического планирования и прогнозирования, определение </w:t>
            </w:r>
            <w:r w:rsidRPr="00D4728D">
              <w:rPr>
                <w:rFonts w:ascii="Times New Roman" w:hAnsi="Times New Roman"/>
                <w:sz w:val="24"/>
                <w:szCs w:val="24"/>
              </w:rPr>
              <w:lastRenderedPageBreak/>
              <w:t>необходимой ресурсной базы по ее усовершенствованию</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1"/>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lastRenderedPageBreak/>
              <w:t xml:space="preserve">Определение проблемных вопросов по существующим нормативно-правовым документам в сфере стратегического планирования и перечня нормативно-правовых актов, которые необходимо </w:t>
            </w:r>
            <w:r w:rsidRPr="00D4728D">
              <w:rPr>
                <w:rFonts w:ascii="Times New Roman" w:eastAsia="Calibri" w:hAnsi="Times New Roman"/>
                <w:sz w:val="24"/>
                <w:szCs w:val="24"/>
              </w:rPr>
              <w:lastRenderedPageBreak/>
              <w:t>разработать, согласовать, принять.</w:t>
            </w:r>
          </w:p>
          <w:p w:rsidR="00D4728D" w:rsidRPr="00D4728D" w:rsidRDefault="00D4728D" w:rsidP="00D4728D">
            <w:pPr>
              <w:numPr>
                <w:ilvl w:val="0"/>
                <w:numId w:val="11"/>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Определение качественных и количественных характеристик необходимых ресурсов.</w:t>
            </w:r>
          </w:p>
          <w:p w:rsidR="00D4728D" w:rsidRPr="00D4728D" w:rsidRDefault="00D4728D" w:rsidP="00D4728D">
            <w:pPr>
              <w:numPr>
                <w:ilvl w:val="0"/>
                <w:numId w:val="11"/>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 xml:space="preserve"> Определение источников финансирования и приобретения необходимых ресурсов.</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lastRenderedPageBreak/>
              <w:t>Совет Министров, Народный Совет, профильные министерства и ведомства</w:t>
            </w:r>
          </w:p>
        </w:tc>
      </w:tr>
      <w:tr w:rsidR="00D4728D" w:rsidRPr="00D4728D" w:rsidTr="00BB1D7C">
        <w:tc>
          <w:tcPr>
            <w:tcW w:w="199" w:type="pct"/>
            <w:tcBorders>
              <w:top w:val="single" w:sz="4" w:space="0" w:color="auto"/>
              <w:left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819" w:type="pct"/>
            <w:gridSpan w:val="2"/>
            <w:tcBorders>
              <w:top w:val="single" w:sz="4" w:space="0" w:color="auto"/>
              <w:left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Нормативная правовая база функционирования отрасли</w:t>
            </w:r>
          </w:p>
        </w:tc>
        <w:tc>
          <w:tcPr>
            <w:tcW w:w="1034" w:type="pct"/>
            <w:tcBorders>
              <w:top w:val="single" w:sz="4" w:space="0" w:color="auto"/>
              <w:left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 xml:space="preserve">Разработка и принятие необходимой нормативной правовой базы </w:t>
            </w:r>
          </w:p>
        </w:tc>
        <w:tc>
          <w:tcPr>
            <w:tcW w:w="1839" w:type="pct"/>
            <w:tcBorders>
              <w:top w:val="single" w:sz="4" w:space="0" w:color="auto"/>
              <w:left w:val="single" w:sz="4" w:space="0" w:color="auto"/>
              <w:right w:val="single" w:sz="4" w:space="0" w:color="auto"/>
            </w:tcBorders>
            <w:shd w:val="clear" w:color="auto" w:fill="auto"/>
          </w:tcPr>
          <w:p w:rsidR="00D4728D" w:rsidRPr="00D4728D" w:rsidRDefault="00D4728D" w:rsidP="00D4728D">
            <w:pPr>
              <w:numPr>
                <w:ilvl w:val="0"/>
                <w:numId w:val="18"/>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Нормативно-правовые акты (законы, порядки, методи</w:t>
            </w:r>
            <w:r w:rsidRPr="00D4728D">
              <w:rPr>
                <w:rFonts w:ascii="Times New Roman" w:eastAsia="Calibri" w:hAnsi="Times New Roman"/>
                <w:sz w:val="24"/>
                <w:szCs w:val="24"/>
              </w:rPr>
              <w:softHyphen/>
              <w:t>ки и т.п.) о документах стратеги</w:t>
            </w:r>
            <w:r w:rsidRPr="00D4728D">
              <w:rPr>
                <w:rFonts w:ascii="Times New Roman" w:eastAsia="Calibri" w:hAnsi="Times New Roman"/>
                <w:sz w:val="24"/>
                <w:szCs w:val="24"/>
              </w:rPr>
              <w:softHyphen/>
              <w:t>ческого планирования на –крат</w:t>
            </w:r>
            <w:r w:rsidRPr="00D4728D">
              <w:rPr>
                <w:rFonts w:ascii="Times New Roman" w:eastAsia="Calibri" w:hAnsi="Times New Roman"/>
                <w:sz w:val="24"/>
                <w:szCs w:val="24"/>
              </w:rPr>
              <w:softHyphen/>
              <w:t>ко, -средне, -долгосроч</w:t>
            </w:r>
            <w:r w:rsidRPr="00D4728D">
              <w:rPr>
                <w:rFonts w:ascii="Times New Roman" w:eastAsia="Calibri" w:hAnsi="Times New Roman"/>
                <w:sz w:val="24"/>
                <w:szCs w:val="24"/>
              </w:rPr>
              <w:softHyphen/>
              <w:t>ные пе</w:t>
            </w:r>
            <w:r w:rsidRPr="00D4728D">
              <w:rPr>
                <w:rFonts w:ascii="Times New Roman" w:eastAsia="Calibri" w:hAnsi="Times New Roman"/>
                <w:sz w:val="24"/>
                <w:szCs w:val="24"/>
              </w:rPr>
              <w:softHyphen/>
              <w:t>рио</w:t>
            </w:r>
            <w:r w:rsidRPr="00D4728D">
              <w:rPr>
                <w:rFonts w:ascii="Times New Roman" w:eastAsia="Calibri" w:hAnsi="Times New Roman"/>
                <w:sz w:val="24"/>
                <w:szCs w:val="24"/>
              </w:rPr>
              <w:softHyphen/>
              <w:t>ды, согласно уровней стра</w:t>
            </w:r>
            <w:r w:rsidRPr="00D4728D">
              <w:rPr>
                <w:rFonts w:ascii="Times New Roman" w:eastAsia="Calibri" w:hAnsi="Times New Roman"/>
                <w:sz w:val="24"/>
                <w:szCs w:val="24"/>
              </w:rPr>
              <w:softHyphen/>
              <w:t>те</w:t>
            </w:r>
            <w:r w:rsidRPr="00D4728D">
              <w:rPr>
                <w:rFonts w:ascii="Times New Roman" w:eastAsia="Calibri" w:hAnsi="Times New Roman"/>
                <w:sz w:val="24"/>
                <w:szCs w:val="24"/>
              </w:rPr>
              <w:softHyphen/>
              <w:t>ги</w:t>
            </w:r>
            <w:r w:rsidRPr="00D4728D">
              <w:rPr>
                <w:rFonts w:ascii="Times New Roman" w:eastAsia="Calibri" w:hAnsi="Times New Roman"/>
                <w:sz w:val="24"/>
                <w:szCs w:val="24"/>
              </w:rPr>
              <w:softHyphen/>
              <w:t>ческого планирования (госу</w:t>
            </w:r>
            <w:r w:rsidRPr="00D4728D">
              <w:rPr>
                <w:rFonts w:ascii="Times New Roman" w:eastAsia="Calibri" w:hAnsi="Times New Roman"/>
                <w:sz w:val="24"/>
                <w:szCs w:val="24"/>
              </w:rPr>
              <w:softHyphen/>
              <w:t>дарственный, административно-территориальный, отраслевой).</w:t>
            </w:r>
          </w:p>
          <w:p w:rsidR="00D4728D" w:rsidRPr="00D4728D" w:rsidRDefault="00D4728D" w:rsidP="00D4728D">
            <w:pPr>
              <w:numPr>
                <w:ilvl w:val="0"/>
                <w:numId w:val="18"/>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Технические регламенты, положения, инструкции.</w:t>
            </w:r>
          </w:p>
          <w:p w:rsidR="00D4728D" w:rsidRPr="00D4728D" w:rsidRDefault="00D4728D" w:rsidP="00D4728D">
            <w:pPr>
              <w:spacing w:line="216" w:lineRule="auto"/>
              <w:contextualSpacing/>
              <w:jc w:val="both"/>
              <w:rPr>
                <w:rFonts w:ascii="Times New Roman" w:eastAsia="Calibri" w:hAnsi="Times New Roman"/>
                <w:sz w:val="24"/>
                <w:szCs w:val="24"/>
              </w:rPr>
            </w:pPr>
          </w:p>
        </w:tc>
        <w:tc>
          <w:tcPr>
            <w:tcW w:w="1109" w:type="pct"/>
            <w:tcBorders>
              <w:top w:val="single" w:sz="4" w:space="0" w:color="auto"/>
              <w:left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Совет Министров, Народный Совет, профильные министерства и ведомства</w:t>
            </w:r>
          </w:p>
        </w:tc>
      </w:tr>
      <w:tr w:rsidR="00D4728D" w:rsidRPr="00D4728D" w:rsidTr="00BB1D7C">
        <w:tc>
          <w:tcPr>
            <w:tcW w:w="5000" w:type="pct"/>
            <w:gridSpan w:val="6"/>
            <w:tcBorders>
              <w:bottom w:val="single" w:sz="4" w:space="0" w:color="auto"/>
            </w:tcBorders>
            <w:shd w:val="clear" w:color="auto" w:fill="auto"/>
            <w:vAlign w:val="center"/>
          </w:tcPr>
          <w:p w:rsidR="00D4728D" w:rsidRPr="00D4728D" w:rsidRDefault="00D4728D" w:rsidP="00D4728D">
            <w:pPr>
              <w:spacing w:line="216" w:lineRule="auto"/>
              <w:jc w:val="right"/>
              <w:rPr>
                <w:rFonts w:ascii="Times New Roman" w:hAnsi="Times New Roman"/>
                <w:sz w:val="28"/>
                <w:szCs w:val="28"/>
              </w:rPr>
            </w:pPr>
            <w:r w:rsidRPr="00D4728D">
              <w:rPr>
                <w:rFonts w:ascii="Times New Roman" w:hAnsi="Times New Roman"/>
                <w:sz w:val="28"/>
                <w:szCs w:val="28"/>
              </w:rPr>
              <w:t>Продолжение табл. 3</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1</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2</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4</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5</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Институциональные основы и механизмы государственного стратегического планирования</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Создание институциональных основ и механизмов взаимодействия в сфере государственного стратегического планирования и прогнозирования</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2"/>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Центральные органы исполнительной власти, их структурные подразделения и подведомственные организации.</w:t>
            </w:r>
          </w:p>
          <w:p w:rsidR="00D4728D" w:rsidRPr="00D4728D" w:rsidRDefault="00D4728D" w:rsidP="00D4728D">
            <w:pPr>
              <w:numPr>
                <w:ilvl w:val="0"/>
                <w:numId w:val="12"/>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Органы местного самоуправления, их террито</w:t>
            </w:r>
            <w:r w:rsidRPr="00D4728D">
              <w:rPr>
                <w:rFonts w:ascii="Times New Roman" w:eastAsia="Calibri" w:hAnsi="Times New Roman"/>
                <w:sz w:val="24"/>
                <w:szCs w:val="24"/>
              </w:rPr>
              <w:softHyphen/>
              <w:t>риальные подразделения.</w:t>
            </w:r>
          </w:p>
          <w:p w:rsidR="00D4728D" w:rsidRPr="00D4728D" w:rsidRDefault="00D4728D" w:rsidP="00D4728D">
            <w:pPr>
              <w:numPr>
                <w:ilvl w:val="0"/>
                <w:numId w:val="12"/>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Структуры, положения, организационно-функциональные регламенты организаций, предприятий.</w:t>
            </w:r>
          </w:p>
          <w:p w:rsidR="00D4728D" w:rsidRPr="00D4728D" w:rsidRDefault="00D4728D" w:rsidP="00D4728D">
            <w:pPr>
              <w:numPr>
                <w:ilvl w:val="0"/>
                <w:numId w:val="12"/>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Организация и функцио</w:t>
            </w:r>
            <w:r w:rsidRPr="00D4728D">
              <w:rPr>
                <w:rFonts w:ascii="Times New Roman" w:eastAsia="Calibri" w:hAnsi="Times New Roman"/>
                <w:sz w:val="24"/>
                <w:szCs w:val="24"/>
              </w:rPr>
              <w:softHyphen/>
              <w:t>ни</w:t>
            </w:r>
            <w:r w:rsidRPr="00D4728D">
              <w:rPr>
                <w:rFonts w:ascii="Times New Roman" w:eastAsia="Calibri" w:hAnsi="Times New Roman"/>
                <w:sz w:val="24"/>
                <w:szCs w:val="24"/>
              </w:rPr>
              <w:softHyphen/>
              <w:t>рование, разработка механиз</w:t>
            </w:r>
            <w:r w:rsidRPr="00D4728D">
              <w:rPr>
                <w:rFonts w:ascii="Times New Roman" w:eastAsia="Calibri" w:hAnsi="Times New Roman"/>
                <w:sz w:val="24"/>
                <w:szCs w:val="24"/>
              </w:rPr>
              <w:softHyphen/>
              <w:t>ма государственного взаимодей</w:t>
            </w:r>
            <w:r w:rsidRPr="00D4728D">
              <w:rPr>
                <w:rFonts w:ascii="Times New Roman" w:eastAsia="Calibri" w:hAnsi="Times New Roman"/>
                <w:sz w:val="24"/>
                <w:szCs w:val="24"/>
              </w:rPr>
              <w:softHyphen/>
              <w:t>ствия  в сфере государственного стратегического планирования и прогнозирования.</w:t>
            </w:r>
          </w:p>
          <w:p w:rsidR="00D4728D" w:rsidRPr="00D4728D" w:rsidRDefault="00D4728D" w:rsidP="00D4728D">
            <w:pPr>
              <w:numPr>
                <w:ilvl w:val="0"/>
                <w:numId w:val="12"/>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lastRenderedPageBreak/>
              <w:t>Внедрение, отработка и использование первоначального понятийного, логистического, информационного сопровождения процессов.</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autoSpaceDE w:val="0"/>
              <w:autoSpaceDN w:val="0"/>
              <w:adjustRightInd w:val="0"/>
              <w:jc w:val="both"/>
              <w:rPr>
                <w:rFonts w:ascii="Times New Roman" w:hAnsi="Times New Roman"/>
                <w:sz w:val="24"/>
                <w:szCs w:val="24"/>
              </w:rPr>
            </w:pPr>
            <w:r w:rsidRPr="00D4728D">
              <w:rPr>
                <w:rFonts w:ascii="Times New Roman" w:hAnsi="Times New Roman"/>
                <w:sz w:val="24"/>
                <w:szCs w:val="24"/>
              </w:rPr>
              <w:lastRenderedPageBreak/>
              <w:t>Совет Министров, Народный Совет, профильные министерства и ведомства, административно-территориальные единицы, предприятия, организации учреждения</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Научная, методичес</w:t>
            </w:r>
            <w:r w:rsidRPr="00D4728D">
              <w:rPr>
                <w:rFonts w:ascii="Times New Roman" w:hAnsi="Times New Roman"/>
                <w:sz w:val="24"/>
                <w:szCs w:val="24"/>
              </w:rPr>
              <w:softHyphen/>
              <w:t>кая и методологи</w:t>
            </w:r>
            <w:r w:rsidRPr="00D4728D">
              <w:rPr>
                <w:rFonts w:ascii="Times New Roman" w:hAnsi="Times New Roman"/>
                <w:sz w:val="24"/>
                <w:szCs w:val="24"/>
              </w:rPr>
              <w:softHyphen/>
              <w:t>ческая деятель</w:t>
            </w:r>
            <w:r w:rsidRPr="00D4728D">
              <w:rPr>
                <w:rFonts w:ascii="Times New Roman" w:hAnsi="Times New Roman"/>
                <w:sz w:val="24"/>
                <w:szCs w:val="24"/>
              </w:rPr>
              <w:softHyphen/>
              <w:t>ность.</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Проведение и реализация научной, методической и методологической работы в сфере государственного стратегического планирования</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3"/>
              </w:numPr>
              <w:contextualSpacing/>
              <w:jc w:val="both"/>
              <w:rPr>
                <w:rFonts w:ascii="Times New Roman" w:eastAsia="Calibri" w:hAnsi="Times New Roman"/>
                <w:sz w:val="24"/>
                <w:szCs w:val="24"/>
              </w:rPr>
            </w:pPr>
            <w:r w:rsidRPr="00D4728D">
              <w:rPr>
                <w:rFonts w:ascii="Times New Roman" w:eastAsia="Calibri" w:hAnsi="Times New Roman"/>
                <w:sz w:val="24"/>
                <w:szCs w:val="24"/>
              </w:rPr>
              <w:t>Восстановление и запуск технологических процессов и технических регламентов.</w:t>
            </w:r>
          </w:p>
          <w:p w:rsidR="00D4728D" w:rsidRPr="00D4728D" w:rsidRDefault="00D4728D" w:rsidP="00D4728D">
            <w:pPr>
              <w:numPr>
                <w:ilvl w:val="0"/>
                <w:numId w:val="13"/>
              </w:numPr>
              <w:contextualSpacing/>
              <w:jc w:val="both"/>
              <w:rPr>
                <w:rFonts w:ascii="Times New Roman" w:eastAsia="Calibri" w:hAnsi="Times New Roman"/>
                <w:sz w:val="24"/>
                <w:szCs w:val="24"/>
              </w:rPr>
            </w:pPr>
            <w:r w:rsidRPr="00D4728D">
              <w:rPr>
                <w:rFonts w:ascii="Times New Roman" w:eastAsia="Calibri" w:hAnsi="Times New Roman"/>
                <w:sz w:val="24"/>
                <w:szCs w:val="24"/>
              </w:rPr>
              <w:t>Кадровый и методический потенциал и научная ресурсная база профильных министерств, учебных и научных заведений.</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Совет Министров, Народный Совет, профильные министерства и ведомства, административно-территориальные единицы, предприятия, организации учреждения</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Профессио</w:t>
            </w:r>
            <w:r w:rsidRPr="00D4728D">
              <w:rPr>
                <w:rFonts w:ascii="Times New Roman" w:hAnsi="Times New Roman"/>
                <w:sz w:val="24"/>
                <w:szCs w:val="24"/>
              </w:rPr>
              <w:softHyphen/>
              <w:t>нально-кад</w:t>
            </w:r>
            <w:r w:rsidRPr="00D4728D">
              <w:rPr>
                <w:rFonts w:ascii="Times New Roman" w:hAnsi="Times New Roman"/>
                <w:sz w:val="24"/>
                <w:szCs w:val="24"/>
              </w:rPr>
              <w:softHyphen/>
              <w:t>ровый по</w:t>
            </w:r>
            <w:r w:rsidRPr="00D4728D">
              <w:rPr>
                <w:rFonts w:ascii="Times New Roman" w:hAnsi="Times New Roman"/>
                <w:sz w:val="24"/>
                <w:szCs w:val="24"/>
              </w:rPr>
              <w:softHyphen/>
              <w:t>тен</w:t>
            </w:r>
            <w:r w:rsidRPr="00D4728D">
              <w:rPr>
                <w:rFonts w:ascii="Times New Roman" w:hAnsi="Times New Roman"/>
                <w:sz w:val="24"/>
                <w:szCs w:val="24"/>
              </w:rPr>
              <w:softHyphen/>
              <w:t>циал пред</w:t>
            </w:r>
            <w:r w:rsidRPr="00D4728D">
              <w:rPr>
                <w:rFonts w:ascii="Times New Roman" w:hAnsi="Times New Roman"/>
                <w:sz w:val="24"/>
                <w:szCs w:val="24"/>
              </w:rPr>
              <w:softHyphen/>
              <w:t>прия</w:t>
            </w:r>
            <w:r w:rsidRPr="00D4728D">
              <w:rPr>
                <w:rFonts w:ascii="Times New Roman" w:hAnsi="Times New Roman"/>
                <w:sz w:val="24"/>
                <w:szCs w:val="24"/>
              </w:rPr>
              <w:softHyphen/>
              <w:t>тий и организаций</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 xml:space="preserve">Восстановление количественного и качественного профессионально-кадрового потенциала </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4"/>
              </w:numPr>
              <w:contextualSpacing/>
              <w:jc w:val="both"/>
              <w:rPr>
                <w:rFonts w:ascii="Times New Roman" w:eastAsia="Calibri" w:hAnsi="Times New Roman"/>
                <w:sz w:val="24"/>
                <w:szCs w:val="24"/>
              </w:rPr>
            </w:pPr>
            <w:r w:rsidRPr="00D4728D">
              <w:rPr>
                <w:rFonts w:ascii="Times New Roman" w:eastAsia="Calibri" w:hAnsi="Times New Roman"/>
                <w:sz w:val="24"/>
                <w:szCs w:val="24"/>
              </w:rPr>
              <w:t>Разработка основ концепции государственной кадровой политики по подготовке специалистов.</w:t>
            </w:r>
          </w:p>
          <w:p w:rsidR="00D4728D" w:rsidRPr="00D4728D" w:rsidRDefault="00D4728D" w:rsidP="00D4728D">
            <w:pPr>
              <w:numPr>
                <w:ilvl w:val="0"/>
                <w:numId w:val="14"/>
              </w:numPr>
              <w:contextualSpacing/>
              <w:jc w:val="both"/>
              <w:rPr>
                <w:rFonts w:ascii="Times New Roman" w:eastAsia="Calibri" w:hAnsi="Times New Roman"/>
                <w:sz w:val="24"/>
                <w:szCs w:val="24"/>
              </w:rPr>
            </w:pPr>
            <w:r w:rsidRPr="00D4728D">
              <w:rPr>
                <w:rFonts w:ascii="Times New Roman" w:eastAsia="Calibri" w:hAnsi="Times New Roman"/>
                <w:sz w:val="24"/>
                <w:szCs w:val="24"/>
              </w:rPr>
              <w:t>Создание системы поиска, подбора и обучения персонала заданных квалификационных требований.</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Совет Министров, Народный Совет, профильные министерства и ведомства, административно-территориальные единицы, предприятия, организации учреждения</w:t>
            </w:r>
          </w:p>
        </w:tc>
      </w:tr>
      <w:tr w:rsidR="00D4728D" w:rsidRPr="00D4728D" w:rsidTr="00BB1D7C">
        <w:trPr>
          <w:trHeight w:val="416"/>
        </w:trPr>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Формирование и реализация комплексной кадровой политики</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Кадровые технологии подготовки и использования персонала</w:t>
            </w:r>
          </w:p>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Государственный план подготовки квалифицированных кадров</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9"/>
              </w:numPr>
              <w:contextualSpacing/>
              <w:jc w:val="both"/>
              <w:rPr>
                <w:rFonts w:ascii="Times New Roman" w:eastAsia="Calibri" w:hAnsi="Times New Roman"/>
                <w:sz w:val="24"/>
                <w:szCs w:val="24"/>
              </w:rPr>
            </w:pPr>
            <w:r w:rsidRPr="00D4728D">
              <w:rPr>
                <w:rFonts w:ascii="Times New Roman" w:eastAsia="Calibri" w:hAnsi="Times New Roman"/>
                <w:sz w:val="24"/>
                <w:szCs w:val="24"/>
              </w:rPr>
              <w:t>Постоянная система обучения.</w:t>
            </w:r>
          </w:p>
          <w:p w:rsidR="00D4728D" w:rsidRPr="00D4728D" w:rsidRDefault="00D4728D" w:rsidP="00D4728D">
            <w:pPr>
              <w:numPr>
                <w:ilvl w:val="0"/>
                <w:numId w:val="19"/>
              </w:numPr>
              <w:contextualSpacing/>
              <w:jc w:val="both"/>
              <w:rPr>
                <w:rFonts w:ascii="Times New Roman" w:eastAsia="Calibri" w:hAnsi="Times New Roman"/>
                <w:sz w:val="24"/>
                <w:szCs w:val="24"/>
              </w:rPr>
            </w:pPr>
            <w:r w:rsidRPr="00D4728D">
              <w:rPr>
                <w:rFonts w:ascii="Times New Roman" w:eastAsia="Calibri" w:hAnsi="Times New Roman"/>
                <w:sz w:val="24"/>
                <w:szCs w:val="24"/>
              </w:rPr>
              <w:t>Дополнительные курсы подготовки и переподготовки.</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autoSpaceDE w:val="0"/>
              <w:autoSpaceDN w:val="0"/>
              <w:adjustRightInd w:val="0"/>
              <w:spacing w:line="216" w:lineRule="auto"/>
              <w:jc w:val="both"/>
              <w:rPr>
                <w:rFonts w:ascii="Times New Roman" w:hAnsi="Times New Roman"/>
                <w:sz w:val="24"/>
                <w:szCs w:val="24"/>
              </w:rPr>
            </w:pPr>
            <w:r w:rsidRPr="00D4728D">
              <w:rPr>
                <w:rFonts w:ascii="Times New Roman" w:hAnsi="Times New Roman"/>
                <w:sz w:val="24"/>
                <w:szCs w:val="24"/>
              </w:rPr>
              <w:t>Совет Министров, Народный Совет, профильные министерства и ведомства, административно-территориальные единицы, предприятия, организации учреждения</w:t>
            </w:r>
          </w:p>
          <w:p w:rsidR="00D4728D" w:rsidRPr="00D4728D" w:rsidRDefault="00D4728D" w:rsidP="00D4728D">
            <w:pPr>
              <w:autoSpaceDE w:val="0"/>
              <w:autoSpaceDN w:val="0"/>
              <w:adjustRightInd w:val="0"/>
              <w:spacing w:line="216" w:lineRule="auto"/>
              <w:jc w:val="both"/>
              <w:rPr>
                <w:rFonts w:ascii="Times New Roman" w:hAnsi="Times New Roman"/>
                <w:sz w:val="24"/>
                <w:szCs w:val="24"/>
              </w:rPr>
            </w:pPr>
          </w:p>
        </w:tc>
      </w:tr>
      <w:tr w:rsidR="00D4728D" w:rsidRPr="00D4728D" w:rsidTr="00BB1D7C">
        <w:tc>
          <w:tcPr>
            <w:tcW w:w="5000" w:type="pct"/>
            <w:gridSpan w:val="6"/>
            <w:tcBorders>
              <w:bottom w:val="single" w:sz="4" w:space="0" w:color="auto"/>
            </w:tcBorders>
            <w:shd w:val="clear" w:color="auto" w:fill="auto"/>
            <w:vAlign w:val="center"/>
          </w:tcPr>
          <w:p w:rsidR="00D4728D" w:rsidRPr="00D4728D" w:rsidRDefault="00D4728D" w:rsidP="00D4728D">
            <w:pPr>
              <w:spacing w:line="216" w:lineRule="auto"/>
              <w:jc w:val="right"/>
              <w:rPr>
                <w:rFonts w:ascii="Times New Roman" w:hAnsi="Times New Roman"/>
                <w:sz w:val="28"/>
                <w:szCs w:val="28"/>
              </w:rPr>
            </w:pPr>
            <w:r w:rsidRPr="00D4728D">
              <w:rPr>
                <w:rFonts w:ascii="Times New Roman" w:hAnsi="Times New Roman"/>
                <w:sz w:val="28"/>
                <w:szCs w:val="28"/>
              </w:rPr>
              <w:t>Продолжение табл. 3</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1</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2</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3</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4</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center"/>
              <w:rPr>
                <w:rFonts w:ascii="Times New Roman" w:hAnsi="Times New Roman"/>
                <w:sz w:val="24"/>
                <w:szCs w:val="24"/>
              </w:rPr>
            </w:pPr>
            <w:r w:rsidRPr="00D4728D">
              <w:rPr>
                <w:rFonts w:ascii="Times New Roman" w:hAnsi="Times New Roman"/>
                <w:sz w:val="24"/>
                <w:szCs w:val="24"/>
              </w:rPr>
              <w:t>5</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 xml:space="preserve">Информационная поддержка </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 xml:space="preserve">Разработка  информационного Дата-цента или центра хранения и обработки данных и </w:t>
            </w:r>
            <w:r w:rsidRPr="00D4728D">
              <w:rPr>
                <w:rFonts w:ascii="Times New Roman" w:hAnsi="Times New Roman"/>
                <w:sz w:val="24"/>
                <w:szCs w:val="24"/>
              </w:rPr>
              <w:lastRenderedPageBreak/>
              <w:t xml:space="preserve">наполнение информационного пространства  </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5"/>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lastRenderedPageBreak/>
              <w:t>Единое информационное пространство.</w:t>
            </w:r>
          </w:p>
          <w:p w:rsidR="00D4728D" w:rsidRPr="00D4728D" w:rsidRDefault="00D4728D" w:rsidP="00D4728D">
            <w:pPr>
              <w:numPr>
                <w:ilvl w:val="0"/>
                <w:numId w:val="15"/>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Современные вычислительные комплексы.</w:t>
            </w:r>
          </w:p>
          <w:p w:rsidR="00D4728D" w:rsidRPr="00D4728D" w:rsidRDefault="00D4728D" w:rsidP="00D4728D">
            <w:pPr>
              <w:numPr>
                <w:ilvl w:val="0"/>
                <w:numId w:val="15"/>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lastRenderedPageBreak/>
              <w:t xml:space="preserve"> Объектные пулы реестров юридических и физических лиц, групп и наименований товаров, видов экономической деятельности, смысловых, объектных, дислокационных, территориальных признаков и показателей.</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autoSpaceDE w:val="0"/>
              <w:autoSpaceDN w:val="0"/>
              <w:adjustRightInd w:val="0"/>
              <w:spacing w:line="216" w:lineRule="auto"/>
              <w:jc w:val="both"/>
              <w:rPr>
                <w:rFonts w:ascii="Times New Roman" w:hAnsi="Times New Roman"/>
                <w:sz w:val="24"/>
                <w:szCs w:val="24"/>
              </w:rPr>
            </w:pPr>
            <w:r w:rsidRPr="00D4728D">
              <w:rPr>
                <w:rFonts w:ascii="Times New Roman" w:hAnsi="Times New Roman"/>
                <w:sz w:val="24"/>
                <w:szCs w:val="24"/>
              </w:rPr>
              <w:lastRenderedPageBreak/>
              <w:t>Профильные министерства и ведомства, организации, предприятия. учреждения</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 xml:space="preserve">Техническое перевооружение </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Модернизация необходимого оборудования</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6"/>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Оборудование, обучение, приемы.</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Профильные министерства и ведомства, организации, предприятия, учреждения</w:t>
            </w:r>
          </w:p>
        </w:tc>
      </w:tr>
      <w:tr w:rsidR="00D4728D" w:rsidRPr="00D4728D" w:rsidTr="00BB1D7C">
        <w:tc>
          <w:tcPr>
            <w:tcW w:w="237" w:type="pct"/>
            <w:gridSpan w:val="2"/>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9"/>
              </w:numPr>
              <w:spacing w:line="216" w:lineRule="auto"/>
              <w:contextualSpacing/>
              <w:jc w:val="both"/>
              <w:rPr>
                <w:rFonts w:ascii="Times New Roman" w:eastAsia="Calibri" w:hAnsi="Times New Roman"/>
                <w:sz w:val="24"/>
                <w:szCs w:val="24"/>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 xml:space="preserve">Математическое моделирование и алгоритмизация процессов </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Разработка показателей и механизмов. приемов математического моделирования для принятия управленческих решений</w:t>
            </w:r>
          </w:p>
        </w:tc>
        <w:tc>
          <w:tcPr>
            <w:tcW w:w="183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numPr>
                <w:ilvl w:val="0"/>
                <w:numId w:val="17"/>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Показатели и алгоритмы математического моделирования и алгоритмизации экономических процессов.</w:t>
            </w:r>
          </w:p>
          <w:p w:rsidR="00D4728D" w:rsidRPr="00D4728D" w:rsidRDefault="00D4728D" w:rsidP="00D4728D">
            <w:pPr>
              <w:numPr>
                <w:ilvl w:val="0"/>
                <w:numId w:val="17"/>
              </w:numPr>
              <w:spacing w:line="216" w:lineRule="auto"/>
              <w:contextualSpacing/>
              <w:jc w:val="both"/>
              <w:rPr>
                <w:rFonts w:ascii="Times New Roman" w:eastAsia="Calibri" w:hAnsi="Times New Roman"/>
                <w:sz w:val="24"/>
                <w:szCs w:val="24"/>
              </w:rPr>
            </w:pPr>
            <w:r w:rsidRPr="00D4728D">
              <w:rPr>
                <w:rFonts w:ascii="Times New Roman" w:eastAsia="Calibri" w:hAnsi="Times New Roman"/>
                <w:sz w:val="24"/>
                <w:szCs w:val="24"/>
              </w:rPr>
              <w:t>Автоматизация анализа полученных данных</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D4728D" w:rsidRPr="00D4728D" w:rsidRDefault="00D4728D" w:rsidP="00D4728D">
            <w:pPr>
              <w:spacing w:line="216" w:lineRule="auto"/>
              <w:jc w:val="both"/>
              <w:rPr>
                <w:rFonts w:ascii="Times New Roman" w:hAnsi="Times New Roman"/>
                <w:sz w:val="24"/>
                <w:szCs w:val="24"/>
              </w:rPr>
            </w:pPr>
            <w:r w:rsidRPr="00D4728D">
              <w:rPr>
                <w:rFonts w:ascii="Times New Roman" w:hAnsi="Times New Roman"/>
                <w:sz w:val="24"/>
                <w:szCs w:val="24"/>
              </w:rPr>
              <w:t>Профильные министерства и ведомства, организации, предприятия, учреждения</w:t>
            </w:r>
          </w:p>
        </w:tc>
      </w:tr>
    </w:tbl>
    <w:p w:rsidR="00D4728D" w:rsidRPr="00D4728D" w:rsidRDefault="00D4728D" w:rsidP="00D4728D">
      <w:pPr>
        <w:spacing w:after="0" w:line="240" w:lineRule="auto"/>
        <w:ind w:firstLine="709"/>
        <w:jc w:val="both"/>
        <w:rPr>
          <w:rFonts w:ascii="Times New Roman" w:eastAsia="Times New Roman" w:hAnsi="Times New Roman" w:cs="Times New Roman"/>
          <w:bCs/>
          <w:i/>
          <w:sz w:val="24"/>
          <w:szCs w:val="24"/>
          <w:lang w:eastAsia="ru-RU"/>
        </w:rPr>
      </w:pPr>
    </w:p>
    <w:p w:rsidR="00D4728D" w:rsidRPr="00D4728D" w:rsidRDefault="00D4728D" w:rsidP="00D4728D">
      <w:pPr>
        <w:spacing w:after="0" w:line="240" w:lineRule="auto"/>
        <w:ind w:firstLine="709"/>
        <w:jc w:val="both"/>
        <w:rPr>
          <w:rFonts w:ascii="Times New Roman" w:eastAsia="Times New Roman" w:hAnsi="Times New Roman" w:cs="Times New Roman"/>
          <w:sz w:val="28"/>
          <w:szCs w:val="28"/>
          <w:lang w:eastAsia="ru-RU"/>
        </w:rPr>
      </w:pPr>
      <w:r w:rsidRPr="00D4728D">
        <w:rPr>
          <w:rFonts w:ascii="Times New Roman" w:eastAsia="Times New Roman" w:hAnsi="Times New Roman" w:cs="Times New Roman"/>
          <w:b/>
          <w:bCs/>
          <w:sz w:val="28"/>
          <w:szCs w:val="28"/>
          <w:lang w:eastAsia="ru-RU"/>
        </w:rPr>
        <w:t>Выводы</w:t>
      </w:r>
      <w:r w:rsidRPr="00D4728D">
        <w:rPr>
          <w:rFonts w:ascii="Times New Roman" w:eastAsia="Times New Roman" w:hAnsi="Times New Roman" w:cs="Times New Roman"/>
          <w:bCs/>
          <w:i/>
          <w:sz w:val="28"/>
          <w:szCs w:val="28"/>
          <w:lang w:eastAsia="ru-RU"/>
        </w:rPr>
        <w:t>.</w:t>
      </w:r>
      <w:r w:rsidRPr="00D4728D">
        <w:rPr>
          <w:rFonts w:ascii="Times New Roman" w:eastAsia="Times New Roman" w:hAnsi="Times New Roman" w:cs="Times New Roman"/>
          <w:bCs/>
          <w:sz w:val="28"/>
          <w:szCs w:val="28"/>
          <w:lang w:eastAsia="ru-RU"/>
        </w:rPr>
        <w:t xml:space="preserve"> Принимаемые стратегические решения, в отличие от тактических или оперативных, носят более долгосрочный характер и в большинстве случаев не могут быть быстро скорректированы. Стратегические ошибки чаще всего носят глобальный характер и оказывают прямое воздействие на жизнеспособность всей рассматриваемой системы, а также влияют на другие системы. С целью своевременного, результативного, стратегического планирования, для реализации управленческих решений необходимо применение </w:t>
      </w:r>
      <w:r w:rsidRPr="00D4728D">
        <w:rPr>
          <w:rFonts w:ascii="Times New Roman" w:eastAsia="Times New Roman" w:hAnsi="Times New Roman" w:cs="Times New Roman"/>
          <w:sz w:val="28"/>
          <w:szCs w:val="28"/>
          <w:lang w:eastAsia="ru-RU"/>
        </w:rPr>
        <w:t>интегрированного подхода к стратегическому государственному управлению. Указанные в данной статье направления совершенствования государственного стратегического планирования и прогнозирования, способствуют алгоритмизации процессов хранения, обработки, анализа информации во всех сферах деятельности, с целью принятия своевременных управленческих решений.</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D4728D" w:rsidRPr="00D4728D" w:rsidTr="00BB1D7C">
        <w:trPr>
          <w:jc w:val="center"/>
        </w:trPr>
        <w:tc>
          <w:tcPr>
            <w:tcW w:w="5000" w:type="pct"/>
            <w:gridSpan w:val="2"/>
          </w:tcPr>
          <w:p w:rsidR="00D4728D" w:rsidRPr="00D4728D" w:rsidRDefault="00D4728D" w:rsidP="00D4728D">
            <w:pPr>
              <w:contextualSpacing/>
              <w:jc w:val="both"/>
              <w:rPr>
                <w:rFonts w:ascii="Times New Roman" w:eastAsia="Calibri" w:hAnsi="Times New Roman"/>
                <w:sz w:val="24"/>
                <w:szCs w:val="24"/>
              </w:rPr>
            </w:pPr>
          </w:p>
        </w:tc>
      </w:tr>
      <w:tr w:rsidR="00D4728D" w:rsidRPr="00D4728D" w:rsidTr="00BB1D7C">
        <w:trPr>
          <w:jc w:val="center"/>
        </w:trPr>
        <w:tc>
          <w:tcPr>
            <w:tcW w:w="5000" w:type="pct"/>
            <w:gridSpan w:val="2"/>
          </w:tcPr>
          <w:p w:rsidR="00D4728D" w:rsidRPr="00D4728D" w:rsidRDefault="00D4728D" w:rsidP="00D4728D">
            <w:pPr>
              <w:ind w:firstLine="709"/>
              <w:jc w:val="center"/>
              <w:rPr>
                <w:rFonts w:ascii="Times New Roman" w:hAnsi="Times New Roman"/>
                <w:b/>
                <w:sz w:val="28"/>
                <w:szCs w:val="28"/>
              </w:rPr>
            </w:pPr>
            <w:r w:rsidRPr="00D4728D">
              <w:rPr>
                <w:rFonts w:ascii="Times New Roman" w:hAnsi="Times New Roman"/>
                <w:b/>
                <w:sz w:val="28"/>
                <w:szCs w:val="28"/>
              </w:rPr>
              <w:t>Список литературы</w:t>
            </w:r>
          </w:p>
        </w:tc>
      </w:tr>
      <w:tr w:rsidR="00D4728D" w:rsidRPr="00D4728D" w:rsidTr="00BB1D7C">
        <w:trPr>
          <w:jc w:val="center"/>
        </w:trPr>
        <w:tc>
          <w:tcPr>
            <w:tcW w:w="293" w:type="pct"/>
          </w:tcPr>
          <w:p w:rsidR="00D4728D" w:rsidRPr="00D4728D" w:rsidRDefault="00D4728D" w:rsidP="00D4728D">
            <w:pPr>
              <w:widowControl w:val="0"/>
              <w:numPr>
                <w:ilvl w:val="0"/>
                <w:numId w:val="20"/>
              </w:numPr>
              <w:contextualSpacing/>
              <w:jc w:val="both"/>
              <w:rPr>
                <w:rFonts w:ascii="Times New Roman" w:eastAsia="Calibri" w:hAnsi="Times New Roman"/>
                <w:sz w:val="24"/>
                <w:szCs w:val="24"/>
              </w:rPr>
            </w:pPr>
          </w:p>
        </w:tc>
        <w:tc>
          <w:tcPr>
            <w:tcW w:w="4707" w:type="pct"/>
          </w:tcPr>
          <w:p w:rsidR="00D4728D" w:rsidRPr="00D4728D" w:rsidRDefault="00D4728D" w:rsidP="00D4728D">
            <w:pPr>
              <w:spacing w:line="228" w:lineRule="auto"/>
              <w:jc w:val="both"/>
              <w:rPr>
                <w:rFonts w:ascii="Times New Roman" w:hAnsi="Times New Roman"/>
                <w:sz w:val="24"/>
                <w:szCs w:val="24"/>
              </w:rPr>
            </w:pPr>
            <w:r w:rsidRPr="00D4728D">
              <w:rPr>
                <w:rFonts w:ascii="Times New Roman" w:hAnsi="Times New Roman"/>
                <w:sz w:val="24"/>
                <w:szCs w:val="24"/>
              </w:rPr>
              <w:t>Савченко О.Ю. Направления развития системы государственного стратегического планирования в агропромышленном комплексе Донецкой Народной Республики / О.Ю. Савченко, Е.Г. Курган // Материалы международной научной конференции студентов и молодых ученых приуроченной к 50-летию экономического факультета Донецкого национального факультета (г. Донецк, 8-9 декабря 2016 г.) - Донецк: ДонНУ, 2016. – С. 555-557.</w:t>
            </w:r>
          </w:p>
        </w:tc>
      </w:tr>
      <w:tr w:rsidR="00D4728D" w:rsidRPr="00D4728D" w:rsidTr="00BB1D7C">
        <w:trPr>
          <w:jc w:val="center"/>
        </w:trPr>
        <w:tc>
          <w:tcPr>
            <w:tcW w:w="293" w:type="pct"/>
          </w:tcPr>
          <w:p w:rsidR="00D4728D" w:rsidRPr="00D4728D" w:rsidRDefault="00D4728D" w:rsidP="00D4728D">
            <w:pPr>
              <w:widowControl w:val="0"/>
              <w:numPr>
                <w:ilvl w:val="0"/>
                <w:numId w:val="20"/>
              </w:numPr>
              <w:contextualSpacing/>
              <w:jc w:val="both"/>
              <w:rPr>
                <w:rFonts w:ascii="Times New Roman" w:eastAsia="Calibri" w:hAnsi="Times New Roman"/>
                <w:sz w:val="24"/>
                <w:szCs w:val="24"/>
              </w:rPr>
            </w:pPr>
          </w:p>
        </w:tc>
        <w:tc>
          <w:tcPr>
            <w:tcW w:w="4707" w:type="pct"/>
          </w:tcPr>
          <w:p w:rsidR="00D4728D" w:rsidRPr="00D4728D" w:rsidRDefault="00D4728D" w:rsidP="00D4728D">
            <w:pPr>
              <w:rPr>
                <w:rFonts w:ascii="Times New Roman" w:hAnsi="Times New Roman"/>
                <w:sz w:val="24"/>
                <w:szCs w:val="24"/>
              </w:rPr>
            </w:pPr>
            <w:r w:rsidRPr="00D4728D">
              <w:rPr>
                <w:rFonts w:ascii="Times New Roman" w:hAnsi="Times New Roman"/>
                <w:sz w:val="24"/>
                <w:szCs w:val="24"/>
              </w:rPr>
              <w:t>Смирнова О.О. Основы стратегического планирования Российской Федерации [Текст]: монография / О.О. Смирнова. – М.: Издательский Дом «Наука», 2013. – 302 с.</w:t>
            </w:r>
          </w:p>
        </w:tc>
      </w:tr>
      <w:tr w:rsidR="00D4728D" w:rsidRPr="00D4728D" w:rsidTr="00BB1D7C">
        <w:trPr>
          <w:jc w:val="center"/>
        </w:trPr>
        <w:tc>
          <w:tcPr>
            <w:tcW w:w="293" w:type="pct"/>
          </w:tcPr>
          <w:p w:rsidR="00D4728D" w:rsidRPr="00D4728D" w:rsidRDefault="00D4728D" w:rsidP="00D4728D">
            <w:pPr>
              <w:widowControl w:val="0"/>
              <w:numPr>
                <w:ilvl w:val="0"/>
                <w:numId w:val="20"/>
              </w:numPr>
              <w:contextualSpacing/>
              <w:jc w:val="both"/>
              <w:rPr>
                <w:rFonts w:ascii="Times New Roman" w:eastAsia="Calibri" w:hAnsi="Times New Roman"/>
                <w:sz w:val="24"/>
                <w:szCs w:val="24"/>
              </w:rPr>
            </w:pPr>
          </w:p>
        </w:tc>
        <w:tc>
          <w:tcPr>
            <w:tcW w:w="4707" w:type="pct"/>
          </w:tcPr>
          <w:p w:rsidR="00D4728D" w:rsidRPr="00D4728D" w:rsidRDefault="00D4728D" w:rsidP="00D4728D">
            <w:pPr>
              <w:jc w:val="both"/>
              <w:rPr>
                <w:rFonts w:ascii="Times New Roman" w:hAnsi="Times New Roman"/>
                <w:sz w:val="24"/>
                <w:szCs w:val="24"/>
              </w:rPr>
            </w:pPr>
            <w:r w:rsidRPr="00D4728D">
              <w:rPr>
                <w:rFonts w:ascii="Times New Roman" w:hAnsi="Times New Roman"/>
                <w:sz w:val="24"/>
                <w:szCs w:val="24"/>
              </w:rPr>
              <w:t xml:space="preserve">Сапар Ж.А. Стратегическое планирование деятельности государственной организации [Электронный ресурс]: магистерская диссертация на соискание академической степени магистра экономики / Ж.А. Сапар - Павлодар – 2012. – 123 с. - Режим доступа: </w:t>
            </w:r>
            <w:hyperlink r:id="rId6" w:history="1">
              <w:r w:rsidRPr="00D4728D">
                <w:rPr>
                  <w:rFonts w:ascii="Times New Roman" w:hAnsi="Times New Roman"/>
                  <w:color w:val="0000FF"/>
                  <w:spacing w:val="-6"/>
                  <w:sz w:val="24"/>
                  <w:szCs w:val="24"/>
                  <w:u w:val="single"/>
                </w:rPr>
                <w:t>http://repository.ineu.edu.kz/library/magpdf/</w:t>
              </w:r>
            </w:hyperlink>
            <w:r w:rsidRPr="00D4728D">
              <w:rPr>
                <w:rFonts w:ascii="Times New Roman" w:hAnsi="Times New Roman"/>
                <w:spacing w:val="-6"/>
                <w:sz w:val="24"/>
                <w:szCs w:val="24"/>
              </w:rPr>
              <w:t>2012_6m050600_ sapar_zh_a_.pdf</w:t>
            </w:r>
          </w:p>
        </w:tc>
      </w:tr>
      <w:tr w:rsidR="00D4728D" w:rsidRPr="00D4728D" w:rsidTr="00BB1D7C">
        <w:trPr>
          <w:jc w:val="center"/>
        </w:trPr>
        <w:tc>
          <w:tcPr>
            <w:tcW w:w="293" w:type="pct"/>
          </w:tcPr>
          <w:p w:rsidR="00D4728D" w:rsidRPr="00D4728D" w:rsidRDefault="00D4728D" w:rsidP="00D4728D">
            <w:pPr>
              <w:widowControl w:val="0"/>
              <w:numPr>
                <w:ilvl w:val="0"/>
                <w:numId w:val="20"/>
              </w:numPr>
              <w:contextualSpacing/>
              <w:jc w:val="both"/>
              <w:rPr>
                <w:rFonts w:ascii="Times New Roman" w:eastAsia="Calibri" w:hAnsi="Times New Roman"/>
                <w:sz w:val="24"/>
                <w:szCs w:val="24"/>
              </w:rPr>
            </w:pPr>
          </w:p>
        </w:tc>
        <w:tc>
          <w:tcPr>
            <w:tcW w:w="4707" w:type="pct"/>
          </w:tcPr>
          <w:p w:rsidR="00D4728D" w:rsidRPr="00D4728D" w:rsidRDefault="00D4728D" w:rsidP="00D4728D">
            <w:pPr>
              <w:autoSpaceDE w:val="0"/>
              <w:autoSpaceDN w:val="0"/>
              <w:adjustRightInd w:val="0"/>
              <w:jc w:val="both"/>
              <w:rPr>
                <w:rFonts w:ascii="Times New Roman" w:hAnsi="Times New Roman"/>
                <w:sz w:val="24"/>
                <w:szCs w:val="24"/>
              </w:rPr>
            </w:pPr>
            <w:r w:rsidRPr="00D4728D">
              <w:rPr>
                <w:rFonts w:ascii="Times New Roman" w:hAnsi="Times New Roman"/>
                <w:sz w:val="24"/>
                <w:szCs w:val="24"/>
              </w:rPr>
              <w:t xml:space="preserve">Государственное стратегическое управление: Монография / [Кузнецов Ю.В., Маленков Ю. А., Соколова С.В., Кайсарова В.П., Кизян Н.Г., Анохина Е.М. и др.] - М.: </w:t>
            </w:r>
            <w:r w:rsidRPr="00D4728D">
              <w:rPr>
                <w:rFonts w:ascii="Times New Roman" w:hAnsi="Times New Roman"/>
                <w:sz w:val="24"/>
                <w:szCs w:val="24"/>
                <w:shd w:val="clear" w:color="auto" w:fill="FFFFFF"/>
              </w:rPr>
              <w:t>Питер</w:t>
            </w:r>
            <w:r w:rsidRPr="00D4728D">
              <w:rPr>
                <w:rFonts w:ascii="Times New Roman" w:hAnsi="Times New Roman"/>
                <w:sz w:val="24"/>
                <w:szCs w:val="24"/>
              </w:rPr>
              <w:t>, 2014. - 205 с.</w:t>
            </w:r>
          </w:p>
        </w:tc>
      </w:tr>
    </w:tbl>
    <w:p w:rsidR="00DA6D04" w:rsidRDefault="00DA6D04">
      <w:bookmarkStart w:id="3" w:name="_GoBack"/>
      <w:bookmarkEnd w:id="3"/>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533"/>
    <w:multiLevelType w:val="hybridMultilevel"/>
    <w:tmpl w:val="92EE5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6467F"/>
    <w:multiLevelType w:val="hybridMultilevel"/>
    <w:tmpl w:val="DFD47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652176"/>
    <w:multiLevelType w:val="hybridMultilevel"/>
    <w:tmpl w:val="5A2000B4"/>
    <w:lvl w:ilvl="0" w:tplc="34144B72">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77C3A"/>
    <w:multiLevelType w:val="hybridMultilevel"/>
    <w:tmpl w:val="59D6E6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92456"/>
    <w:multiLevelType w:val="hybridMultilevel"/>
    <w:tmpl w:val="7C680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C52009"/>
    <w:multiLevelType w:val="hybridMultilevel"/>
    <w:tmpl w:val="90B60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E1EB1"/>
    <w:multiLevelType w:val="hybridMultilevel"/>
    <w:tmpl w:val="6316A3D4"/>
    <w:lvl w:ilvl="0" w:tplc="6B32F9CA">
      <w:start w:val="1"/>
      <w:numFmt w:val="decimal"/>
      <w:lvlText w:val="%1."/>
      <w:lvlJc w:val="left"/>
      <w:pPr>
        <w:ind w:left="7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2E6405"/>
    <w:multiLevelType w:val="multilevel"/>
    <w:tmpl w:val="E0387468"/>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407F76D4"/>
    <w:multiLevelType w:val="multilevel"/>
    <w:tmpl w:val="DD8AB2E0"/>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484954EC"/>
    <w:multiLevelType w:val="hybridMultilevel"/>
    <w:tmpl w:val="AACA9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6503D7"/>
    <w:multiLevelType w:val="hybridMultilevel"/>
    <w:tmpl w:val="E362E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863B50"/>
    <w:multiLevelType w:val="hybridMultilevel"/>
    <w:tmpl w:val="04C2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225CCB"/>
    <w:multiLevelType w:val="hybridMultilevel"/>
    <w:tmpl w:val="93908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7866B8"/>
    <w:multiLevelType w:val="hybridMultilevel"/>
    <w:tmpl w:val="9EC0B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A737A3"/>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0415F"/>
    <w:multiLevelType w:val="hybridMultilevel"/>
    <w:tmpl w:val="CB7A8EF6"/>
    <w:lvl w:ilvl="0" w:tplc="23DAA5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EC2863"/>
    <w:multiLevelType w:val="hybridMultilevel"/>
    <w:tmpl w:val="92EE5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310A09"/>
    <w:multiLevelType w:val="hybridMultilevel"/>
    <w:tmpl w:val="7C680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B58B3"/>
    <w:multiLevelType w:val="hybridMultilevel"/>
    <w:tmpl w:val="0862DD46"/>
    <w:lvl w:ilvl="0" w:tplc="04190011">
      <w:start w:val="1"/>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19" w15:restartNumberingAfterBreak="0">
    <w:nsid w:val="7D7F4025"/>
    <w:multiLevelType w:val="hybridMultilevel"/>
    <w:tmpl w:val="E8FCA74E"/>
    <w:lvl w:ilvl="0" w:tplc="04190011">
      <w:start w:val="1"/>
      <w:numFmt w:val="decimal"/>
      <w:lvlText w:val="%1)"/>
      <w:lvlJc w:val="left"/>
      <w:pPr>
        <w:ind w:left="741" w:hanging="360"/>
      </w:pPr>
      <w:rPr>
        <w:rFonts w:hint="default"/>
      </w:rPr>
    </w:lvl>
    <w:lvl w:ilvl="1" w:tplc="09DEF982">
      <w:start w:val="1"/>
      <w:numFmt w:val="decimal"/>
      <w:lvlText w:val="%2."/>
      <w:lvlJc w:val="left"/>
      <w:pPr>
        <w:ind w:left="2046" w:hanging="945"/>
      </w:pPr>
      <w:rPr>
        <w:rFonts w:hint="default"/>
      </w:r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num w:numId="1">
    <w:abstractNumId w:val="16"/>
  </w:num>
  <w:num w:numId="2">
    <w:abstractNumId w:val="0"/>
  </w:num>
  <w:num w:numId="3">
    <w:abstractNumId w:val="10"/>
  </w:num>
  <w:num w:numId="4">
    <w:abstractNumId w:val="6"/>
  </w:num>
  <w:num w:numId="5">
    <w:abstractNumId w:val="19"/>
  </w:num>
  <w:num w:numId="6">
    <w:abstractNumId w:val="18"/>
  </w:num>
  <w:num w:numId="7">
    <w:abstractNumId w:val="3"/>
  </w:num>
  <w:num w:numId="8">
    <w:abstractNumId w:val="15"/>
  </w:num>
  <w:num w:numId="9">
    <w:abstractNumId w:val="2"/>
  </w:num>
  <w:num w:numId="10">
    <w:abstractNumId w:val="5"/>
  </w:num>
  <w:num w:numId="11">
    <w:abstractNumId w:val="17"/>
  </w:num>
  <w:num w:numId="12">
    <w:abstractNumId w:val="12"/>
  </w:num>
  <w:num w:numId="13">
    <w:abstractNumId w:val="13"/>
  </w:num>
  <w:num w:numId="14">
    <w:abstractNumId w:val="11"/>
  </w:num>
  <w:num w:numId="15">
    <w:abstractNumId w:val="8"/>
  </w:num>
  <w:num w:numId="16">
    <w:abstractNumId w:val="7"/>
  </w:num>
  <w:num w:numId="17">
    <w:abstractNumId w:val="1"/>
  </w:num>
  <w:num w:numId="18">
    <w:abstractNumId w:val="4"/>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8D"/>
    <w:rsid w:val="00D4728D"/>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7C17-3A1F-4724-819C-32443A1D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28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ineu.edu.kz/library/mag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2639</Words>
  <Characters>15045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2018-09-22T06:50:00Z</dcterms:created>
  <dcterms:modified xsi:type="dcterms:W3CDTF">2018-09-22T06:51:00Z</dcterms:modified>
</cp:coreProperties>
</file>