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5036"/>
      </w:tblGrid>
      <w:tr w:rsidR="00F46242" w:rsidRPr="00F46242" w:rsidTr="002D53BD">
        <w:trPr>
          <w:jc w:val="center"/>
        </w:trPr>
        <w:tc>
          <w:tcPr>
            <w:tcW w:w="9566" w:type="dxa"/>
            <w:gridSpan w:val="2"/>
            <w:hideMark/>
          </w:tcPr>
          <w:p w:rsidR="00F46242" w:rsidRPr="00F46242" w:rsidRDefault="00F46242" w:rsidP="00F46242">
            <w:pPr>
              <w:widowControl w:val="0"/>
              <w:shd w:val="clear" w:color="auto" w:fill="FFFFFF"/>
              <w:jc w:val="both"/>
              <w:rPr>
                <w:rFonts w:ascii="Times New Roman" w:hAnsi="Times New Roman"/>
                <w:b/>
                <w:sz w:val="28"/>
                <w:szCs w:val="24"/>
              </w:rPr>
            </w:pPr>
            <w:r w:rsidRPr="00F46242">
              <w:rPr>
                <w:rFonts w:ascii="Times New Roman" w:hAnsi="Times New Roman"/>
                <w:b/>
                <w:sz w:val="28"/>
                <w:szCs w:val="28"/>
              </w:rPr>
              <w:t>УДК 330.322.4</w:t>
            </w:r>
          </w:p>
        </w:tc>
      </w:tr>
      <w:tr w:rsidR="00F46242" w:rsidRPr="00F46242" w:rsidTr="002D53BD">
        <w:trPr>
          <w:jc w:val="center"/>
        </w:trPr>
        <w:tc>
          <w:tcPr>
            <w:tcW w:w="4320" w:type="dxa"/>
          </w:tcPr>
          <w:p w:rsidR="00F46242" w:rsidRPr="00F46242" w:rsidRDefault="00F46242" w:rsidP="00F46242">
            <w:pPr>
              <w:widowControl w:val="0"/>
              <w:jc w:val="right"/>
              <w:rPr>
                <w:rFonts w:ascii="Times New Roman" w:hAnsi="Times New Roman"/>
                <w:sz w:val="28"/>
                <w:szCs w:val="28"/>
              </w:rPr>
            </w:pPr>
          </w:p>
        </w:tc>
        <w:tc>
          <w:tcPr>
            <w:tcW w:w="5246" w:type="dxa"/>
            <w:tcMar>
              <w:left w:w="0" w:type="dxa"/>
              <w:right w:w="0" w:type="dxa"/>
            </w:tcMar>
          </w:tcPr>
          <w:p w:rsidR="00F46242" w:rsidRPr="00F46242" w:rsidRDefault="00F46242" w:rsidP="00F46242">
            <w:pPr>
              <w:jc w:val="both"/>
              <w:rPr>
                <w:rFonts w:ascii="Times New Roman" w:hAnsi="Times New Roman"/>
                <w:i/>
                <w:sz w:val="28"/>
                <w:szCs w:val="24"/>
              </w:rPr>
            </w:pPr>
            <w:bookmarkStart w:id="0" w:name="_Toc518846480"/>
            <w:r w:rsidRPr="00F46242">
              <w:rPr>
                <w:rFonts w:ascii="Times New Roman" w:hAnsi="Times New Roman"/>
                <w:b/>
                <w:bCs/>
                <w:sz w:val="28"/>
                <w:szCs w:val="28"/>
              </w:rPr>
              <w:t>Н.Б. Палига,</w:t>
            </w:r>
            <w:bookmarkEnd w:id="0"/>
            <w:r w:rsidRPr="00F46242">
              <w:rPr>
                <w:rFonts w:ascii="Times New Roman" w:hAnsi="Times New Roman"/>
                <w:sz w:val="28"/>
                <w:szCs w:val="24"/>
              </w:rPr>
              <w:t xml:space="preserve">  </w:t>
            </w:r>
            <w:r w:rsidRPr="00F46242">
              <w:rPr>
                <w:rFonts w:ascii="Times New Roman" w:hAnsi="Times New Roman"/>
                <w:i/>
                <w:sz w:val="28"/>
                <w:szCs w:val="24"/>
              </w:rPr>
              <w:t>к.э.н., доц.</w:t>
            </w:r>
          </w:p>
          <w:p w:rsidR="00F46242" w:rsidRPr="00F46242" w:rsidRDefault="00F46242" w:rsidP="00F46242">
            <w:pPr>
              <w:numPr>
                <w:ilvl w:val="1"/>
                <w:numId w:val="0"/>
              </w:numPr>
              <w:tabs>
                <w:tab w:val="left" w:pos="709"/>
              </w:tabs>
              <w:suppressAutoHyphens/>
              <w:ind w:firstLine="709"/>
              <w:outlineLvl w:val="1"/>
              <w:rPr>
                <w:rFonts w:ascii="Times New Roman" w:hAnsi="Times New Roman"/>
                <w:b/>
                <w:bCs/>
                <w:sz w:val="28"/>
                <w:szCs w:val="28"/>
              </w:rPr>
            </w:pPr>
            <w:bookmarkStart w:id="1" w:name="_Toc518846481"/>
            <w:r w:rsidRPr="00F46242">
              <w:rPr>
                <w:rFonts w:ascii="Times New Roman" w:hAnsi="Times New Roman"/>
                <w:b/>
                <w:bCs/>
                <w:sz w:val="28"/>
                <w:szCs w:val="28"/>
              </w:rPr>
              <w:t>Т.В. Василишина,</w:t>
            </w:r>
            <w:bookmarkEnd w:id="1"/>
            <w:r w:rsidRPr="00F46242">
              <w:rPr>
                <w:rFonts w:ascii="Times New Roman" w:hAnsi="Times New Roman"/>
                <w:b/>
                <w:bCs/>
                <w:sz w:val="28"/>
                <w:szCs w:val="28"/>
              </w:rPr>
              <w:t xml:space="preserve"> </w:t>
            </w:r>
          </w:p>
          <w:p w:rsidR="00F46242" w:rsidRPr="00F46242" w:rsidRDefault="00F46242" w:rsidP="00F46242">
            <w:pPr>
              <w:widowControl w:val="0"/>
              <w:shd w:val="clear" w:color="auto" w:fill="FFFFFF"/>
              <w:jc w:val="both"/>
              <w:rPr>
                <w:rFonts w:ascii="Times New Roman" w:hAnsi="Times New Roman"/>
                <w:i/>
                <w:sz w:val="28"/>
                <w:szCs w:val="28"/>
              </w:rPr>
            </w:pPr>
            <w:r w:rsidRPr="00F46242">
              <w:rPr>
                <w:rFonts w:ascii="Times New Roman" w:hAnsi="Times New Roman"/>
                <w:i/>
                <w:sz w:val="28"/>
                <w:szCs w:val="28"/>
              </w:rPr>
              <w:t>ГОУ ВПО «Донецкая академия управления и государственной службы при Главе Донецкой Народной Республики»,</w:t>
            </w:r>
          </w:p>
          <w:p w:rsidR="00F46242" w:rsidRPr="00F46242" w:rsidRDefault="00F46242" w:rsidP="00F46242">
            <w:pPr>
              <w:jc w:val="both"/>
              <w:rPr>
                <w:rFonts w:ascii="Times New Roman" w:hAnsi="Times New Roman"/>
                <w:i/>
                <w:sz w:val="28"/>
                <w:szCs w:val="24"/>
              </w:rPr>
            </w:pPr>
            <w:r w:rsidRPr="00F46242">
              <w:rPr>
                <w:rFonts w:ascii="Times New Roman" w:hAnsi="Times New Roman"/>
                <w:i/>
                <w:sz w:val="28"/>
                <w:szCs w:val="28"/>
              </w:rPr>
              <w:t>Донецк, Донецкая Народная Республика</w:t>
            </w:r>
          </w:p>
          <w:p w:rsidR="00F46242" w:rsidRPr="00F46242" w:rsidRDefault="00F46242" w:rsidP="00F46242">
            <w:pPr>
              <w:jc w:val="both"/>
              <w:rPr>
                <w:rFonts w:ascii="Times New Roman" w:hAnsi="Times New Roman"/>
                <w:i/>
                <w:sz w:val="28"/>
                <w:szCs w:val="28"/>
              </w:rPr>
            </w:pPr>
            <w:r w:rsidRPr="00F46242">
              <w:rPr>
                <w:rFonts w:ascii="Times New Roman" w:hAnsi="Times New Roman"/>
                <w:b/>
                <w:i/>
                <w:sz w:val="28"/>
                <w:szCs w:val="28"/>
                <w:lang w:val="en-US"/>
              </w:rPr>
              <w:t>N</w:t>
            </w:r>
            <w:r w:rsidRPr="00F46242">
              <w:rPr>
                <w:rFonts w:ascii="Times New Roman" w:hAnsi="Times New Roman"/>
                <w:b/>
                <w:i/>
                <w:sz w:val="28"/>
                <w:szCs w:val="28"/>
              </w:rPr>
              <w:t>.</w:t>
            </w:r>
            <w:r w:rsidRPr="00F46242">
              <w:rPr>
                <w:rFonts w:ascii="Times New Roman" w:hAnsi="Times New Roman"/>
                <w:b/>
                <w:i/>
                <w:sz w:val="28"/>
                <w:szCs w:val="28"/>
                <w:lang w:val="en-US"/>
              </w:rPr>
              <w:t>B</w:t>
            </w:r>
            <w:r w:rsidRPr="00F46242">
              <w:rPr>
                <w:rFonts w:ascii="Times New Roman" w:hAnsi="Times New Roman"/>
                <w:b/>
                <w:i/>
                <w:sz w:val="28"/>
                <w:szCs w:val="28"/>
              </w:rPr>
              <w:t xml:space="preserve">. </w:t>
            </w:r>
            <w:r w:rsidRPr="00F46242">
              <w:rPr>
                <w:rFonts w:ascii="Times New Roman" w:hAnsi="Times New Roman"/>
                <w:b/>
                <w:i/>
                <w:sz w:val="28"/>
                <w:szCs w:val="28"/>
                <w:lang w:val="en-US"/>
              </w:rPr>
              <w:t>Paliga</w:t>
            </w:r>
            <w:r w:rsidRPr="00F46242">
              <w:rPr>
                <w:rFonts w:ascii="Times New Roman" w:hAnsi="Times New Roman"/>
                <w:i/>
                <w:sz w:val="28"/>
                <w:szCs w:val="28"/>
              </w:rPr>
              <w:t>,</w:t>
            </w:r>
          </w:p>
          <w:p w:rsidR="00F46242" w:rsidRPr="00F46242" w:rsidRDefault="00F46242" w:rsidP="00F46242">
            <w:pPr>
              <w:jc w:val="both"/>
              <w:rPr>
                <w:rFonts w:ascii="Times New Roman" w:hAnsi="Times New Roman"/>
                <w:i/>
                <w:sz w:val="28"/>
                <w:szCs w:val="28"/>
                <w:lang w:val="en-US"/>
              </w:rPr>
            </w:pPr>
            <w:r w:rsidRPr="00F46242">
              <w:rPr>
                <w:rFonts w:ascii="Times New Roman" w:hAnsi="Times New Roman"/>
                <w:i/>
                <w:sz w:val="28"/>
                <w:szCs w:val="28"/>
                <w:lang w:val="en-US"/>
              </w:rPr>
              <w:t>Candidate of Economic Sciences</w:t>
            </w:r>
          </w:p>
          <w:p w:rsidR="00F46242" w:rsidRPr="00F46242" w:rsidRDefault="00F46242" w:rsidP="00F46242">
            <w:pPr>
              <w:jc w:val="both"/>
              <w:rPr>
                <w:rFonts w:ascii="Times New Roman" w:hAnsi="Times New Roman"/>
                <w:i/>
                <w:sz w:val="28"/>
                <w:szCs w:val="28"/>
                <w:lang w:val="en-US"/>
              </w:rPr>
            </w:pPr>
            <w:r w:rsidRPr="00F46242">
              <w:rPr>
                <w:rFonts w:ascii="Times New Roman" w:hAnsi="Times New Roman"/>
                <w:b/>
                <w:i/>
                <w:sz w:val="28"/>
                <w:szCs w:val="28"/>
                <w:lang w:val="en-US"/>
              </w:rPr>
              <w:t>T.V. Vasilishina</w:t>
            </w:r>
            <w:r w:rsidRPr="00F46242">
              <w:rPr>
                <w:rFonts w:ascii="Times New Roman" w:hAnsi="Times New Roman"/>
                <w:i/>
                <w:sz w:val="28"/>
                <w:szCs w:val="28"/>
                <w:lang w:val="en-US"/>
              </w:rPr>
              <w:t>,</w:t>
            </w:r>
          </w:p>
          <w:p w:rsidR="00F46242" w:rsidRPr="00F46242" w:rsidRDefault="00F46242" w:rsidP="00F46242">
            <w:pPr>
              <w:jc w:val="both"/>
              <w:rPr>
                <w:rFonts w:ascii="Times New Roman" w:hAnsi="Times New Roman"/>
                <w:i/>
                <w:sz w:val="28"/>
                <w:szCs w:val="28"/>
                <w:lang w:val="en-US"/>
              </w:rPr>
            </w:pPr>
            <w:r w:rsidRPr="00F46242">
              <w:rPr>
                <w:rFonts w:ascii="Times New Roman" w:hAnsi="Times New Roman"/>
                <w:i/>
                <w:sz w:val="28"/>
                <w:szCs w:val="28"/>
                <w:lang w:val="en-US"/>
              </w:rPr>
              <w:t xml:space="preserve">Donetsk State Academy  of Management and Public Administration under the Head of the PDR, </w:t>
            </w:r>
          </w:p>
          <w:p w:rsidR="00F46242" w:rsidRPr="00F46242" w:rsidRDefault="00F46242" w:rsidP="00F46242">
            <w:pPr>
              <w:jc w:val="both"/>
              <w:rPr>
                <w:rFonts w:ascii="Times New Roman" w:hAnsi="Times New Roman"/>
                <w:sz w:val="28"/>
                <w:szCs w:val="24"/>
              </w:rPr>
            </w:pPr>
            <w:r w:rsidRPr="00F46242">
              <w:rPr>
                <w:rFonts w:ascii="Times New Roman" w:hAnsi="Times New Roman"/>
                <w:i/>
                <w:sz w:val="28"/>
                <w:szCs w:val="28"/>
                <w:lang w:val="en-US"/>
              </w:rPr>
              <w:t>Donetsk, Donetsk People's Republic</w:t>
            </w:r>
          </w:p>
        </w:tc>
      </w:tr>
      <w:tr w:rsidR="00F46242" w:rsidRPr="00F46242" w:rsidTr="002D53BD">
        <w:trPr>
          <w:jc w:val="center"/>
        </w:trPr>
        <w:tc>
          <w:tcPr>
            <w:tcW w:w="4320" w:type="dxa"/>
          </w:tcPr>
          <w:p w:rsidR="00F46242" w:rsidRPr="00F46242" w:rsidRDefault="00F46242" w:rsidP="00F46242">
            <w:pPr>
              <w:keepNext/>
              <w:keepLines/>
              <w:ind w:hanging="28"/>
              <w:jc w:val="center"/>
              <w:outlineLvl w:val="0"/>
              <w:rPr>
                <w:rFonts w:ascii="Times New Roman" w:hAnsi="Times New Roman"/>
                <w:b/>
                <w:bCs/>
                <w:caps/>
                <w:sz w:val="28"/>
                <w:szCs w:val="28"/>
                <w:shd w:val="clear" w:color="auto" w:fill="FFFFFF"/>
              </w:rPr>
            </w:pPr>
          </w:p>
        </w:tc>
        <w:tc>
          <w:tcPr>
            <w:tcW w:w="5246" w:type="dxa"/>
          </w:tcPr>
          <w:p w:rsidR="00F46242" w:rsidRPr="00F46242" w:rsidRDefault="00F46242" w:rsidP="00F46242">
            <w:pPr>
              <w:widowControl w:val="0"/>
              <w:jc w:val="both"/>
              <w:rPr>
                <w:rFonts w:ascii="Times New Roman" w:hAnsi="Times New Roman"/>
                <w:sz w:val="28"/>
                <w:szCs w:val="24"/>
              </w:rPr>
            </w:pPr>
          </w:p>
        </w:tc>
      </w:tr>
      <w:tr w:rsidR="00F46242" w:rsidRPr="00F46242" w:rsidTr="002D53BD">
        <w:trPr>
          <w:jc w:val="center"/>
        </w:trPr>
        <w:tc>
          <w:tcPr>
            <w:tcW w:w="9566" w:type="dxa"/>
            <w:gridSpan w:val="2"/>
          </w:tcPr>
          <w:p w:rsidR="00F46242" w:rsidRPr="00F46242" w:rsidRDefault="00F46242" w:rsidP="00F46242">
            <w:pPr>
              <w:keepNext/>
              <w:keepLines/>
              <w:ind w:hanging="28"/>
              <w:jc w:val="center"/>
              <w:outlineLvl w:val="0"/>
              <w:rPr>
                <w:rFonts w:ascii="Times New Roman" w:hAnsi="Times New Roman"/>
                <w:b/>
                <w:bCs/>
                <w:caps/>
                <w:sz w:val="28"/>
                <w:szCs w:val="28"/>
                <w:shd w:val="clear" w:color="auto" w:fill="FFFFFF"/>
              </w:rPr>
            </w:pPr>
            <w:bookmarkStart w:id="2" w:name="_Toc518846482"/>
            <w:r w:rsidRPr="00F46242">
              <w:rPr>
                <w:rFonts w:ascii="Times New Roman" w:hAnsi="Times New Roman"/>
                <w:b/>
                <w:bCs/>
                <w:caps/>
                <w:sz w:val="28"/>
                <w:szCs w:val="28"/>
                <w:shd w:val="clear" w:color="auto" w:fill="FFFFFF"/>
              </w:rPr>
              <w:t>СТРАТЕГИЯ ПРИВЛЕЧЕНИЯ ИНОСТРАННОГО КАПИТАЛА В ЭКОНОМИКУ РЕГИОНА</w:t>
            </w:r>
            <w:bookmarkEnd w:id="2"/>
          </w:p>
        </w:tc>
      </w:tr>
      <w:tr w:rsidR="00F46242" w:rsidRPr="00F46242" w:rsidTr="002D53BD">
        <w:trPr>
          <w:jc w:val="center"/>
        </w:trPr>
        <w:tc>
          <w:tcPr>
            <w:tcW w:w="9566" w:type="dxa"/>
            <w:gridSpan w:val="2"/>
          </w:tcPr>
          <w:p w:rsidR="00F46242" w:rsidRPr="00F46242" w:rsidRDefault="00F46242" w:rsidP="00F46242">
            <w:pPr>
              <w:jc w:val="both"/>
              <w:rPr>
                <w:rFonts w:ascii="Times New Roman" w:hAnsi="Times New Roman"/>
                <w:sz w:val="28"/>
                <w:szCs w:val="24"/>
              </w:rPr>
            </w:pPr>
          </w:p>
        </w:tc>
      </w:tr>
      <w:tr w:rsidR="00F46242" w:rsidRPr="00F46242" w:rsidTr="002D53BD">
        <w:trPr>
          <w:jc w:val="center"/>
        </w:trPr>
        <w:tc>
          <w:tcPr>
            <w:tcW w:w="9566" w:type="dxa"/>
            <w:gridSpan w:val="2"/>
          </w:tcPr>
          <w:p w:rsidR="00F46242" w:rsidRPr="00F46242" w:rsidRDefault="00F46242" w:rsidP="00F46242">
            <w:pPr>
              <w:ind w:firstLine="709"/>
              <w:jc w:val="center"/>
              <w:rPr>
                <w:rFonts w:ascii="Times New Roman" w:hAnsi="Times New Roman"/>
                <w:b/>
                <w:sz w:val="28"/>
                <w:szCs w:val="28"/>
                <w:lang w:val="en-US"/>
              </w:rPr>
            </w:pPr>
            <w:r w:rsidRPr="00F46242">
              <w:rPr>
                <w:rFonts w:ascii="Times New Roman" w:hAnsi="Times New Roman"/>
                <w:b/>
                <w:sz w:val="28"/>
                <w:szCs w:val="28"/>
                <w:lang w:val="en-US"/>
              </w:rPr>
              <w:t>THE STRATEGY OF ATTRACTING FOREIGN CAPITAL TO THE REGION'S ECONOMY</w:t>
            </w:r>
          </w:p>
        </w:tc>
      </w:tr>
    </w:tbl>
    <w:p w:rsidR="00F46242" w:rsidRPr="00F46242" w:rsidRDefault="00F46242" w:rsidP="00F46242">
      <w:pPr>
        <w:spacing w:after="0" w:line="240" w:lineRule="auto"/>
        <w:ind w:left="709" w:firstLine="709"/>
        <w:jc w:val="both"/>
        <w:rPr>
          <w:rFonts w:ascii="Times New Roman" w:eastAsia="Times New Roman" w:hAnsi="Times New Roman" w:cs="Times New Roman"/>
          <w:i/>
          <w:sz w:val="28"/>
          <w:szCs w:val="28"/>
          <w:lang w:val="en-US" w:eastAsia="ru-RU"/>
        </w:rPr>
      </w:pPr>
    </w:p>
    <w:p w:rsidR="00F46242" w:rsidRPr="00F46242" w:rsidRDefault="00F46242" w:rsidP="00F46242">
      <w:pPr>
        <w:spacing w:after="0" w:line="240" w:lineRule="auto"/>
        <w:ind w:firstLine="709"/>
        <w:jc w:val="both"/>
        <w:rPr>
          <w:rFonts w:ascii="Times New Roman" w:eastAsia="Times New Roman" w:hAnsi="Times New Roman" w:cs="Times New Roman"/>
          <w:i/>
          <w:sz w:val="24"/>
          <w:szCs w:val="24"/>
          <w:lang w:eastAsia="ru-RU"/>
        </w:rPr>
      </w:pPr>
      <w:r w:rsidRPr="00F46242">
        <w:rPr>
          <w:rFonts w:ascii="Times New Roman" w:eastAsia="Times New Roman" w:hAnsi="Times New Roman" w:cs="Times New Roman"/>
          <w:i/>
          <w:sz w:val="24"/>
          <w:szCs w:val="24"/>
          <w:lang w:eastAsia="ru-RU"/>
        </w:rPr>
        <w:t xml:space="preserve">Аннотация. В статье рассматривается важность привлечения иностранных инвестиций как главного фактора экономического роста региона, </w:t>
      </w:r>
      <w:r w:rsidRPr="00F46242">
        <w:rPr>
          <w:rFonts w:ascii="Times New Roman" w:eastAsia="Andale Sans UI" w:hAnsi="Times New Roman" w:cs="Times New Roman"/>
          <w:i/>
          <w:kern w:val="2"/>
          <w:sz w:val="24"/>
          <w:szCs w:val="24"/>
          <w:lang w:eastAsia="ru-RU"/>
        </w:rPr>
        <w:t>стратегия стимулирования иностранных инвесторов.</w:t>
      </w:r>
    </w:p>
    <w:p w:rsidR="00F46242" w:rsidRPr="00F46242" w:rsidRDefault="00F46242" w:rsidP="00F46242">
      <w:pPr>
        <w:spacing w:after="0" w:line="240" w:lineRule="auto"/>
        <w:ind w:firstLine="709"/>
        <w:jc w:val="both"/>
        <w:rPr>
          <w:rFonts w:ascii="Times New Roman" w:eastAsia="Times New Roman" w:hAnsi="Times New Roman" w:cs="Times New Roman"/>
          <w:i/>
          <w:sz w:val="24"/>
          <w:szCs w:val="24"/>
          <w:lang w:eastAsia="ru-RU"/>
        </w:rPr>
      </w:pPr>
      <w:r w:rsidRPr="00F46242">
        <w:rPr>
          <w:rFonts w:ascii="Times New Roman" w:eastAsia="Times New Roman" w:hAnsi="Times New Roman" w:cs="Times New Roman"/>
          <w:i/>
          <w:sz w:val="24"/>
          <w:szCs w:val="24"/>
          <w:lang w:eastAsia="ru-RU"/>
        </w:rPr>
        <w:t>Ключевые слова: иностранные инвестиции, инвестиционная политика, механизм привлечения инвестиций, льготное налогообложение.</w:t>
      </w:r>
    </w:p>
    <w:p w:rsidR="00F46242" w:rsidRPr="00F46242" w:rsidRDefault="00F46242" w:rsidP="00F46242">
      <w:pPr>
        <w:spacing w:after="0" w:line="240" w:lineRule="auto"/>
        <w:ind w:firstLine="709"/>
        <w:jc w:val="both"/>
        <w:rPr>
          <w:rFonts w:ascii="Times New Roman" w:eastAsia="Times New Roman" w:hAnsi="Times New Roman" w:cs="Times New Roman"/>
          <w:i/>
          <w:sz w:val="24"/>
          <w:szCs w:val="24"/>
          <w:lang w:val="en-US" w:eastAsia="ru-RU"/>
        </w:rPr>
      </w:pPr>
      <w:r w:rsidRPr="00F46242">
        <w:rPr>
          <w:rFonts w:ascii="Times New Roman" w:eastAsia="Times New Roman" w:hAnsi="Times New Roman" w:cs="Times New Roman"/>
          <w:i/>
          <w:sz w:val="24"/>
          <w:szCs w:val="24"/>
          <w:lang w:val="en-US" w:eastAsia="ru-RU"/>
        </w:rPr>
        <w:t>Abstract.The article tells about the importance of attracting foreign investment as the main factor of economic growth, about the strategy of stimulating foreign investors.</w:t>
      </w:r>
    </w:p>
    <w:p w:rsidR="00F46242" w:rsidRPr="00F46242" w:rsidRDefault="00F46242" w:rsidP="00F46242">
      <w:pPr>
        <w:spacing w:after="0" w:line="240" w:lineRule="auto"/>
        <w:ind w:firstLine="709"/>
        <w:jc w:val="both"/>
        <w:rPr>
          <w:rFonts w:ascii="Times New Roman" w:eastAsia="Times New Roman" w:hAnsi="Times New Roman" w:cs="Times New Roman"/>
          <w:i/>
          <w:sz w:val="24"/>
          <w:szCs w:val="24"/>
          <w:lang w:val="en-US" w:eastAsia="ru-RU"/>
        </w:rPr>
      </w:pPr>
      <w:r w:rsidRPr="00F46242">
        <w:rPr>
          <w:rFonts w:ascii="Times New Roman" w:eastAsia="Times New Roman" w:hAnsi="Times New Roman" w:cs="Times New Roman"/>
          <w:i/>
          <w:sz w:val="24"/>
          <w:szCs w:val="24"/>
          <w:lang w:val="en-US" w:eastAsia="ru-RU"/>
        </w:rPr>
        <w:t>Keywords: investments, investment policy, the mechanism of attraction of investments, preferential taxation.</w:t>
      </w:r>
    </w:p>
    <w:p w:rsidR="00F46242" w:rsidRPr="00F46242" w:rsidRDefault="00F46242" w:rsidP="00F46242">
      <w:pPr>
        <w:spacing w:after="0" w:line="240" w:lineRule="auto"/>
        <w:ind w:firstLine="709"/>
        <w:jc w:val="both"/>
        <w:rPr>
          <w:rFonts w:ascii="Times New Roman" w:eastAsia="Times New Roman" w:hAnsi="Times New Roman" w:cs="Times New Roman"/>
          <w:b/>
          <w:sz w:val="28"/>
          <w:szCs w:val="28"/>
          <w:lang w:val="en-US" w:eastAsia="ru-RU"/>
        </w:rPr>
      </w:pPr>
    </w:p>
    <w:p w:rsidR="00F46242" w:rsidRPr="00F46242" w:rsidRDefault="00F46242" w:rsidP="00F46242">
      <w:pPr>
        <w:spacing w:after="0" w:line="240" w:lineRule="auto"/>
        <w:ind w:firstLine="709"/>
        <w:jc w:val="both"/>
        <w:rPr>
          <w:rFonts w:ascii="Times New Roman" w:eastAsia="Times New Roman" w:hAnsi="Times New Roman" w:cs="Times New Roman"/>
          <w:i/>
          <w:sz w:val="28"/>
          <w:szCs w:val="28"/>
          <w:lang w:eastAsia="ru-RU"/>
        </w:rPr>
      </w:pPr>
      <w:r w:rsidRPr="00F46242">
        <w:rPr>
          <w:rFonts w:ascii="Times New Roman" w:eastAsia="Times New Roman" w:hAnsi="Times New Roman" w:cs="Times New Roman"/>
          <w:b/>
          <w:sz w:val="28"/>
          <w:szCs w:val="28"/>
          <w:lang w:eastAsia="ru-RU"/>
        </w:rPr>
        <w:t>Постановка проблемы.</w:t>
      </w:r>
      <w:r w:rsidRPr="00F46242">
        <w:rPr>
          <w:rFonts w:ascii="Times New Roman" w:eastAsia="Times New Roman" w:hAnsi="Times New Roman" w:cs="Times New Roman"/>
          <w:sz w:val="28"/>
          <w:szCs w:val="28"/>
          <w:lang w:eastAsia="ru-RU"/>
        </w:rPr>
        <w:t xml:space="preserve"> В условиях глобализации, с увеличением масштабов международного перемещения капитала, роль инвестиций возрастает, что обусловливает необходимость исследования влияния иностранных инвестиций на экономику региона и обоснования инвестиционной политики Донецкой Народной Республики. Эффективная инвестиционная политика – залог экономического роста региона. При нынешних обстоятельствах одним из главных вопросов инвестиционной политики является развитие стратегии привлечения иностранных инвестиций. Рост экономики региона вероятен только при наличии благоприятного инвестиционного климата.</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b/>
          <w:sz w:val="28"/>
          <w:szCs w:val="28"/>
          <w:lang w:eastAsia="ru-RU"/>
        </w:rPr>
        <w:t>Анализ предыдущих исследований и публикаций.</w:t>
      </w:r>
      <w:r w:rsidRPr="00F46242">
        <w:rPr>
          <w:rFonts w:ascii="Times New Roman" w:eastAsia="Times New Roman" w:hAnsi="Times New Roman" w:cs="Times New Roman"/>
          <w:sz w:val="28"/>
          <w:szCs w:val="28"/>
          <w:lang w:eastAsia="ru-RU"/>
        </w:rPr>
        <w:t xml:space="preserve"> Общественные взаимоотношения, возникающие в результате осуществления инвестирования, довольно сложны и многообразны. Собственно, это вызывает определенные трудности в установлении экономического и правового содержания </w:t>
      </w:r>
      <w:r w:rsidRPr="00F46242">
        <w:rPr>
          <w:rFonts w:ascii="Times New Roman" w:eastAsia="Times New Roman" w:hAnsi="Times New Roman" w:cs="Times New Roman"/>
          <w:sz w:val="28"/>
          <w:szCs w:val="28"/>
          <w:lang w:eastAsia="ru-RU"/>
        </w:rPr>
        <w:lastRenderedPageBreak/>
        <w:t>определения «инвестиции», что приводит к разному их объяснению. Сам термин «инвестиции» британского происхождения и значит «капиталовложения». Таким образом «инвестиции» и «капиталовложения» смотрятся как синонимы.</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xml:space="preserve">Зарубежные и большая часть российских экономистов рассматривают денежные вложения как долговременные инвестиции в разные сферы экономики, инфраструктуру, общественные проекты, службу охраны с целью развития производства и получения прибыли. </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Инвестиции – это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(Согласно Федеральному закону «Об инвестиционной деятельности в Российской Федерации, осуществляемой в форме капитальных вложений» от 25 февраля 1999 г. № 39-ФЗ).</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В Российской банковской энциклопедии, О.И. Лаврушин, термин «инвестиции» трактуется как долгосрочное вложение капитала внутри страны и за рубежом в виде реальных и финансовых инвестиций [1]. Так, в одной из первых переводных монографий по рыночной экономике Э. Дж. Долана и Д. Е. Линдея, инвестиции на макроуровне определяются как «увеличение объема капитала, функционирующего в экономической системе, т. е. увеличение предложения производительных ресурсов, осуществляемое людьми» [2]. В учебнике «Экономикс» инвестиции характеризуются как «затраты на производство и накопление средств производства и увеличение материальных запасов» [3].</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По мнению А. Шарпа инвестирование в широком смысле определяется как процесс расставания «с деньгами сегодня, чтобы получить большую их сумму в будущем». При этом выделяются два главных фактора, характеризующих этот процесс – время и риск. Здесь инвестиции рассматриваются как процесс вложения денежных средств с целью получения их большей суммы в будущем [4].</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b/>
          <w:sz w:val="28"/>
          <w:szCs w:val="28"/>
          <w:lang w:eastAsia="ru-RU"/>
        </w:rPr>
        <w:t>Цель исследования.</w:t>
      </w:r>
      <w:r w:rsidRPr="00F46242">
        <w:rPr>
          <w:rFonts w:ascii="Times New Roman" w:eastAsia="Times New Roman" w:hAnsi="Times New Roman" w:cs="Times New Roman"/>
          <w:i/>
          <w:sz w:val="28"/>
          <w:szCs w:val="28"/>
          <w:lang w:eastAsia="ru-RU"/>
        </w:rPr>
        <w:t xml:space="preserve"> </w:t>
      </w:r>
      <w:r w:rsidRPr="00F46242">
        <w:rPr>
          <w:rFonts w:ascii="Times New Roman" w:eastAsia="Times New Roman" w:hAnsi="Times New Roman" w:cs="Times New Roman"/>
          <w:sz w:val="28"/>
          <w:szCs w:val="28"/>
          <w:lang w:eastAsia="ru-RU"/>
        </w:rPr>
        <w:t xml:space="preserve">Исследовать стратегии привлечения иностранных инвестиций на региональном уровне и разработать рекомендации по их усовершенствованию. </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b/>
          <w:sz w:val="28"/>
          <w:szCs w:val="28"/>
          <w:lang w:eastAsia="ru-RU"/>
        </w:rPr>
        <w:t>Основные результаты исследования.</w:t>
      </w:r>
      <w:r w:rsidRPr="00F46242">
        <w:rPr>
          <w:rFonts w:ascii="Times New Roman" w:eastAsia="Times New Roman" w:hAnsi="Times New Roman" w:cs="Times New Roman"/>
          <w:sz w:val="28"/>
          <w:szCs w:val="28"/>
          <w:lang w:eastAsia="ru-RU"/>
        </w:rPr>
        <w:t xml:space="preserve"> Зарубежный капитал стал во многих государствах мира катализатором инвестиционной деятельности и посодействовал решению задач структурного изменения, развития компаний, последовательного наращивания производственных мощностей. Иностранный капитал может внести в страну достижения научно-технического прогресса и передовой опыт управления. Нехватка инвестиционных ресурсов на уровне государства приводит к экономической отсталости. Приобретение иностранных инвестиций и условия их привлечения – это фактор, определяющий инвестиционную деятельность и содействующий последующему развитию внешнеэкономических взаимосвязей.</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lastRenderedPageBreak/>
        <w:t>Государство может использовать различные рычаги для содействия привлечению иностранных инвестиций. Однако главной проблемой является стимулирование эффективного использования иностранного капитала и, соответственно, определение, в какие сферы он должен поступать ограниченно, а в каких отраслях и формах его следует использовать прежде всего.</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Вопрос создания и реализации эффективного механизма привлечения инвестиции в региональную экономику является крайне актуальным в условиях рыночной экономики. В то же время, динамичность развития экономических систем в условиях рыночной экономики предполагает непрерывный процесс совершенствования имеющихся механизмов, данная необходимость обусловлена такими требованиями как конкурентоспособность, рентабельность вложений, гарантии возврата вложенных средств, работоспособность инвестопроводящих структур и инвестиционно-инновационной инфраструктуры, а также многими другими, т.к. активную роль на рынке инвестиции играют владельцы частного капитала, в том числе и иностранного, для которых участие в проектах представляются гораздо более рискованными, чем для государственных инвестиций, где многие вопросы инвестирования могут обеспечиваться государственными гарантиями [5].</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xml:space="preserve">Рычаги, которые формируют механизм привлечения иностранных инвестиций, бывают постоянными и неизменными. Они формируются в зависимости от многих факторов (рис. 1). </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Цель механизма привлечения инвестиций в развитие инновационной инфраструктуры заключается в обеспечении движения информации об инновационных и инвестиционных предложениях и решениях по всему общественному хозяйству.</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Как видно из представленного рисунка, важным элементом механизма привлечения иностранных инвестиций является введение системы льготного налогообложения.</w:t>
      </w:r>
    </w:p>
    <w:p w:rsidR="00F46242" w:rsidRPr="00F46242" w:rsidRDefault="00F46242" w:rsidP="00F46242">
      <w:pPr>
        <w:spacing w:after="0" w:line="240" w:lineRule="auto"/>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noProof/>
          <w:sz w:val="28"/>
          <w:szCs w:val="24"/>
          <w:lang w:eastAsia="ru-RU"/>
        </w:rPr>
        <w:lastRenderedPageBreak/>
        <mc:AlternateContent>
          <mc:Choice Requires="wpg">
            <w:drawing>
              <wp:inline distT="0" distB="0" distL="0" distR="0" wp14:anchorId="7E455588" wp14:editId="44EF3C9D">
                <wp:extent cx="5904865" cy="3785926"/>
                <wp:effectExtent l="0" t="0" r="19685" b="24130"/>
                <wp:docPr id="32"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865" cy="3785926"/>
                          <a:chOff x="1707" y="8355"/>
                          <a:chExt cx="9450" cy="6798"/>
                        </a:xfrm>
                      </wpg:grpSpPr>
                      <wps:wsp>
                        <wps:cNvPr id="33" name="Прямоугольник 33"/>
                        <wps:cNvSpPr>
                          <a:spLocks noChangeArrowheads="1"/>
                        </wps:cNvSpPr>
                        <wps:spPr bwMode="auto">
                          <a:xfrm>
                            <a:off x="1707" y="9547"/>
                            <a:ext cx="2566" cy="4173"/>
                          </a:xfrm>
                          <a:prstGeom prst="rect">
                            <a:avLst/>
                          </a:prstGeom>
                          <a:solidFill>
                            <a:srgbClr val="FFFFFF"/>
                          </a:solidFill>
                          <a:ln w="19050">
                            <a:solidFill>
                              <a:srgbClr val="000000"/>
                            </a:solidFill>
                            <a:miter lim="800000"/>
                            <a:headEnd/>
                            <a:tailEnd/>
                          </a:ln>
                        </wps:spPr>
                        <wps:txbx>
                          <w:txbxContent>
                            <w:p w:rsidR="00F46242" w:rsidRPr="005D50A1" w:rsidRDefault="00F46242" w:rsidP="00F46242">
                              <w:pPr>
                                <w:jc w:val="center"/>
                                <w:rPr>
                                  <w:sz w:val="24"/>
                                </w:rPr>
                              </w:pPr>
                              <w:r w:rsidRPr="005D50A1">
                                <w:rPr>
                                  <w:sz w:val="24"/>
                                </w:rPr>
                                <w:t>Предоставление налоговых льгот</w:t>
                              </w:r>
                            </w:p>
                            <w:p w:rsidR="00F46242" w:rsidRPr="005D50A1" w:rsidRDefault="00F46242" w:rsidP="00F46242">
                              <w:pPr>
                                <w:jc w:val="center"/>
                                <w:rPr>
                                  <w:sz w:val="24"/>
                                </w:rPr>
                              </w:pPr>
                            </w:p>
                            <w:p w:rsidR="00F46242" w:rsidRPr="005D50A1" w:rsidRDefault="00F46242" w:rsidP="00F46242">
                              <w:pPr>
                                <w:jc w:val="center"/>
                                <w:rPr>
                                  <w:sz w:val="24"/>
                                </w:rPr>
                              </w:pPr>
                              <w:r w:rsidRPr="005D50A1">
                                <w:rPr>
                                  <w:sz w:val="24"/>
                                </w:rPr>
                                <w:t>Создание специальных экономических зон</w:t>
                              </w:r>
                            </w:p>
                            <w:p w:rsidR="00F46242" w:rsidRPr="005D50A1" w:rsidRDefault="00F46242" w:rsidP="00F46242">
                              <w:pPr>
                                <w:jc w:val="center"/>
                                <w:rPr>
                                  <w:sz w:val="24"/>
                                </w:rPr>
                              </w:pPr>
                            </w:p>
                            <w:p w:rsidR="00F46242" w:rsidRPr="005D50A1" w:rsidRDefault="00F46242" w:rsidP="00F46242">
                              <w:pPr>
                                <w:jc w:val="center"/>
                                <w:rPr>
                                  <w:sz w:val="24"/>
                                </w:rPr>
                              </w:pPr>
                              <w:r w:rsidRPr="005D50A1">
                                <w:rPr>
                                  <w:sz w:val="24"/>
                                </w:rPr>
                                <w:t>Использование финансового механизма</w:t>
                              </w:r>
                            </w:p>
                          </w:txbxContent>
                        </wps:txbx>
                        <wps:bodyPr rot="0" vert="horz" wrap="square" lIns="91440" tIns="45720" rIns="91440" bIns="45720" anchor="ctr" anchorCtr="0" upright="1">
                          <a:noAutofit/>
                        </wps:bodyPr>
                      </wps:wsp>
                      <wps:wsp>
                        <wps:cNvPr id="34" name="Прямоугольник 34"/>
                        <wps:cNvSpPr>
                          <a:spLocks noChangeArrowheads="1"/>
                        </wps:cNvSpPr>
                        <wps:spPr bwMode="auto">
                          <a:xfrm>
                            <a:off x="7525" y="9212"/>
                            <a:ext cx="3632" cy="5179"/>
                          </a:xfrm>
                          <a:prstGeom prst="rect">
                            <a:avLst/>
                          </a:prstGeom>
                          <a:solidFill>
                            <a:srgbClr val="FFFFFF"/>
                          </a:solidFill>
                          <a:ln w="19050">
                            <a:solidFill>
                              <a:srgbClr val="000000"/>
                            </a:solidFill>
                            <a:miter lim="800000"/>
                            <a:headEnd/>
                            <a:tailEnd/>
                          </a:ln>
                        </wps:spPr>
                        <wps:txbx>
                          <w:txbxContent>
                            <w:p w:rsidR="00F46242" w:rsidRPr="005D50A1" w:rsidRDefault="00F46242" w:rsidP="00F46242">
                              <w:pPr>
                                <w:jc w:val="center"/>
                                <w:rPr>
                                  <w:sz w:val="24"/>
                                </w:rPr>
                              </w:pPr>
                              <w:r w:rsidRPr="005D50A1">
                                <w:rPr>
                                  <w:sz w:val="24"/>
                                </w:rPr>
                                <w:t>Предоставление таможенных льгот</w:t>
                              </w:r>
                            </w:p>
                            <w:p w:rsidR="00F46242" w:rsidRPr="005D50A1" w:rsidRDefault="00F46242" w:rsidP="00F46242">
                              <w:pPr>
                                <w:jc w:val="center"/>
                                <w:rPr>
                                  <w:sz w:val="24"/>
                                </w:rPr>
                              </w:pPr>
                            </w:p>
                            <w:p w:rsidR="00F46242" w:rsidRPr="005D50A1" w:rsidRDefault="00F46242" w:rsidP="00F46242">
                              <w:pPr>
                                <w:jc w:val="center"/>
                                <w:rPr>
                                  <w:sz w:val="24"/>
                                </w:rPr>
                              </w:pPr>
                              <w:r w:rsidRPr="005D50A1">
                                <w:rPr>
                                  <w:sz w:val="24"/>
                                </w:rPr>
                                <w:t>Создание системы гарантий (невозможность национализации и принудительного изъятия инвестиций)</w:t>
                              </w:r>
                            </w:p>
                            <w:p w:rsidR="00F46242" w:rsidRPr="005D50A1" w:rsidRDefault="00F46242" w:rsidP="00F46242">
                              <w:pPr>
                                <w:jc w:val="center"/>
                                <w:rPr>
                                  <w:sz w:val="24"/>
                                </w:rPr>
                              </w:pPr>
                            </w:p>
                            <w:p w:rsidR="00F46242" w:rsidRPr="005D50A1" w:rsidRDefault="00F46242" w:rsidP="00F46242">
                              <w:pPr>
                                <w:jc w:val="center"/>
                                <w:rPr>
                                  <w:sz w:val="24"/>
                                </w:rPr>
                              </w:pPr>
                              <w:r w:rsidRPr="005D50A1">
                                <w:rPr>
                                  <w:sz w:val="24"/>
                                </w:rPr>
                                <w:t>Информационное обеспечение</w:t>
                              </w:r>
                            </w:p>
                            <w:p w:rsidR="00F46242" w:rsidRPr="005D50A1" w:rsidRDefault="00F46242" w:rsidP="00F46242">
                              <w:pPr>
                                <w:jc w:val="center"/>
                                <w:rPr>
                                  <w:sz w:val="24"/>
                                </w:rPr>
                              </w:pPr>
                            </w:p>
                            <w:p w:rsidR="00F46242" w:rsidRPr="005D50A1" w:rsidRDefault="00F46242" w:rsidP="00F46242">
                              <w:pPr>
                                <w:jc w:val="center"/>
                                <w:rPr>
                                  <w:sz w:val="24"/>
                                </w:rPr>
                              </w:pPr>
                              <w:r w:rsidRPr="005D50A1">
                                <w:rPr>
                                  <w:sz w:val="24"/>
                                </w:rPr>
                                <w:t>Внедрение системы страхования</w:t>
                              </w:r>
                            </w:p>
                          </w:txbxContent>
                        </wps:txbx>
                        <wps:bodyPr rot="0" vert="horz" wrap="square" lIns="91440" tIns="45720" rIns="91440" bIns="45720" anchor="ctr" anchorCtr="0" upright="1">
                          <a:noAutofit/>
                        </wps:bodyPr>
                      </wps:wsp>
                      <wps:wsp>
                        <wps:cNvPr id="35" name="Прямоугольник 35"/>
                        <wps:cNvSpPr>
                          <a:spLocks noChangeArrowheads="1"/>
                        </wps:cNvSpPr>
                        <wps:spPr bwMode="auto">
                          <a:xfrm>
                            <a:off x="1707" y="14250"/>
                            <a:ext cx="5695" cy="903"/>
                          </a:xfrm>
                          <a:prstGeom prst="rect">
                            <a:avLst/>
                          </a:prstGeom>
                          <a:solidFill>
                            <a:srgbClr val="FFFFFF"/>
                          </a:solidFill>
                          <a:ln w="19050">
                            <a:solidFill>
                              <a:srgbClr val="000000"/>
                            </a:solidFill>
                            <a:miter lim="800000"/>
                            <a:headEnd/>
                            <a:tailEnd/>
                          </a:ln>
                        </wps:spPr>
                        <wps:txbx>
                          <w:txbxContent>
                            <w:p w:rsidR="00F46242" w:rsidRPr="005D50A1" w:rsidRDefault="00F46242" w:rsidP="00F46242">
                              <w:pPr>
                                <w:jc w:val="center"/>
                                <w:rPr>
                                  <w:sz w:val="24"/>
                                </w:rPr>
                              </w:pPr>
                              <w:r w:rsidRPr="005D50A1">
                                <w:rPr>
                                  <w:sz w:val="24"/>
                                </w:rPr>
                                <w:t>Создание центров помощи иностранным инвесторам</w:t>
                              </w:r>
                            </w:p>
                          </w:txbxContent>
                        </wps:txbx>
                        <wps:bodyPr rot="0" vert="horz" wrap="square" lIns="91440" tIns="45720" rIns="91440" bIns="45720" anchor="ctr" anchorCtr="0" upright="1">
                          <a:noAutofit/>
                        </wps:bodyPr>
                      </wps:wsp>
                      <wps:wsp>
                        <wps:cNvPr id="36" name="Прямоугольник 36"/>
                        <wps:cNvSpPr>
                          <a:spLocks noChangeArrowheads="1"/>
                        </wps:cNvSpPr>
                        <wps:spPr bwMode="auto">
                          <a:xfrm>
                            <a:off x="4899" y="10153"/>
                            <a:ext cx="2101" cy="1910"/>
                          </a:xfrm>
                          <a:prstGeom prst="rect">
                            <a:avLst/>
                          </a:prstGeom>
                          <a:solidFill>
                            <a:srgbClr val="FFFFFF"/>
                          </a:solidFill>
                          <a:ln w="19050">
                            <a:solidFill>
                              <a:srgbClr val="000000"/>
                            </a:solidFill>
                            <a:miter lim="800000"/>
                            <a:headEnd/>
                            <a:tailEnd/>
                          </a:ln>
                        </wps:spPr>
                        <wps:txbx>
                          <w:txbxContent>
                            <w:p w:rsidR="00F46242" w:rsidRPr="005D50A1" w:rsidRDefault="00F46242" w:rsidP="00F46242">
                              <w:pPr>
                                <w:jc w:val="center"/>
                                <w:rPr>
                                  <w:sz w:val="24"/>
                                </w:rPr>
                              </w:pPr>
                              <w:r w:rsidRPr="005D50A1">
                                <w:rPr>
                                  <w:b/>
                                  <w:sz w:val="24"/>
                                </w:rPr>
                                <w:t>Механизм привлечения иностранного капитала</w:t>
                              </w:r>
                            </w:p>
                          </w:txbxContent>
                        </wps:txbx>
                        <wps:bodyPr rot="0" vert="horz" wrap="square" lIns="91440" tIns="45720" rIns="91440" bIns="45720" anchor="ctr" anchorCtr="0" upright="1">
                          <a:noAutofit/>
                        </wps:bodyPr>
                      </wps:wsp>
                      <wps:wsp>
                        <wps:cNvPr id="37" name="Прямая со стрелкой 37"/>
                        <wps:cNvCnPr>
                          <a:cxnSpLocks noChangeShapeType="1"/>
                        </wps:cNvCnPr>
                        <wps:spPr bwMode="auto">
                          <a:xfrm flipH="1">
                            <a:off x="4273" y="11400"/>
                            <a:ext cx="626"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 name="Прямая со стрелкой 38"/>
                        <wps:cNvCnPr>
                          <a:cxnSpLocks noChangeShapeType="1"/>
                        </wps:cNvCnPr>
                        <wps:spPr bwMode="auto">
                          <a:xfrm>
                            <a:off x="6991" y="11400"/>
                            <a:ext cx="534"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 name="Прямая со стрелкой 39"/>
                        <wps:cNvCnPr>
                          <a:cxnSpLocks noChangeShapeType="1"/>
                        </wps:cNvCnPr>
                        <wps:spPr bwMode="auto">
                          <a:xfrm>
                            <a:off x="5837" y="12063"/>
                            <a:ext cx="16" cy="219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0" name="Прямоугольник 41"/>
                        <wps:cNvSpPr>
                          <a:spLocks noChangeArrowheads="1"/>
                        </wps:cNvSpPr>
                        <wps:spPr bwMode="auto">
                          <a:xfrm>
                            <a:off x="2953" y="8355"/>
                            <a:ext cx="7498" cy="602"/>
                          </a:xfrm>
                          <a:prstGeom prst="rect">
                            <a:avLst/>
                          </a:prstGeom>
                          <a:solidFill>
                            <a:srgbClr val="FFFFFF"/>
                          </a:solidFill>
                          <a:ln w="19050">
                            <a:solidFill>
                              <a:srgbClr val="FFFFFF"/>
                            </a:solidFill>
                            <a:miter lim="800000"/>
                            <a:headEnd/>
                            <a:tailEnd/>
                          </a:ln>
                        </wps:spPr>
                        <wps:txbx>
                          <w:txbxContent>
                            <w:p w:rsidR="00F46242" w:rsidRPr="00506D77" w:rsidRDefault="00F46242" w:rsidP="00F46242">
                              <w:pPr>
                                <w:rPr>
                                  <w:b/>
                                  <w:szCs w:val="28"/>
                                </w:rPr>
                              </w:pPr>
                              <w:r w:rsidRPr="00506D77">
                                <w:rPr>
                                  <w:b/>
                                  <w:szCs w:val="28"/>
                                </w:rPr>
                                <w:t>Создание благоприятного инвестиционного климата</w:t>
                              </w:r>
                            </w:p>
                            <w:p w:rsidR="00F46242" w:rsidRDefault="00F46242" w:rsidP="00F46242">
                              <w:pPr>
                                <w:jc w:val="center"/>
                              </w:pPr>
                            </w:p>
                          </w:txbxContent>
                        </wps:txbx>
                        <wps:bodyPr rot="0" vert="horz" wrap="square" lIns="91440" tIns="45720" rIns="91440" bIns="45720" anchor="ctr" anchorCtr="0" upright="1">
                          <a:noAutofit/>
                        </wps:bodyPr>
                      </wps:wsp>
                    </wpg:wgp>
                  </a:graphicData>
                </a:graphic>
              </wp:inline>
            </w:drawing>
          </mc:Choice>
          <mc:Fallback>
            <w:pict>
              <v:group w14:anchorId="7E455588" id="Группа 10" o:spid="_x0000_s1026" style="width:464.95pt;height:298.1pt;mso-position-horizontal-relative:char;mso-position-vertical-relative:line" coordorigin="1707,8355" coordsize="9450,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">
                <v:rect id="Прямоугольник 33" o:spid="_x0000_s1027" style="position:absolute;left:1707;top:9547;width:2566;height:4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" strokeweight="1.5pt">
                  <v:textbox>
                    <w:txbxContent>
                      <w:p w:rsidR="00F46242" w:rsidRPr="005D50A1" w:rsidRDefault="00F46242" w:rsidP="00F46242">
                        <w:pPr>
                          <w:jc w:val="center"/>
                          <w:rPr>
                            <w:sz w:val="24"/>
                          </w:rPr>
                        </w:pPr>
                        <w:r w:rsidRPr="005D50A1">
                          <w:rPr>
                            <w:sz w:val="24"/>
                          </w:rPr>
                          <w:t>Предоставление налоговых льгот</w:t>
                        </w:r>
                      </w:p>
                      <w:p w:rsidR="00F46242" w:rsidRPr="005D50A1" w:rsidRDefault="00F46242" w:rsidP="00F46242">
                        <w:pPr>
                          <w:jc w:val="center"/>
                          <w:rPr>
                            <w:sz w:val="24"/>
                          </w:rPr>
                        </w:pPr>
                      </w:p>
                      <w:p w:rsidR="00F46242" w:rsidRPr="005D50A1" w:rsidRDefault="00F46242" w:rsidP="00F46242">
                        <w:pPr>
                          <w:jc w:val="center"/>
                          <w:rPr>
                            <w:sz w:val="24"/>
                          </w:rPr>
                        </w:pPr>
                        <w:r w:rsidRPr="005D50A1">
                          <w:rPr>
                            <w:sz w:val="24"/>
                          </w:rPr>
                          <w:t>Создание специальных экономических зон</w:t>
                        </w:r>
                      </w:p>
                      <w:p w:rsidR="00F46242" w:rsidRPr="005D50A1" w:rsidRDefault="00F46242" w:rsidP="00F46242">
                        <w:pPr>
                          <w:jc w:val="center"/>
                          <w:rPr>
                            <w:sz w:val="24"/>
                          </w:rPr>
                        </w:pPr>
                      </w:p>
                      <w:p w:rsidR="00F46242" w:rsidRPr="005D50A1" w:rsidRDefault="00F46242" w:rsidP="00F46242">
                        <w:pPr>
                          <w:jc w:val="center"/>
                          <w:rPr>
                            <w:sz w:val="24"/>
                          </w:rPr>
                        </w:pPr>
                        <w:r w:rsidRPr="005D50A1">
                          <w:rPr>
                            <w:sz w:val="24"/>
                          </w:rPr>
                          <w:t>Использование финансового механизма</w:t>
                        </w:r>
                      </w:p>
                    </w:txbxContent>
                  </v:textbox>
                </v:rect>
                <v:rect id="Прямоугольник 34" o:spid="_x0000_s1028" style="position:absolute;left:7525;top:9212;width:3632;height:5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" strokeweight="1.5pt">
                  <v:textbox>
                    <w:txbxContent>
                      <w:p w:rsidR="00F46242" w:rsidRPr="005D50A1" w:rsidRDefault="00F46242" w:rsidP="00F46242">
                        <w:pPr>
                          <w:jc w:val="center"/>
                          <w:rPr>
                            <w:sz w:val="24"/>
                          </w:rPr>
                        </w:pPr>
                        <w:r w:rsidRPr="005D50A1">
                          <w:rPr>
                            <w:sz w:val="24"/>
                          </w:rPr>
                          <w:t>Предоставление таможенных льгот</w:t>
                        </w:r>
                      </w:p>
                      <w:p w:rsidR="00F46242" w:rsidRPr="005D50A1" w:rsidRDefault="00F46242" w:rsidP="00F46242">
                        <w:pPr>
                          <w:jc w:val="center"/>
                          <w:rPr>
                            <w:sz w:val="24"/>
                          </w:rPr>
                        </w:pPr>
                      </w:p>
                      <w:p w:rsidR="00F46242" w:rsidRPr="005D50A1" w:rsidRDefault="00F46242" w:rsidP="00F46242">
                        <w:pPr>
                          <w:jc w:val="center"/>
                          <w:rPr>
                            <w:sz w:val="24"/>
                          </w:rPr>
                        </w:pPr>
                        <w:r w:rsidRPr="005D50A1">
                          <w:rPr>
                            <w:sz w:val="24"/>
                          </w:rPr>
                          <w:t>Создание системы гарантий (невозможность национализации и принудительного изъятия инвестиций)</w:t>
                        </w:r>
                      </w:p>
                      <w:p w:rsidR="00F46242" w:rsidRPr="005D50A1" w:rsidRDefault="00F46242" w:rsidP="00F46242">
                        <w:pPr>
                          <w:jc w:val="center"/>
                          <w:rPr>
                            <w:sz w:val="24"/>
                          </w:rPr>
                        </w:pPr>
                      </w:p>
                      <w:p w:rsidR="00F46242" w:rsidRPr="005D50A1" w:rsidRDefault="00F46242" w:rsidP="00F46242">
                        <w:pPr>
                          <w:jc w:val="center"/>
                          <w:rPr>
                            <w:sz w:val="24"/>
                          </w:rPr>
                        </w:pPr>
                        <w:r w:rsidRPr="005D50A1">
                          <w:rPr>
                            <w:sz w:val="24"/>
                          </w:rPr>
                          <w:t>Информационное обеспечение</w:t>
                        </w:r>
                      </w:p>
                      <w:p w:rsidR="00F46242" w:rsidRPr="005D50A1" w:rsidRDefault="00F46242" w:rsidP="00F46242">
                        <w:pPr>
                          <w:jc w:val="center"/>
                          <w:rPr>
                            <w:sz w:val="24"/>
                          </w:rPr>
                        </w:pPr>
                      </w:p>
                      <w:p w:rsidR="00F46242" w:rsidRPr="005D50A1" w:rsidRDefault="00F46242" w:rsidP="00F46242">
                        <w:pPr>
                          <w:jc w:val="center"/>
                          <w:rPr>
                            <w:sz w:val="24"/>
                          </w:rPr>
                        </w:pPr>
                        <w:r w:rsidRPr="005D50A1">
                          <w:rPr>
                            <w:sz w:val="24"/>
                          </w:rPr>
                          <w:t>Внедрение системы страхования</w:t>
                        </w:r>
                      </w:p>
                    </w:txbxContent>
                  </v:textbox>
                </v:rect>
                <v:rect id="Прямоугольник 35" o:spid="_x0000_s1029" style="position:absolute;left:1707;top:14250;width:5695;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" strokeweight="1.5pt">
                  <v:textbox>
                    <w:txbxContent>
                      <w:p w:rsidR="00F46242" w:rsidRPr="005D50A1" w:rsidRDefault="00F46242" w:rsidP="00F46242">
                        <w:pPr>
                          <w:jc w:val="center"/>
                          <w:rPr>
                            <w:sz w:val="24"/>
                          </w:rPr>
                        </w:pPr>
                        <w:r w:rsidRPr="005D50A1">
                          <w:rPr>
                            <w:sz w:val="24"/>
                          </w:rPr>
                          <w:t>Создание центров помощи иностранным инвесторам</w:t>
                        </w:r>
                      </w:p>
                    </w:txbxContent>
                  </v:textbox>
                </v:rect>
                <v:rect id="Прямоугольник 36" o:spid="_x0000_s1030" style="position:absolute;left:4899;top:10153;width:2101;height: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" strokeweight="1.5pt">
                  <v:textbox>
                    <w:txbxContent>
                      <w:p w:rsidR="00F46242" w:rsidRPr="005D50A1" w:rsidRDefault="00F46242" w:rsidP="00F46242">
                        <w:pPr>
                          <w:jc w:val="center"/>
                          <w:rPr>
                            <w:sz w:val="24"/>
                          </w:rPr>
                        </w:pPr>
                        <w:r w:rsidRPr="005D50A1">
                          <w:rPr>
                            <w:b/>
                            <w:sz w:val="24"/>
                          </w:rPr>
                          <w:t>Механизм привлечения иностранного капитала</w:t>
                        </w:r>
                      </w:p>
                    </w:txbxContent>
                  </v:textbox>
                </v:rect>
                <v:shapetype id="_x0000_t32" coordsize="21600,21600" o:spt="32" o:oned="t" path="m,l21600,21600e" filled="f">
                  <v:path arrowok="t" fillok="f" o:connecttype="none"/>
                  <o:lock v:ext="edit" shapetype="t"/>
                </v:shapetype>
                <v:shape id="Прямая со стрелкой 37" o:spid="_x0000_s1031" type="#_x0000_t32" style="position:absolute;left:4273;top:11400;width:6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" strokeweight="1.5pt">
                  <v:stroke endarrow="open"/>
                </v:shape>
                <v:shape id="Прямая со стрелкой 38" o:spid="_x0000_s1032" type="#_x0000_t32" style="position:absolute;left:6991;top:11400;width:5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" strokeweight="1.5pt">
                  <v:stroke endarrow="open"/>
                </v:shape>
                <v:shape id="Прямая со стрелкой 39" o:spid="_x0000_s1033" type="#_x0000_t32" style="position:absolute;left:5837;top:12063;width:16;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" strokeweight="1.5pt">
                  <v:stroke endarrow="open"/>
                </v:shape>
                <v:rect id="Прямоугольник 41" o:spid="_x0000_s1034" style="position:absolute;left:2953;top:8355;width:7498;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" strokecolor="white" strokeweight="1.5pt">
                  <v:textbox>
                    <w:txbxContent>
                      <w:p w:rsidR="00F46242" w:rsidRPr="00506D77" w:rsidRDefault="00F46242" w:rsidP="00F46242">
                        <w:pPr>
                          <w:rPr>
                            <w:b/>
                            <w:szCs w:val="28"/>
                          </w:rPr>
                        </w:pPr>
                        <w:r w:rsidRPr="00506D77">
                          <w:rPr>
                            <w:b/>
                            <w:szCs w:val="28"/>
                          </w:rPr>
                          <w:t>Создание благоприятного инвестиционного климата</w:t>
                        </w:r>
                      </w:p>
                      <w:p w:rsidR="00F46242" w:rsidRDefault="00F46242" w:rsidP="00F46242">
                        <w:pPr>
                          <w:jc w:val="center"/>
                        </w:pPr>
                      </w:p>
                    </w:txbxContent>
                  </v:textbox>
                </v:rect>
                <w10:anchorlock/>
              </v:group>
            </w:pict>
          </mc:Fallback>
        </mc:AlternateContent>
      </w:r>
    </w:p>
    <w:p w:rsidR="00F46242" w:rsidRPr="00F46242" w:rsidRDefault="00F46242" w:rsidP="00F46242">
      <w:pPr>
        <w:spacing w:after="0" w:line="240" w:lineRule="auto"/>
        <w:ind w:firstLine="709"/>
        <w:jc w:val="center"/>
        <w:rPr>
          <w:rFonts w:ascii="Times New Roman" w:eastAsia="Times New Roman" w:hAnsi="Times New Roman" w:cs="Times New Roman"/>
          <w:sz w:val="12"/>
          <w:szCs w:val="12"/>
          <w:lang w:eastAsia="ru-RU"/>
        </w:rPr>
      </w:pPr>
    </w:p>
    <w:p w:rsidR="00F46242" w:rsidRPr="00F46242" w:rsidRDefault="00F46242" w:rsidP="00F46242">
      <w:pPr>
        <w:spacing w:after="0" w:line="240" w:lineRule="auto"/>
        <w:ind w:firstLine="709"/>
        <w:jc w:val="center"/>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Рис.1. Механизм привлечения иностранного капитала.</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Система налоговых и таможенных льгот содержит: «налоговые каникулы», снижение ставок налогообложения при реинвестициях полученной прибыли или инвестициях в определенные регионы и отрасли, защита от двойного налогообложения, освобождение или снижение таможенных пошлин на импорт новейших машин и оборудования, технологий, ноу-хау, экспорта продукции собственного производства для покрытия валютных затрат.</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Вторым элементом, способствующим привлечению иностранных инвестиций, является формирование и развитие специальных экономических зон. Специальные экономические зоны предусматривают еще большую систему налоговых и таможенных льгот, упрощение административных процедур.</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Третьим элементом можно считать совершенствование финансового механизма. Финансовый механизм охватывает: укрепление позиций национальной валюты, ее конвертируемость; возможность для предприятий, созданных с участием иностранных инвесторов, без труда конвертировать полученные доходы; пользование банковской системой страны; предоставление государственных кредитов для инвестиционных проектов в приоритетные сферы.</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xml:space="preserve">Нестабильная политическая ситуация в стране, проведение активных боевых действий на территории города обусловили резкое падение курса гривны и нарушение работы банковской системы. Предприятия на территории города были вынуждены функционировать в режиме «форс-мажора». Многие инвестиционные проекты были приостановлены на неопределённый срок. </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lastRenderedPageBreak/>
        <w:t>Проанализировав показатели инвестиционной деятельности можно отметить, что на их долю приходилось более половины прямых иностранных инвестиций всего Донецкого региона. Так, общая сумма привлеченных средств по состоянию на 31.12.2015 г. по г. Донецку составила 2082,9 млн.долл. На душу населения приходилось 2187,0 долл. Прирост иностранных инвестиций на 183,2 млн дол. больше, чем в 2014 году. В 2016 общая сумма привлеченных средств составила 1527,6 млн дол., или 59,3% от общей суммы по Донецкой области. На душу населения приходилось 1593,0 долл. Этот показатель в 2,7 раза превысил аналогичный показатель по области. Вместе с тем, в 2016 году наблюдался значительный отток инвестиций из всех отраслей экономики города. Так на конец 2016 года мы имеем на 555,4 млн долл. иностранных инвестиций меньше, чем в 2015 году.</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Вместе с тем, по итогам 2017 года на долю г. Донецка приходилось 84,3% от общего объема прямых иностранных инвестиций по ДНР, а на душу населения – 36,7 долл., что более чем в два раза превышает аналогичный показатель в Республике в целом.</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По структуре поступлений самыми инвестиционно-привлекательными в Донецке стали такие виды экономической деятельности, как: перерабатывающая промышленность (41,2%); оптовая и розничная торговля, ремонт автотранспортных средств и мотоциклов (37,8%); производство пищевых продуктов, напитков и табачных изделий (11,8%); производство резиновых и пластмассовых изделий, других неметаллических минеральных изделий (8,3%).</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Донецк – город, обладающий высоким промышленным, инвестиционным и кадровым потенциалом, что делает его привлекательным для инвесторов. Однако на сегодняшний день предприятия сталкиваются с рядом проблем, из-за чего реализация инвестиционной деятельности в городе затруднена, а именно:</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xml:space="preserve">– транспортное сообщение. В связи с экономической блокадой                по-прежнему существует проблема ввоза/вывоза сырья и готовой продукции; </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налаживание связей с партнерами. В связи с неопределенным правовым статусом Донецкой Народной Республики на международном уровне существуют проблемы в заключении договоров с предприятиями-партнерами, в частности, в Российской Федерации;</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непрекращающиеся боевые действия в некоторых районах города.  Предприятия, расположенные в районах непосредственного проведения боевых действий, вынуждены терпеть убытки от разрушений, а также останавливать производственную деятельность из-за угрозы для жизни сотрудников;</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отсутствие доступа к финансовым ресурсам. Недоступность кредитных средств и отсутствие внешних инвесторов затрудняет инвестиционную деятельность предприятий;</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xml:space="preserve">– поиск новых рынков сбыта, поставщиков, контрагентов. В сложившихся обстоятельствах многие предприятия утратили возможность работать по налаженным связям, а на внутреннем рынке продукция не </w:t>
      </w:r>
      <w:r w:rsidRPr="00F46242">
        <w:rPr>
          <w:rFonts w:ascii="Times New Roman" w:eastAsia="Times New Roman" w:hAnsi="Times New Roman" w:cs="Times New Roman"/>
          <w:sz w:val="28"/>
          <w:szCs w:val="28"/>
          <w:lang w:eastAsia="ru-RU"/>
        </w:rPr>
        <w:lastRenderedPageBreak/>
        <w:t>востребована, из-за чего некоторые предприятия, завершившие инвестиционные проекты, вынуждены простаивать или работать не на полную мощность;</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сложности в вопросах маркировки (предприятия пищевой промышленности) и сертифицирования продукции (предприятия машиностроительной и фармацевтической отраслей промышленности), произведенной в ДНР для экспорта за границу.</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Администрацией города Донецка ведётся мониторинг предприятий, нуждающихся в инвестировании [6]. В качестве усовершенствования инвестиционного климата предлагается проводить данный мониторинг постоянно, а также с целью совершенствования информационного механизма привлечения иностранных инвестиций. В июне 2017 г. проведен мониторинг инвестиционной деятельности предприятий города, в результате которого сформирован перечень инвестиционных проектов г. Донецка. 18 проектов вошли в каталог инвестиционных проектов реального сектора экономики ДНР. Со второго полугодия 2017 г. на ежемесячной основе проводится их актуализация.</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Для того, чтобы ускорить этот процесс,  необходимо сделать, создать систему гарантий прав инвесторов, которая будет включать в себя:</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дополнительные льготы для тех, кто хочет инвестировать в приоритетные отрасли экономики;</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предоставление гарантий от изменений в законодательстве;</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предоставление гарантий при использовании доходов, полученных от инвестиционной деятельности;</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предоставление гарантий в случае незаконных действий государственных органов;</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предоставление гарантий в случае остановки инвестиционной деятельности.</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В качестве механизма стимулирования иностранных инвесторов предлагается внедрить систему льготного налогообложения в зависимости от объемов и срока действия иностранной инвестиции, поскольку существующая система находится на стадии формирования, необходимо в предлагаемой системе также учесть приоритетность промышленной сферы как объекта инвестирования (табл.1).</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 xml:space="preserve">В табл. 1 видно, что чем больше сумма инвестиции и длиннее срок, тем большую налоговую льготу получит иностранный инвестор. </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Реализация инвестиционных проектов реального сектора экономики, разработанных и готовых к внедрению предприятиями города в 2014-2017 гг., была весьма затруднительной в связи с недостаточностью собственных средств и невозможностью оформления кредитных линий.</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Кроме того, привлечение иностранных инвестиций не представлялось возможным ввиду отсутствия нормативно-правовой базы, определяющей гарантии прав инвесторов, льготы и преференции. При использовании предложенного механизма стимулирования, возможно обеспечить приток инвестиций, которые покроют инвестиционные потребности региона.</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p>
    <w:p w:rsidR="00F46242" w:rsidRPr="00F46242" w:rsidRDefault="00F46242" w:rsidP="00F46242">
      <w:pPr>
        <w:spacing w:after="0" w:line="240" w:lineRule="auto"/>
        <w:ind w:firstLine="709"/>
        <w:jc w:val="right"/>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Таблица 1</w:t>
      </w:r>
    </w:p>
    <w:p w:rsidR="00F46242" w:rsidRPr="00F46242" w:rsidRDefault="00F46242" w:rsidP="00F46242">
      <w:pPr>
        <w:spacing w:after="0" w:line="240" w:lineRule="auto"/>
        <w:ind w:firstLine="709"/>
        <w:jc w:val="center"/>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Система стимулирования иностранных инвесторов</w:t>
      </w:r>
    </w:p>
    <w:tbl>
      <w:tblPr>
        <w:tblStyle w:val="a3"/>
        <w:tblW w:w="4846" w:type="pct"/>
        <w:jc w:val="center"/>
        <w:tblLook w:val="04A0" w:firstRow="1" w:lastRow="0" w:firstColumn="1" w:lastColumn="0" w:noHBand="0" w:noVBand="1"/>
      </w:tblPr>
      <w:tblGrid>
        <w:gridCol w:w="2003"/>
        <w:gridCol w:w="2017"/>
        <w:gridCol w:w="724"/>
        <w:gridCol w:w="727"/>
        <w:gridCol w:w="792"/>
        <w:gridCol w:w="2003"/>
        <w:gridCol w:w="791"/>
      </w:tblGrid>
      <w:tr w:rsidR="00F46242" w:rsidRPr="00F46242" w:rsidTr="002D53BD">
        <w:trPr>
          <w:trHeight w:val="580"/>
          <w:jc w:val="center"/>
        </w:trPr>
        <w:tc>
          <w:tcPr>
            <w:tcW w:w="946" w:type="pct"/>
            <w:vMerge w:val="restar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Фактор стимулирования</w:t>
            </w:r>
          </w:p>
        </w:tc>
        <w:tc>
          <w:tcPr>
            <w:tcW w:w="4054" w:type="pct"/>
            <w:gridSpan w:val="6"/>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Объем иностранных инвестиций, дол. США</w:t>
            </w:r>
          </w:p>
        </w:tc>
      </w:tr>
      <w:tr w:rsidR="00F46242" w:rsidRPr="00F46242" w:rsidTr="002D53BD">
        <w:trPr>
          <w:trHeight w:val="314"/>
          <w:jc w:val="center"/>
        </w:trPr>
        <w:tc>
          <w:tcPr>
            <w:tcW w:w="946" w:type="pct"/>
            <w:vMerge/>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both"/>
              <w:rPr>
                <w:rFonts w:ascii="Times New Roman" w:hAnsi="Times New Roman"/>
                <w:sz w:val="24"/>
                <w:szCs w:val="24"/>
              </w:rPr>
            </w:pPr>
          </w:p>
        </w:tc>
        <w:tc>
          <w:tcPr>
            <w:tcW w:w="1056"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до 10 тыс.</w:t>
            </w:r>
          </w:p>
        </w:tc>
        <w:tc>
          <w:tcPr>
            <w:tcW w:w="480"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10 – 50 тыс.</w:t>
            </w:r>
          </w:p>
        </w:tc>
        <w:tc>
          <w:tcPr>
            <w:tcW w:w="481"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50 – 100 тыс.</w:t>
            </w:r>
          </w:p>
        </w:tc>
        <w:tc>
          <w:tcPr>
            <w:tcW w:w="517"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100 – 500 тыс.</w:t>
            </w:r>
          </w:p>
        </w:tc>
        <w:tc>
          <w:tcPr>
            <w:tcW w:w="1049"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500 тыс. – 10 млн.</w:t>
            </w:r>
          </w:p>
        </w:tc>
        <w:tc>
          <w:tcPr>
            <w:tcW w:w="472"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более 10 млн.</w:t>
            </w:r>
          </w:p>
        </w:tc>
      </w:tr>
      <w:tr w:rsidR="00F46242" w:rsidRPr="00F46242" w:rsidTr="002D53BD">
        <w:trPr>
          <w:trHeight w:val="580"/>
          <w:jc w:val="center"/>
        </w:trPr>
        <w:tc>
          <w:tcPr>
            <w:tcW w:w="946"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Срок льготных «налоговых каникул»</w:t>
            </w:r>
          </w:p>
        </w:tc>
        <w:tc>
          <w:tcPr>
            <w:tcW w:w="1056"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Налог по действующему законодательству</w:t>
            </w:r>
          </w:p>
        </w:tc>
        <w:tc>
          <w:tcPr>
            <w:tcW w:w="480"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1 год</w:t>
            </w:r>
          </w:p>
        </w:tc>
        <w:tc>
          <w:tcPr>
            <w:tcW w:w="481"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3 года</w:t>
            </w:r>
          </w:p>
        </w:tc>
        <w:tc>
          <w:tcPr>
            <w:tcW w:w="517"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5 лет</w:t>
            </w:r>
          </w:p>
        </w:tc>
        <w:tc>
          <w:tcPr>
            <w:tcW w:w="1049"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Дополнительно 5 лет 50% ставок действующего законодательства</w:t>
            </w:r>
          </w:p>
        </w:tc>
        <w:tc>
          <w:tcPr>
            <w:tcW w:w="472"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10 лет</w:t>
            </w:r>
          </w:p>
        </w:tc>
      </w:tr>
      <w:tr w:rsidR="00F46242" w:rsidRPr="00F46242" w:rsidTr="002D53BD">
        <w:trPr>
          <w:trHeight w:val="580"/>
          <w:jc w:val="center"/>
        </w:trPr>
        <w:tc>
          <w:tcPr>
            <w:tcW w:w="946"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НДС к ставкам действующего законодательства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100</w:t>
            </w:r>
          </w:p>
        </w:tc>
        <w:tc>
          <w:tcPr>
            <w:tcW w:w="480"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90</w:t>
            </w:r>
          </w:p>
        </w:tc>
        <w:tc>
          <w:tcPr>
            <w:tcW w:w="481"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80</w:t>
            </w:r>
          </w:p>
        </w:tc>
        <w:tc>
          <w:tcPr>
            <w:tcW w:w="517"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70</w:t>
            </w:r>
          </w:p>
        </w:tc>
        <w:tc>
          <w:tcPr>
            <w:tcW w:w="1049"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60</w:t>
            </w:r>
          </w:p>
        </w:tc>
        <w:tc>
          <w:tcPr>
            <w:tcW w:w="472"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50</w:t>
            </w:r>
          </w:p>
        </w:tc>
      </w:tr>
      <w:tr w:rsidR="00F46242" w:rsidRPr="00F46242" w:rsidTr="002D53BD">
        <w:trPr>
          <w:trHeight w:val="580"/>
          <w:jc w:val="center"/>
        </w:trPr>
        <w:tc>
          <w:tcPr>
            <w:tcW w:w="946"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Приоритетные отрасли (от размера НДС), %</w:t>
            </w:r>
          </w:p>
        </w:tc>
        <w:tc>
          <w:tcPr>
            <w:tcW w:w="1056"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85</w:t>
            </w:r>
          </w:p>
        </w:tc>
        <w:tc>
          <w:tcPr>
            <w:tcW w:w="480"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80</w:t>
            </w:r>
          </w:p>
        </w:tc>
        <w:tc>
          <w:tcPr>
            <w:tcW w:w="481"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75</w:t>
            </w:r>
          </w:p>
        </w:tc>
        <w:tc>
          <w:tcPr>
            <w:tcW w:w="517"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70</w:t>
            </w:r>
          </w:p>
        </w:tc>
        <w:tc>
          <w:tcPr>
            <w:tcW w:w="1049"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65</w:t>
            </w:r>
          </w:p>
        </w:tc>
        <w:tc>
          <w:tcPr>
            <w:tcW w:w="472" w:type="pct"/>
            <w:tcBorders>
              <w:top w:val="single" w:sz="4" w:space="0" w:color="auto"/>
              <w:left w:val="single" w:sz="4" w:space="0" w:color="auto"/>
              <w:bottom w:val="single" w:sz="4" w:space="0" w:color="auto"/>
              <w:right w:val="single" w:sz="4" w:space="0" w:color="auto"/>
            </w:tcBorders>
            <w:vAlign w:val="center"/>
            <w:hideMark/>
          </w:tcPr>
          <w:p w:rsidR="00F46242" w:rsidRPr="00F46242" w:rsidRDefault="00F46242" w:rsidP="00F46242">
            <w:pPr>
              <w:jc w:val="center"/>
              <w:rPr>
                <w:rFonts w:ascii="Times New Roman" w:hAnsi="Times New Roman"/>
                <w:sz w:val="24"/>
                <w:szCs w:val="24"/>
              </w:rPr>
            </w:pPr>
            <w:r w:rsidRPr="00F46242">
              <w:rPr>
                <w:rFonts w:ascii="Times New Roman" w:hAnsi="Times New Roman"/>
                <w:sz w:val="24"/>
                <w:szCs w:val="24"/>
              </w:rPr>
              <w:t>60</w:t>
            </w:r>
          </w:p>
        </w:tc>
      </w:tr>
    </w:tbl>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b/>
          <w:sz w:val="28"/>
          <w:szCs w:val="28"/>
          <w:lang w:eastAsia="ru-RU"/>
        </w:rPr>
        <w:t>Выводы.</w:t>
      </w:r>
      <w:r w:rsidRPr="00F46242">
        <w:rPr>
          <w:rFonts w:ascii="Times New Roman" w:eastAsia="Times New Roman" w:hAnsi="Times New Roman" w:cs="Times New Roman"/>
          <w:sz w:val="28"/>
          <w:szCs w:val="28"/>
          <w:lang w:eastAsia="ru-RU"/>
        </w:rPr>
        <w:t xml:space="preserve"> На сегодняшний день Донецкой Народной Республике нужны эффективные механизмы привлечения зарубежных вложений. Для привлечения иностранных инвестиций необходимо создать благоприятный инвестиционный климат в стране. Инвестиционная политика не может проводиться в отрыве от экономической политики, поэтому она является одним из важнейших направлений социально-экономической политики региона. </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В качестве приоритетных факторов, препятствующих притоку иностранных инвестиций в регион, необходимо отметить: трудности в налаживании сотрудничества с партнерами из других государств, в силу неопределенного правового статуса Республики, непрекращающиеся боевые действия и отсутствие правовых гарантий для инвесторов.</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r w:rsidRPr="00F46242">
        <w:rPr>
          <w:rFonts w:ascii="Times New Roman" w:eastAsia="Times New Roman" w:hAnsi="Times New Roman" w:cs="Times New Roman"/>
          <w:sz w:val="28"/>
          <w:szCs w:val="28"/>
          <w:lang w:eastAsia="ru-RU"/>
        </w:rPr>
        <w:t>С целью улучшения формирования инвестиционного климата региона, необходимо уделить внимание оценке инвестиционных потребностей региона, для чего предлагается усовершенствование информационного механизма привлечения иностранных инвестиций путем проведения постоянного мониторинга объектов инвестирования. Также предлагается на основе законодательного механизма внедрить систему стимулирования инвесторов, с учетом определения приоритетных отраслей финансирования, что обеспечит необходимый объем инвестиционных ресурсов.</w:t>
      </w:r>
    </w:p>
    <w:p w:rsidR="00F46242" w:rsidRPr="00F46242" w:rsidRDefault="00F46242" w:rsidP="00F46242">
      <w:pPr>
        <w:spacing w:after="0" w:line="240" w:lineRule="auto"/>
        <w:ind w:firstLine="709"/>
        <w:jc w:val="both"/>
        <w:rPr>
          <w:rFonts w:ascii="Times New Roman" w:eastAsia="Times New Roman" w:hAnsi="Times New Roman" w:cs="Times New Roman"/>
          <w:sz w:val="28"/>
          <w:szCs w:val="28"/>
          <w:lang w:eastAsia="ru-RU"/>
        </w:rPr>
      </w:pP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8836"/>
      </w:tblGrid>
      <w:tr w:rsidR="00F46242" w:rsidRPr="00F46242" w:rsidTr="002D53BD">
        <w:trPr>
          <w:jc w:val="center"/>
        </w:trPr>
        <w:tc>
          <w:tcPr>
            <w:tcW w:w="5000" w:type="pct"/>
            <w:gridSpan w:val="2"/>
          </w:tcPr>
          <w:p w:rsidR="00F46242" w:rsidRPr="00F46242" w:rsidRDefault="00F46242" w:rsidP="00F46242">
            <w:pPr>
              <w:contextualSpacing/>
              <w:jc w:val="both"/>
              <w:rPr>
                <w:rFonts w:ascii="Times New Roman" w:eastAsia="Calibri" w:hAnsi="Times New Roman"/>
                <w:sz w:val="24"/>
                <w:szCs w:val="24"/>
              </w:rPr>
            </w:pPr>
          </w:p>
        </w:tc>
      </w:tr>
      <w:tr w:rsidR="00F46242" w:rsidRPr="00F46242" w:rsidTr="002D53BD">
        <w:trPr>
          <w:jc w:val="center"/>
        </w:trPr>
        <w:tc>
          <w:tcPr>
            <w:tcW w:w="5000" w:type="pct"/>
            <w:gridSpan w:val="2"/>
          </w:tcPr>
          <w:p w:rsidR="00F46242" w:rsidRPr="00F46242" w:rsidRDefault="00F46242" w:rsidP="00F46242">
            <w:pPr>
              <w:ind w:firstLine="709"/>
              <w:jc w:val="center"/>
              <w:rPr>
                <w:rFonts w:ascii="Times New Roman" w:hAnsi="Times New Roman"/>
                <w:b/>
                <w:sz w:val="28"/>
                <w:szCs w:val="28"/>
              </w:rPr>
            </w:pPr>
            <w:r w:rsidRPr="00F46242">
              <w:rPr>
                <w:rFonts w:ascii="Times New Roman" w:hAnsi="Times New Roman"/>
                <w:b/>
                <w:sz w:val="28"/>
                <w:szCs w:val="28"/>
              </w:rPr>
              <w:t>Список литературы</w:t>
            </w:r>
          </w:p>
        </w:tc>
      </w:tr>
      <w:tr w:rsidR="00F46242" w:rsidRPr="00F46242" w:rsidTr="002D53BD">
        <w:trPr>
          <w:jc w:val="center"/>
        </w:trPr>
        <w:tc>
          <w:tcPr>
            <w:tcW w:w="199" w:type="pct"/>
          </w:tcPr>
          <w:p w:rsidR="00F46242" w:rsidRPr="00F46242" w:rsidRDefault="00F46242" w:rsidP="00F46242">
            <w:pPr>
              <w:widowControl w:val="0"/>
              <w:numPr>
                <w:ilvl w:val="0"/>
                <w:numId w:val="1"/>
              </w:numPr>
              <w:contextualSpacing/>
              <w:jc w:val="both"/>
              <w:rPr>
                <w:rFonts w:ascii="Times New Roman" w:eastAsia="Calibri" w:hAnsi="Times New Roman"/>
                <w:sz w:val="24"/>
                <w:szCs w:val="24"/>
              </w:rPr>
            </w:pPr>
          </w:p>
        </w:tc>
        <w:tc>
          <w:tcPr>
            <w:tcW w:w="4801" w:type="pct"/>
          </w:tcPr>
          <w:p w:rsidR="00F46242" w:rsidRPr="00F46242" w:rsidRDefault="00F46242" w:rsidP="00F46242">
            <w:pPr>
              <w:contextualSpacing/>
              <w:jc w:val="both"/>
              <w:rPr>
                <w:rFonts w:ascii="Times New Roman" w:eastAsia="Calibri" w:hAnsi="Times New Roman"/>
                <w:sz w:val="24"/>
                <w:szCs w:val="24"/>
              </w:rPr>
            </w:pPr>
            <w:r w:rsidRPr="00F46242">
              <w:rPr>
                <w:rFonts w:ascii="Times New Roman" w:eastAsia="Calibri" w:hAnsi="Times New Roman"/>
                <w:sz w:val="24"/>
                <w:szCs w:val="24"/>
              </w:rPr>
              <w:t>Лаврушин О.И. Большая банковская энциклопедия / О.И. Лаврушин.– М.: NOTA BENE, 2010. -  217 с.</w:t>
            </w:r>
          </w:p>
        </w:tc>
      </w:tr>
      <w:tr w:rsidR="00F46242" w:rsidRPr="00F46242" w:rsidTr="002D53BD">
        <w:trPr>
          <w:jc w:val="center"/>
        </w:trPr>
        <w:tc>
          <w:tcPr>
            <w:tcW w:w="199" w:type="pct"/>
          </w:tcPr>
          <w:p w:rsidR="00F46242" w:rsidRPr="00F46242" w:rsidRDefault="00F46242" w:rsidP="00F46242">
            <w:pPr>
              <w:widowControl w:val="0"/>
              <w:numPr>
                <w:ilvl w:val="0"/>
                <w:numId w:val="1"/>
              </w:numPr>
              <w:contextualSpacing/>
              <w:jc w:val="both"/>
              <w:rPr>
                <w:rFonts w:ascii="Times New Roman" w:eastAsia="Calibri" w:hAnsi="Times New Roman"/>
                <w:sz w:val="24"/>
                <w:szCs w:val="24"/>
              </w:rPr>
            </w:pPr>
          </w:p>
        </w:tc>
        <w:tc>
          <w:tcPr>
            <w:tcW w:w="4801" w:type="pct"/>
          </w:tcPr>
          <w:p w:rsidR="00F46242" w:rsidRPr="00F46242" w:rsidRDefault="00F46242" w:rsidP="00F46242">
            <w:pPr>
              <w:contextualSpacing/>
              <w:jc w:val="both"/>
              <w:rPr>
                <w:rFonts w:ascii="Times New Roman" w:eastAsia="Calibri" w:hAnsi="Times New Roman"/>
                <w:sz w:val="24"/>
                <w:szCs w:val="24"/>
              </w:rPr>
            </w:pPr>
            <w:r w:rsidRPr="00F46242">
              <w:rPr>
                <w:rFonts w:ascii="Times New Roman" w:eastAsia="Calibri" w:hAnsi="Times New Roman"/>
                <w:sz w:val="24"/>
                <w:szCs w:val="24"/>
              </w:rPr>
              <w:t>Долан Дж., Линдей Д. Рынок: микроэкономическая модель / Дж. Долан [и др.]. - СПб., 2012. -  132 с.</w:t>
            </w:r>
          </w:p>
        </w:tc>
      </w:tr>
      <w:tr w:rsidR="00F46242" w:rsidRPr="00F46242" w:rsidTr="002D53BD">
        <w:trPr>
          <w:jc w:val="center"/>
        </w:trPr>
        <w:tc>
          <w:tcPr>
            <w:tcW w:w="199" w:type="pct"/>
          </w:tcPr>
          <w:p w:rsidR="00F46242" w:rsidRPr="00F46242" w:rsidRDefault="00F46242" w:rsidP="00F46242">
            <w:pPr>
              <w:widowControl w:val="0"/>
              <w:numPr>
                <w:ilvl w:val="0"/>
                <w:numId w:val="1"/>
              </w:numPr>
              <w:contextualSpacing/>
              <w:jc w:val="both"/>
              <w:rPr>
                <w:rFonts w:ascii="Times New Roman" w:eastAsia="Calibri" w:hAnsi="Times New Roman"/>
                <w:sz w:val="24"/>
                <w:szCs w:val="24"/>
              </w:rPr>
            </w:pPr>
          </w:p>
        </w:tc>
        <w:tc>
          <w:tcPr>
            <w:tcW w:w="4801" w:type="pct"/>
          </w:tcPr>
          <w:p w:rsidR="00F46242" w:rsidRPr="00F46242" w:rsidRDefault="00F46242" w:rsidP="00F46242">
            <w:pPr>
              <w:contextualSpacing/>
              <w:jc w:val="both"/>
              <w:rPr>
                <w:rFonts w:ascii="Times New Roman" w:eastAsia="Calibri" w:hAnsi="Times New Roman"/>
                <w:sz w:val="24"/>
                <w:szCs w:val="24"/>
              </w:rPr>
            </w:pPr>
            <w:r w:rsidRPr="00F46242">
              <w:rPr>
                <w:rFonts w:ascii="Times New Roman" w:eastAsia="Calibri" w:hAnsi="Times New Roman"/>
                <w:sz w:val="24"/>
                <w:szCs w:val="24"/>
              </w:rPr>
              <w:t>Макконнелл К., Брю С. Экономикс: принципы, проблемы и политика / К. Макконнелл и др. – М.: Инфра, 2011 – 984 с.</w:t>
            </w:r>
          </w:p>
        </w:tc>
      </w:tr>
      <w:tr w:rsidR="00F46242" w:rsidRPr="00F46242" w:rsidTr="002D53BD">
        <w:trPr>
          <w:jc w:val="center"/>
        </w:trPr>
        <w:tc>
          <w:tcPr>
            <w:tcW w:w="199" w:type="pct"/>
          </w:tcPr>
          <w:p w:rsidR="00F46242" w:rsidRPr="00F46242" w:rsidRDefault="00F46242" w:rsidP="00F46242">
            <w:pPr>
              <w:widowControl w:val="0"/>
              <w:numPr>
                <w:ilvl w:val="0"/>
                <w:numId w:val="1"/>
              </w:numPr>
              <w:contextualSpacing/>
              <w:jc w:val="both"/>
              <w:rPr>
                <w:rFonts w:ascii="Times New Roman" w:eastAsia="Calibri" w:hAnsi="Times New Roman"/>
                <w:sz w:val="24"/>
                <w:szCs w:val="24"/>
              </w:rPr>
            </w:pPr>
          </w:p>
        </w:tc>
        <w:tc>
          <w:tcPr>
            <w:tcW w:w="4801" w:type="pct"/>
          </w:tcPr>
          <w:p w:rsidR="00F46242" w:rsidRPr="00F46242" w:rsidRDefault="00F46242" w:rsidP="00F46242">
            <w:pPr>
              <w:contextualSpacing/>
              <w:jc w:val="both"/>
              <w:rPr>
                <w:rFonts w:ascii="Times New Roman" w:eastAsia="Calibri" w:hAnsi="Times New Roman"/>
                <w:sz w:val="24"/>
                <w:szCs w:val="24"/>
              </w:rPr>
            </w:pPr>
            <w:r w:rsidRPr="00F46242">
              <w:rPr>
                <w:rFonts w:ascii="Times New Roman" w:eastAsia="Calibri" w:hAnsi="Times New Roman"/>
                <w:sz w:val="24"/>
                <w:szCs w:val="24"/>
              </w:rPr>
              <w:t>Уильям Ф. Шарп, Гордон Дж. Александер, Джеффри В. Бэйли Инвестиции / Ф.Уильям [и др.]. - М.: Инфра, 2011 – 1035 с.</w:t>
            </w:r>
          </w:p>
        </w:tc>
      </w:tr>
      <w:tr w:rsidR="00F46242" w:rsidRPr="00F46242" w:rsidTr="002D53BD">
        <w:trPr>
          <w:jc w:val="center"/>
        </w:trPr>
        <w:tc>
          <w:tcPr>
            <w:tcW w:w="199" w:type="pct"/>
          </w:tcPr>
          <w:p w:rsidR="00F46242" w:rsidRPr="00F46242" w:rsidRDefault="00F46242" w:rsidP="00F46242">
            <w:pPr>
              <w:widowControl w:val="0"/>
              <w:numPr>
                <w:ilvl w:val="0"/>
                <w:numId w:val="1"/>
              </w:numPr>
              <w:contextualSpacing/>
              <w:jc w:val="both"/>
              <w:rPr>
                <w:rFonts w:ascii="Times New Roman" w:eastAsia="Calibri" w:hAnsi="Times New Roman"/>
                <w:sz w:val="24"/>
                <w:szCs w:val="24"/>
              </w:rPr>
            </w:pPr>
          </w:p>
        </w:tc>
        <w:tc>
          <w:tcPr>
            <w:tcW w:w="4801" w:type="pct"/>
          </w:tcPr>
          <w:p w:rsidR="00F46242" w:rsidRPr="00F46242" w:rsidRDefault="00F46242" w:rsidP="00F46242">
            <w:pPr>
              <w:contextualSpacing/>
              <w:jc w:val="both"/>
              <w:rPr>
                <w:rFonts w:ascii="Times New Roman" w:eastAsia="Calibri" w:hAnsi="Times New Roman"/>
                <w:sz w:val="24"/>
                <w:szCs w:val="24"/>
              </w:rPr>
            </w:pPr>
            <w:r w:rsidRPr="00F46242">
              <w:rPr>
                <w:rFonts w:ascii="Times New Roman" w:eastAsia="Calibri" w:hAnsi="Times New Roman"/>
                <w:sz w:val="24"/>
                <w:szCs w:val="24"/>
              </w:rPr>
              <w:t>Водянов А.И. Инвестиционная политика: каким методам госрегулирования отдать предпочтение? // Эк. журн. - 2011. - № 11/12. - С. 3-10.</w:t>
            </w:r>
          </w:p>
        </w:tc>
      </w:tr>
      <w:tr w:rsidR="00F46242" w:rsidRPr="00F46242" w:rsidTr="002D53BD">
        <w:trPr>
          <w:jc w:val="center"/>
        </w:trPr>
        <w:tc>
          <w:tcPr>
            <w:tcW w:w="199" w:type="pct"/>
          </w:tcPr>
          <w:p w:rsidR="00F46242" w:rsidRPr="00F46242" w:rsidRDefault="00F46242" w:rsidP="00F46242">
            <w:pPr>
              <w:widowControl w:val="0"/>
              <w:numPr>
                <w:ilvl w:val="0"/>
                <w:numId w:val="1"/>
              </w:numPr>
              <w:contextualSpacing/>
              <w:jc w:val="both"/>
              <w:rPr>
                <w:rFonts w:ascii="Times New Roman" w:eastAsia="Calibri" w:hAnsi="Times New Roman"/>
                <w:sz w:val="24"/>
                <w:szCs w:val="24"/>
              </w:rPr>
            </w:pPr>
          </w:p>
        </w:tc>
        <w:tc>
          <w:tcPr>
            <w:tcW w:w="4801" w:type="pct"/>
          </w:tcPr>
          <w:p w:rsidR="00F46242" w:rsidRPr="00F46242" w:rsidRDefault="00F46242" w:rsidP="00F46242">
            <w:pPr>
              <w:contextualSpacing/>
              <w:jc w:val="both"/>
              <w:rPr>
                <w:rFonts w:ascii="Times New Roman" w:eastAsia="Calibri" w:hAnsi="Times New Roman"/>
                <w:sz w:val="24"/>
                <w:szCs w:val="24"/>
              </w:rPr>
            </w:pPr>
            <w:r w:rsidRPr="00F46242">
              <w:rPr>
                <w:rFonts w:ascii="Times New Roman" w:eastAsia="Calibri" w:hAnsi="Times New Roman"/>
                <w:sz w:val="24"/>
                <w:szCs w:val="24"/>
              </w:rPr>
              <w:t xml:space="preserve">Программа восстановления и развития экономики и социальной сферы ДНР на 2017 год. - [электронный ресурс]. - режим доступа: </w:t>
            </w:r>
            <w:hyperlink r:id="rId5" w:history="1">
              <w:r w:rsidRPr="00F46242">
                <w:rPr>
                  <w:rFonts w:ascii="Times New Roman" w:eastAsia="Calibri" w:hAnsi="Times New Roman"/>
                  <w:sz w:val="24"/>
                  <w:szCs w:val="24"/>
                  <w:u w:val="single"/>
                </w:rPr>
                <w:t>http://mer.govdnr.ru/index.php?option=com_content&amp;</w:t>
              </w:r>
            </w:hyperlink>
            <w:r w:rsidRPr="00F46242">
              <w:rPr>
                <w:rFonts w:ascii="Times New Roman" w:eastAsia="Calibri" w:hAnsi="Times New Roman"/>
                <w:sz w:val="24"/>
                <w:szCs w:val="24"/>
                <w:u w:val="single"/>
              </w:rPr>
              <w:t xml:space="preserve"> view=article&amp;id=1122:anonszhashita3&amp;catid=9&amp;Itemid=155</w:t>
            </w:r>
          </w:p>
        </w:tc>
      </w:tr>
    </w:tbl>
    <w:p w:rsidR="00410842" w:rsidRDefault="00410842">
      <w:bookmarkStart w:id="3" w:name="_GoBack"/>
      <w:bookmarkEnd w:id="3"/>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F459C"/>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42"/>
    <w:rsid w:val="00410842"/>
    <w:rsid w:val="00F46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9C327-3199-4070-86FC-7D225BB7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624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r.govdnr.ru/index.php?option=com_content&am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2374</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2018-09-22T07:10:00Z</dcterms:created>
  <dcterms:modified xsi:type="dcterms:W3CDTF">2018-09-22T07:10:00Z</dcterms:modified>
</cp:coreProperties>
</file>