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491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5081"/>
      </w:tblGrid>
      <w:tr w:rsidR="00753471" w:rsidRPr="00753471" w:rsidTr="002D53BD">
        <w:trPr>
          <w:jc w:val="center"/>
        </w:trPr>
        <w:tc>
          <w:tcPr>
            <w:tcW w:w="4303" w:type="dxa"/>
          </w:tcPr>
          <w:p w:rsidR="00753471" w:rsidRPr="00753471" w:rsidRDefault="00753471" w:rsidP="00753471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53471">
              <w:rPr>
                <w:rFonts w:ascii="Times New Roman" w:hAnsi="Times New Roman"/>
                <w:b/>
                <w:sz w:val="28"/>
                <w:szCs w:val="28"/>
              </w:rPr>
              <w:t>УДК 614.7</w:t>
            </w:r>
          </w:p>
        </w:tc>
        <w:tc>
          <w:tcPr>
            <w:tcW w:w="5268" w:type="dxa"/>
            <w:tcMar>
              <w:left w:w="0" w:type="dxa"/>
              <w:right w:w="0" w:type="dxa"/>
            </w:tcMar>
          </w:tcPr>
          <w:p w:rsidR="00753471" w:rsidRPr="00753471" w:rsidRDefault="00753471" w:rsidP="00753471">
            <w:pPr>
              <w:widowControl w:val="0"/>
              <w:shd w:val="clear" w:color="auto" w:fill="FFFFFF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753471" w:rsidRPr="00753471" w:rsidTr="002D53BD">
        <w:trPr>
          <w:jc w:val="center"/>
        </w:trPr>
        <w:tc>
          <w:tcPr>
            <w:tcW w:w="4303" w:type="dxa"/>
          </w:tcPr>
          <w:p w:rsidR="00753471" w:rsidRPr="00753471" w:rsidRDefault="00753471" w:rsidP="00753471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268" w:type="dxa"/>
            <w:tcMar>
              <w:left w:w="0" w:type="dxa"/>
              <w:right w:w="0" w:type="dxa"/>
            </w:tcMar>
          </w:tcPr>
          <w:p w:rsidR="00753471" w:rsidRPr="00753471" w:rsidRDefault="00753471" w:rsidP="00753471">
            <w:pPr>
              <w:rPr>
                <w:rFonts w:ascii="Times New Roman" w:hAnsi="Times New Roman"/>
                <w:i/>
                <w:sz w:val="28"/>
                <w:szCs w:val="28"/>
              </w:rPr>
            </w:pPr>
            <w:bookmarkStart w:id="0" w:name="_Toc518846499"/>
            <w:r w:rsidRPr="00753471">
              <w:rPr>
                <w:rFonts w:ascii="Times New Roman" w:hAnsi="Times New Roman"/>
                <w:b/>
                <w:bCs/>
                <w:sz w:val="28"/>
                <w:szCs w:val="28"/>
              </w:rPr>
              <w:t>Н.В. Романюк,</w:t>
            </w:r>
            <w:bookmarkEnd w:id="0"/>
            <w:r w:rsidRPr="00753471">
              <w:rPr>
                <w:rFonts w:ascii="Times New Roman" w:hAnsi="Times New Roman"/>
                <w:i/>
                <w:sz w:val="28"/>
                <w:szCs w:val="28"/>
              </w:rPr>
              <w:t xml:space="preserve"> к.э.н., доц.,</w:t>
            </w:r>
          </w:p>
          <w:p w:rsidR="00753471" w:rsidRPr="00753471" w:rsidRDefault="00753471" w:rsidP="00753471">
            <w:pPr>
              <w:contextualSpacing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753471">
              <w:rPr>
                <w:rFonts w:ascii="Times New Roman" w:eastAsia="Calibri" w:hAnsi="Times New Roman"/>
                <w:i/>
                <w:sz w:val="28"/>
                <w:szCs w:val="28"/>
              </w:rPr>
              <w:t>ГОУВПО «Донецкий национальный технический университет»</w:t>
            </w:r>
          </w:p>
          <w:p w:rsidR="00753471" w:rsidRPr="00753471" w:rsidRDefault="00753471" w:rsidP="00753471">
            <w:pPr>
              <w:numPr>
                <w:ilvl w:val="1"/>
                <w:numId w:val="0"/>
              </w:numPr>
              <w:tabs>
                <w:tab w:val="left" w:pos="709"/>
              </w:tabs>
              <w:suppressAutoHyphens/>
              <w:ind w:firstLine="709"/>
              <w:outlineLvl w:val="1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bookmarkStart w:id="1" w:name="_Toc518846500"/>
            <w:r w:rsidRPr="00753471">
              <w:rPr>
                <w:rFonts w:ascii="Times New Roman" w:hAnsi="Times New Roman"/>
                <w:b/>
                <w:bCs/>
                <w:sz w:val="28"/>
                <w:szCs w:val="28"/>
              </w:rPr>
              <w:t>Н. Е. Скворцова, В.А.  Лянник</w:t>
            </w:r>
            <w:bookmarkEnd w:id="1"/>
            <w:r w:rsidRPr="0075347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:rsidR="00753471" w:rsidRPr="00753471" w:rsidRDefault="00753471" w:rsidP="00753471">
            <w:pPr>
              <w:contextualSpacing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753471">
              <w:rPr>
                <w:rFonts w:ascii="Times New Roman" w:eastAsia="Calibri" w:hAnsi="Times New Roman"/>
                <w:i/>
                <w:sz w:val="28"/>
                <w:szCs w:val="28"/>
              </w:rPr>
              <w:t>Министерство здравоохранения Донецкой Народной Республики</w:t>
            </w:r>
          </w:p>
          <w:p w:rsidR="00753471" w:rsidRPr="00753471" w:rsidRDefault="00753471" w:rsidP="00753471">
            <w:pPr>
              <w:jc w:val="both"/>
              <w:rPr>
                <w:rFonts w:ascii="Times New Roman" w:hAnsi="Times New Roman"/>
                <w:i/>
                <w:sz w:val="28"/>
                <w:szCs w:val="24"/>
              </w:rPr>
            </w:pPr>
            <w:r w:rsidRPr="00753471">
              <w:rPr>
                <w:rFonts w:ascii="Times New Roman" w:hAnsi="Times New Roman"/>
                <w:i/>
                <w:sz w:val="28"/>
                <w:szCs w:val="28"/>
              </w:rPr>
              <w:t>Донецк, Донецкая Народная Республика</w:t>
            </w:r>
          </w:p>
          <w:p w:rsidR="00753471" w:rsidRPr="00753471" w:rsidRDefault="00753471" w:rsidP="00753471">
            <w:pPr>
              <w:contextualSpacing/>
              <w:rPr>
                <w:rFonts w:ascii="Times New Roman" w:eastAsia="Calibri" w:hAnsi="Times New Roman"/>
                <w:b/>
                <w:i/>
                <w:sz w:val="28"/>
                <w:szCs w:val="28"/>
              </w:rPr>
            </w:pPr>
            <w:r w:rsidRPr="00753471">
              <w:rPr>
                <w:rFonts w:ascii="Times New Roman" w:eastAsia="Calibri" w:hAnsi="Times New Roman"/>
                <w:b/>
                <w:i/>
                <w:sz w:val="28"/>
                <w:szCs w:val="28"/>
                <w:lang w:val="en-US"/>
              </w:rPr>
              <w:t>N</w:t>
            </w:r>
            <w:r w:rsidRPr="00753471">
              <w:rPr>
                <w:rFonts w:ascii="Times New Roman" w:eastAsia="Calibri" w:hAnsi="Times New Roman"/>
                <w:b/>
                <w:i/>
                <w:sz w:val="28"/>
                <w:szCs w:val="28"/>
              </w:rPr>
              <w:t>.</w:t>
            </w:r>
            <w:r w:rsidRPr="00753471">
              <w:rPr>
                <w:rFonts w:ascii="Times New Roman" w:eastAsia="Calibri" w:hAnsi="Times New Roman"/>
                <w:b/>
                <w:i/>
                <w:sz w:val="28"/>
                <w:szCs w:val="28"/>
                <w:lang w:val="en-US"/>
              </w:rPr>
              <w:t>V</w:t>
            </w:r>
            <w:r w:rsidRPr="00753471">
              <w:rPr>
                <w:rFonts w:ascii="Times New Roman" w:eastAsia="Calibri" w:hAnsi="Times New Roman"/>
                <w:b/>
                <w:i/>
                <w:sz w:val="28"/>
                <w:szCs w:val="28"/>
              </w:rPr>
              <w:t xml:space="preserve">. </w:t>
            </w:r>
            <w:r w:rsidRPr="00753471">
              <w:rPr>
                <w:rFonts w:ascii="Times New Roman" w:eastAsia="Calibri" w:hAnsi="Times New Roman"/>
                <w:b/>
                <w:i/>
                <w:sz w:val="28"/>
                <w:szCs w:val="28"/>
                <w:lang w:val="en-US"/>
              </w:rPr>
              <w:t>Romanyuk</w:t>
            </w:r>
          </w:p>
          <w:p w:rsidR="00753471" w:rsidRPr="00753471" w:rsidRDefault="00753471" w:rsidP="00753471">
            <w:pPr>
              <w:contextualSpacing/>
              <w:rPr>
                <w:rFonts w:ascii="Times New Roman" w:eastAsia="Calibri" w:hAnsi="Times New Roman"/>
                <w:i/>
                <w:sz w:val="28"/>
                <w:szCs w:val="28"/>
                <w:lang w:val="en-US"/>
              </w:rPr>
            </w:pPr>
            <w:r w:rsidRPr="00753471">
              <w:rPr>
                <w:rFonts w:ascii="Times New Roman" w:eastAsia="Calibri" w:hAnsi="Times New Roman"/>
                <w:i/>
                <w:sz w:val="28"/>
                <w:szCs w:val="28"/>
              </w:rPr>
              <w:t>С</w:t>
            </w:r>
            <w:r w:rsidRPr="00753471">
              <w:rPr>
                <w:rFonts w:ascii="Times New Roman" w:eastAsia="Calibri" w:hAnsi="Times New Roman"/>
                <w:i/>
                <w:sz w:val="28"/>
                <w:szCs w:val="28"/>
                <w:lang w:val="en-US"/>
              </w:rPr>
              <w:t xml:space="preserve">andidate of economic sciences, associate professor </w:t>
            </w:r>
          </w:p>
          <w:p w:rsidR="00753471" w:rsidRPr="00753471" w:rsidRDefault="00753471" w:rsidP="00753471">
            <w:pPr>
              <w:contextualSpacing/>
              <w:rPr>
                <w:rFonts w:ascii="Times New Roman" w:eastAsia="Calibri" w:hAnsi="Times New Roman"/>
                <w:i/>
                <w:sz w:val="28"/>
                <w:szCs w:val="28"/>
                <w:lang w:val="en-US"/>
              </w:rPr>
            </w:pPr>
            <w:r w:rsidRPr="00753471">
              <w:rPr>
                <w:rFonts w:ascii="Times New Roman" w:eastAsia="Calibri" w:hAnsi="Times New Roman"/>
                <w:i/>
                <w:sz w:val="28"/>
                <w:szCs w:val="28"/>
                <w:lang w:val="en-US"/>
              </w:rPr>
              <w:t>Donetsk National Technical University</w:t>
            </w:r>
          </w:p>
          <w:p w:rsidR="00753471" w:rsidRPr="00753471" w:rsidRDefault="00753471" w:rsidP="00753471">
            <w:pPr>
              <w:contextualSpacing/>
              <w:rPr>
                <w:rFonts w:ascii="Times New Roman" w:eastAsia="Calibri" w:hAnsi="Times New Roman"/>
                <w:b/>
                <w:i/>
                <w:sz w:val="28"/>
                <w:szCs w:val="28"/>
                <w:lang w:val="en-US"/>
              </w:rPr>
            </w:pPr>
            <w:r w:rsidRPr="00753471">
              <w:rPr>
                <w:rFonts w:ascii="Times New Roman" w:eastAsia="Calibri" w:hAnsi="Times New Roman"/>
                <w:b/>
                <w:i/>
                <w:sz w:val="28"/>
                <w:szCs w:val="28"/>
                <w:lang w:val="en-US"/>
              </w:rPr>
              <w:t xml:space="preserve">N.E. Skvortsova,V.A. Lyannik </w:t>
            </w:r>
          </w:p>
          <w:p w:rsidR="00753471" w:rsidRPr="00753471" w:rsidRDefault="00753471" w:rsidP="00753471">
            <w:pPr>
              <w:contextualSpacing/>
              <w:rPr>
                <w:rFonts w:ascii="Times New Roman" w:eastAsia="Calibri" w:hAnsi="Times New Roman"/>
                <w:i/>
                <w:sz w:val="28"/>
                <w:szCs w:val="28"/>
                <w:lang w:val="en-US"/>
              </w:rPr>
            </w:pPr>
            <w:r w:rsidRPr="00753471">
              <w:rPr>
                <w:rFonts w:ascii="Times New Roman" w:eastAsia="Calibri" w:hAnsi="Times New Roman"/>
                <w:i/>
                <w:sz w:val="28"/>
                <w:szCs w:val="28"/>
                <w:lang w:val="en-US"/>
              </w:rPr>
              <w:t>Ministry of health of Donetsk People's Republic</w:t>
            </w:r>
          </w:p>
          <w:p w:rsidR="00753471" w:rsidRPr="00753471" w:rsidRDefault="00753471" w:rsidP="00753471">
            <w:pPr>
              <w:contextualSpacing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  <w:r w:rsidRPr="00753471">
              <w:rPr>
                <w:rFonts w:ascii="Times New Roman" w:eastAsia="Calibri" w:hAnsi="Times New Roman"/>
                <w:i/>
                <w:sz w:val="28"/>
                <w:szCs w:val="28"/>
                <w:lang w:val="en-US"/>
              </w:rPr>
              <w:t>Donetsk</w:t>
            </w:r>
            <w:r w:rsidRPr="00753471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, </w:t>
            </w:r>
            <w:r w:rsidRPr="00753471">
              <w:rPr>
                <w:rFonts w:ascii="Times New Roman" w:eastAsia="Calibri" w:hAnsi="Times New Roman"/>
                <w:i/>
                <w:sz w:val="28"/>
                <w:szCs w:val="28"/>
                <w:lang w:val="en-US"/>
              </w:rPr>
              <w:t xml:space="preserve"> Donetsk People's Republic</w:t>
            </w:r>
          </w:p>
        </w:tc>
      </w:tr>
      <w:tr w:rsidR="00753471" w:rsidRPr="00753471" w:rsidTr="002D53BD">
        <w:trPr>
          <w:jc w:val="center"/>
        </w:trPr>
        <w:tc>
          <w:tcPr>
            <w:tcW w:w="4303" w:type="dxa"/>
          </w:tcPr>
          <w:p w:rsidR="00753471" w:rsidRPr="00753471" w:rsidRDefault="00753471" w:rsidP="00753471">
            <w:pPr>
              <w:keepNext/>
              <w:keepLines/>
              <w:ind w:hanging="28"/>
              <w:jc w:val="center"/>
              <w:outlineLvl w:val="0"/>
              <w:rPr>
                <w:rFonts w:ascii="Times New Roman" w:hAnsi="Times New Roman"/>
                <w:b/>
                <w:bCs/>
                <w:caps/>
                <w:sz w:val="28"/>
                <w:szCs w:val="28"/>
                <w:shd w:val="clear" w:color="auto" w:fill="FFFFFF"/>
                <w:lang w:val="en-US"/>
              </w:rPr>
            </w:pPr>
          </w:p>
        </w:tc>
        <w:tc>
          <w:tcPr>
            <w:tcW w:w="5268" w:type="dxa"/>
          </w:tcPr>
          <w:p w:rsidR="00753471" w:rsidRPr="00753471" w:rsidRDefault="00753471" w:rsidP="00753471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53471" w:rsidRPr="00753471" w:rsidTr="002D53BD">
        <w:trPr>
          <w:jc w:val="center"/>
        </w:trPr>
        <w:tc>
          <w:tcPr>
            <w:tcW w:w="9571" w:type="dxa"/>
            <w:gridSpan w:val="2"/>
          </w:tcPr>
          <w:p w:rsidR="00753471" w:rsidRPr="00753471" w:rsidRDefault="00753471" w:rsidP="00753471">
            <w:pPr>
              <w:keepNext/>
              <w:keepLines/>
              <w:ind w:hanging="28"/>
              <w:jc w:val="center"/>
              <w:outlineLvl w:val="0"/>
              <w:rPr>
                <w:rFonts w:ascii="Times New Roman" w:hAnsi="Times New Roman"/>
                <w:b/>
                <w:bCs/>
                <w:caps/>
                <w:sz w:val="28"/>
                <w:szCs w:val="28"/>
                <w:shd w:val="clear" w:color="auto" w:fill="FFFFFF"/>
              </w:rPr>
            </w:pPr>
            <w:r w:rsidRPr="00753471">
              <w:rPr>
                <w:rFonts w:ascii="Times New Roman" w:hAnsi="Times New Roman"/>
                <w:b/>
                <w:bCs/>
                <w:caps/>
                <w:sz w:val="28"/>
                <w:szCs w:val="28"/>
                <w:shd w:val="clear" w:color="auto" w:fill="FFFFFF"/>
              </w:rPr>
              <w:t xml:space="preserve">  </w:t>
            </w:r>
            <w:bookmarkStart w:id="2" w:name="_Toc518846501"/>
            <w:r w:rsidRPr="00753471">
              <w:rPr>
                <w:rFonts w:ascii="Times New Roman" w:hAnsi="Times New Roman"/>
                <w:b/>
                <w:bCs/>
                <w:caps/>
                <w:sz w:val="28"/>
                <w:szCs w:val="28"/>
                <w:shd w:val="clear" w:color="auto" w:fill="FFFFFF"/>
              </w:rPr>
              <w:t>ПОКАЗАТЕЛЬ МЛАДЕНЧЕСКОЙ СМЕРТНОСТИ КАК  ИНДИКАТОР УСТОЙЧИВОСТИ РАЗВИТИЯ ЗДРАВООХРАНЕНИЯ, ПРОБЛЕМЫ И ВОЗМОЖНЫЕ МЕХАНИЗМЫ ЕГО СНИЖЕНИЯ: МЕЖОТРАСЛЕВОЙ ПОДХОД</w:t>
            </w:r>
            <w:bookmarkEnd w:id="2"/>
          </w:p>
        </w:tc>
      </w:tr>
      <w:tr w:rsidR="00753471" w:rsidRPr="00753471" w:rsidTr="002D53BD">
        <w:trPr>
          <w:jc w:val="center"/>
        </w:trPr>
        <w:tc>
          <w:tcPr>
            <w:tcW w:w="9571" w:type="dxa"/>
            <w:gridSpan w:val="2"/>
          </w:tcPr>
          <w:p w:rsidR="00753471" w:rsidRPr="00753471" w:rsidRDefault="00753471" w:rsidP="007534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471" w:rsidRPr="00753471" w:rsidTr="002D53BD">
        <w:trPr>
          <w:jc w:val="center"/>
        </w:trPr>
        <w:tc>
          <w:tcPr>
            <w:tcW w:w="9571" w:type="dxa"/>
            <w:gridSpan w:val="2"/>
          </w:tcPr>
          <w:p w:rsidR="00753471" w:rsidRPr="00753471" w:rsidRDefault="00753471" w:rsidP="00753471">
            <w:pPr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75347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INDICATOR OF INFLAMMATORY MORTALITY AS INDICATOR OF SUSTAINABILITY OF HEALTH CARE DEVELOPMENT, PROBLEMS AND POSSIBLE MECHANISMS OF ITS REDUCTION: INTER-BRANCH APPROACH</w:t>
            </w:r>
          </w:p>
        </w:tc>
      </w:tr>
    </w:tbl>
    <w:p w:rsidR="00753471" w:rsidRPr="00753471" w:rsidRDefault="00753471" w:rsidP="007534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</w:pPr>
    </w:p>
    <w:p w:rsidR="00753471" w:rsidRPr="00753471" w:rsidRDefault="00753471" w:rsidP="007534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534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Аннотация. Проведен статистический анализ динамики показателя младенческой смертности в Донецкой Народной Республике в 2014-2016 гг. и приведены возможные механизмы государственного регулирования с целью его снижения с учетом межотраслевого подхода.</w:t>
      </w:r>
    </w:p>
    <w:p w:rsidR="00753471" w:rsidRPr="00753471" w:rsidRDefault="00753471" w:rsidP="007534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534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Ключевые слова: младенческая смертность, статистический анализ, показатель, государственное регулирование, здравоохранение.</w:t>
      </w:r>
    </w:p>
    <w:p w:rsidR="00753471" w:rsidRPr="00753471" w:rsidRDefault="00753471" w:rsidP="007534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53471" w:rsidRPr="00753471" w:rsidRDefault="00753471" w:rsidP="007534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r w:rsidRPr="00753471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Abstract. A statistical analysis of the dynamics of the infant mortality rate in the Donetsk People's Republic in 2014-2016 is carried out. and the possible mechanisms of state regulation are given with a view to reducing it, taking into account the intersectoral approach.</w:t>
      </w:r>
    </w:p>
    <w:p w:rsidR="00753471" w:rsidRPr="00753471" w:rsidRDefault="00753471" w:rsidP="007534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r w:rsidRPr="00753471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Keywords: infant mortality, statistical analysis, indicator, state regulation, health.</w:t>
      </w:r>
    </w:p>
    <w:p w:rsidR="00753471" w:rsidRPr="00753471" w:rsidRDefault="00753471" w:rsidP="007534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</w:pPr>
    </w:p>
    <w:p w:rsidR="00753471" w:rsidRPr="00753471" w:rsidRDefault="00753471" w:rsidP="0075347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4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Актуальность</w:t>
      </w:r>
      <w:r w:rsidRPr="00753471">
        <w:rPr>
          <w:rFonts w:ascii="Times New Roman" w:eastAsia="Times New Roman" w:hAnsi="Times New Roman" w:cs="Times New Roman"/>
          <w:sz w:val="28"/>
          <w:szCs w:val="28"/>
          <w:lang w:eastAsia="ru-RU"/>
        </w:rPr>
        <w:t>. Среди главных проблем, определяющих национальную безопасность государства, особое внимание уделяется охране здоровья детского населения, поскольку затрагивает будущее страны, ее социально-экономическое развитие. Младенческая смертность является одной из важнейших медико-социальных характеристик общества, отражающих влияние комплекса неблагоприятных факторов на здоровье населения.</w:t>
      </w:r>
    </w:p>
    <w:p w:rsidR="00753471" w:rsidRPr="00753471" w:rsidRDefault="00753471" w:rsidP="007534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4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Показатель младенческой смертности является одним из базовых статистических показателей демографии и главным показателем качества оказания медицинской помощи. </w:t>
      </w:r>
    </w:p>
    <w:p w:rsidR="00753471" w:rsidRPr="00753471" w:rsidRDefault="00753471" w:rsidP="007534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471">
        <w:rPr>
          <w:rFonts w:ascii="Times New Roman" w:eastAsia="Times New Roman" w:hAnsi="Times New Roman" w:cs="Times New Roman"/>
          <w:sz w:val="28"/>
          <w:szCs w:val="28"/>
          <w:lang w:eastAsia="ru-RU"/>
        </w:rPr>
        <w:t>Младенческая смертность – один из возрастных показателей смертности, который характеризует частоту смерти детей на 1-м году жизни. На этот показатель влияют различные факторы социального, экономического, экологического, биологического характера. Показатель младенческой смертности является неизменным индикатором уровня жизни населения, наиболее значимым показателем состояния здоровья и выживаемости новорожденных детей, а также характеризует своевременность и доступность медицинской помощи новорожденным, эффективность профилактических и санитарно-противоэпидемических мероприятий. Низкая младенческая смертность, эффективно проводимые мероприятия государственных структур, направленных на ее снижение – показатель развития страны, реагирующий на изменения в экономической политике, на характер распределения материальных благ, на уровень социального и культурного развития общества, социальной защищенности населения, в конце концов, на уровень ее демократических преобразований.</w:t>
      </w:r>
    </w:p>
    <w:p w:rsidR="00753471" w:rsidRPr="00753471" w:rsidRDefault="00753471" w:rsidP="007534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4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исследования</w:t>
      </w:r>
      <w:r w:rsidRPr="00753471">
        <w:rPr>
          <w:rFonts w:ascii="Times New Roman" w:eastAsia="Times New Roman" w:hAnsi="Times New Roman" w:cs="Times New Roman"/>
          <w:sz w:val="28"/>
          <w:szCs w:val="28"/>
          <w:lang w:eastAsia="ru-RU"/>
        </w:rPr>
        <w:t>: анализ показателя младенческой смертности, его структуры, и разработка комплекса мер, направленных на совершенствование медицинского обеспечения детей первого года жизни.</w:t>
      </w:r>
    </w:p>
    <w:p w:rsidR="00753471" w:rsidRPr="00753471" w:rsidRDefault="00753471" w:rsidP="007534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4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Основные результаты исследования. </w:t>
      </w:r>
      <w:r w:rsidRPr="00753471">
        <w:rPr>
          <w:rFonts w:ascii="Times New Roman" w:eastAsia="Times New Roman" w:hAnsi="Times New Roman" w:cs="Times New Roman"/>
          <w:sz w:val="28"/>
          <w:szCs w:val="28"/>
          <w:lang w:eastAsia="ru-RU"/>
        </w:rPr>
        <w:t>Младенческая смертность в ДНР в 2016 г. характеризуется высоким уровнем (14,6%). По сравнению с 2015 г., когда показатель младенческой смертности составил 12,3%, рост произошел на 18,7%. Важно отметить смещение возрастной структуры умерших от первых дней жизни к старшим возрастам. Последний фактор может привести к изменению типа младенческой смертности с А на В, при котором более 50% младенцев умирают в возрасте старше 1 месяца, что характерно для развивающихся стран.</w:t>
      </w:r>
    </w:p>
    <w:p w:rsidR="00753471" w:rsidRPr="00753471" w:rsidRDefault="00753471" w:rsidP="007534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471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Динамика показателя младенческой смертности в Донецкой Народной Республике в 2014-2016 гг., представленная на рисунке 1, имеет четкую тенденцию к росту.</w:t>
      </w:r>
    </w:p>
    <w:p w:rsidR="00753471" w:rsidRPr="00753471" w:rsidRDefault="00753471" w:rsidP="007534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 при оценке данного показателя следует учитывать комплекс актуальных социально-экономических факторов, а также аспект нестабильности демографической ситуации в государстве, в виду чего оценку следует производить с учетом динамики младенческой смертности (рис.2) и рождаемости в абсолютных цифрах (рис.3). </w:t>
      </w:r>
    </w:p>
    <w:p w:rsidR="00753471" w:rsidRPr="00753471" w:rsidRDefault="00753471" w:rsidP="007534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3471" w:rsidRPr="00753471" w:rsidRDefault="00753471" w:rsidP="007534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5347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1B7DA3FD" wp14:editId="3E08D596">
            <wp:extent cx="5409565" cy="1828800"/>
            <wp:effectExtent l="0" t="0" r="19685" b="19050"/>
            <wp:docPr id="7" name="Диаграмма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753471" w:rsidRPr="00753471" w:rsidRDefault="00753471" w:rsidP="00753471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53471" w:rsidRPr="00753471" w:rsidRDefault="00753471" w:rsidP="007534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471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 1. Динамика показателя младенческой смертности в Донецкой Народной Республике в 2014-2016 гг.</w:t>
      </w:r>
    </w:p>
    <w:p w:rsidR="00753471" w:rsidRPr="00753471" w:rsidRDefault="00753471" w:rsidP="007534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3471" w:rsidRPr="00753471" w:rsidRDefault="00753471" w:rsidP="007534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3471" w:rsidRPr="00753471" w:rsidRDefault="00753471" w:rsidP="007534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47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3F6A991" wp14:editId="58D403DB">
            <wp:extent cx="5495925" cy="2407920"/>
            <wp:effectExtent l="0" t="0" r="9525" b="11430"/>
            <wp:docPr id="6" name="Диаграмма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753471" w:rsidRPr="00753471" w:rsidRDefault="00753471" w:rsidP="007534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471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 2. Динамика младенческой смертности в Донецкой Народной Республике в 2014-2016 годах в абсолютных числах</w:t>
      </w:r>
    </w:p>
    <w:p w:rsidR="00753471" w:rsidRPr="00753471" w:rsidRDefault="00753471" w:rsidP="007534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3471" w:rsidRPr="00753471" w:rsidRDefault="00753471" w:rsidP="007534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3471" w:rsidRPr="00753471" w:rsidRDefault="00753471" w:rsidP="007534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47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8A4BCDA" wp14:editId="42EDDE4C">
            <wp:extent cx="5495925" cy="2493645"/>
            <wp:effectExtent l="0" t="0" r="9525" b="20955"/>
            <wp:docPr id="5" name="Диаграмма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753471" w:rsidRPr="00753471" w:rsidRDefault="00753471" w:rsidP="007534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471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 3. Динамика рождаемости в Донецкой Народной Республике</w:t>
      </w:r>
    </w:p>
    <w:p w:rsidR="00753471" w:rsidRPr="00753471" w:rsidRDefault="00753471" w:rsidP="007534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2014-2016 гг. в абсолютных числах</w:t>
      </w:r>
    </w:p>
    <w:p w:rsidR="00753471" w:rsidRPr="00753471" w:rsidRDefault="00753471" w:rsidP="007534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4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Сравнительная динамика показателя младенческой смертности в разрезе регионов Донецкой Народной Республики в 2015 и 2016 гг. представлена на рисунке 4. </w:t>
      </w:r>
    </w:p>
    <w:p w:rsidR="00753471" w:rsidRPr="00753471" w:rsidRDefault="00753471" w:rsidP="0075347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3471" w:rsidRPr="00753471" w:rsidRDefault="00753471" w:rsidP="007534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47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A75E10D" wp14:editId="57478896">
            <wp:extent cx="5495925" cy="3467100"/>
            <wp:effectExtent l="0" t="0" r="0" b="0"/>
            <wp:docPr id="4" name="Диаграмма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53471" w:rsidRPr="00753471" w:rsidRDefault="00753471" w:rsidP="0075347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3471" w:rsidRPr="00753471" w:rsidRDefault="00753471" w:rsidP="007534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471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 4. Сравнительная динамика показателя младенческой смертности в разрезе регионов Донецкой Народной Республики в 2015 и 2016 гг.</w:t>
      </w:r>
    </w:p>
    <w:p w:rsidR="00753471" w:rsidRPr="00753471" w:rsidRDefault="00753471" w:rsidP="007534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</w:pPr>
    </w:p>
    <w:p w:rsidR="00753471" w:rsidRPr="00753471" w:rsidRDefault="00753471" w:rsidP="007534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471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представленной диаграммы видно, что показатель младенческой смертности в 2016 г. вырос в следующих регионах: г. Донецк с республиканскими учреждениями здравоохранения – с 17,9% до 21,9%; г. Горловка – с 8,9 % до 11,7 %; г. Енакиево – с 8,2 % до 16,1 %; г. Харцызск – с 8,7 % до 12 %; Новоазовский район – с 0 до 2 случаев – 20 %; Старобешевский район – с 9,1% до 11,5 % (рис. 4). По 1 случаю смерти детей до года зарегистрировано в г. Ждановка и г. Кировское. Не зарегистрированы случаи младенческой смертности в 2016 г. в г. Ясиноватая, г. Дебальцево и Амвросиевском районе.</w:t>
      </w:r>
    </w:p>
    <w:p w:rsidR="00753471" w:rsidRPr="00753471" w:rsidRDefault="00753471" w:rsidP="007534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младенческой смертности, выше среднереспубликанского, в 2016 г. отмечался в г. Енакиево (16,1%). </w:t>
      </w:r>
    </w:p>
    <w:p w:rsidR="00753471" w:rsidRPr="00753471" w:rsidRDefault="00753471" w:rsidP="007534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471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возрастной структуре младенческой смертности дети первого месяца жизни составили 66,9% – 101 ребенок, в 2015 г. – 69% (102 ребенка), из них:</w:t>
      </w:r>
    </w:p>
    <w:p w:rsidR="00753471" w:rsidRPr="00753471" w:rsidRDefault="00753471" w:rsidP="007534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в первые 7 суток жизни (ранний неонатальный период) – 62,3% (63 ребенка) из умерших в неонатальном периоде, в 2015 г. – 74,5% (76 детей); </w:t>
      </w:r>
    </w:p>
    <w:p w:rsidR="00753471" w:rsidRPr="00753471" w:rsidRDefault="00753471" w:rsidP="007534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от 7 до 14 дней жизни – 23,8% (24 ребенка), в 2015 г. – 16,7% (17 детей); </w:t>
      </w:r>
    </w:p>
    <w:p w:rsidR="00753471" w:rsidRPr="00753471" w:rsidRDefault="00753471" w:rsidP="007534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от 14 до 30 дней – 13,9% (14 детей), в 2015 г. – 8,8% (9 детей). </w:t>
      </w:r>
    </w:p>
    <w:p w:rsidR="00753471" w:rsidRPr="00753471" w:rsidRDefault="00753471" w:rsidP="007534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постнеонатальном периоде (от месяца жизни до года) умерло 50 детей – 33,1%, в 2015 г. – 31,1% (46 детей). Прирост числа случаев смерти в постнеонатальном периоде составил 8,7% (4 случая). Удельный вес умерших </w:t>
      </w:r>
      <w:r w:rsidRPr="007534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постнеонатальном периоде по Донецку составил 21,2%, Горловке – 60%, Енакиево – 50%, Макеевке – 41%, Снежному – 50%, Торезу – 50%, Харцызску – 57%. По 1 ребенку в постнеонатальном периоде умерло в Новоазовском и Шахтерском районах, Ждановке, Докучаевске.</w:t>
      </w:r>
    </w:p>
    <w:p w:rsidR="00753471" w:rsidRPr="00753471" w:rsidRDefault="00753471" w:rsidP="007534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471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2016 г. по причинам младенческой смертности</w:t>
      </w:r>
      <w:r w:rsidRPr="0075347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753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лидируют отдельные состояния перинатального периода; на 2 месте –  врожденные аномалии развития, абсолютное число их выросло на 25%; на 3 месте – заболевания органов дыхания, что характеризует ситуацию как крайне неблагоприятную, так как их число увеличилось в три раза; на 4 месте – заболевания ЦНС и несчастные случаи; на 5 – инфекционная патология, позитивным моментом является снижение показателя на 20% (табл. 1). Из прочих заболеваний зарегистрировано 4 случая синдрома внезапной смерти, 3 – заболеваний системы кровообращения, 2 – новообразований. </w:t>
      </w:r>
    </w:p>
    <w:p w:rsidR="00753471" w:rsidRPr="00753471" w:rsidRDefault="00753471" w:rsidP="007534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3471" w:rsidRPr="00753471" w:rsidRDefault="00753471" w:rsidP="0075347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1 </w:t>
      </w:r>
    </w:p>
    <w:p w:rsidR="00753471" w:rsidRPr="00753471" w:rsidRDefault="00753471" w:rsidP="007534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471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Динамика структуры причин младенческой смертности в ДНР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3"/>
        <w:gridCol w:w="1058"/>
        <w:gridCol w:w="878"/>
        <w:gridCol w:w="1002"/>
        <w:gridCol w:w="753"/>
        <w:gridCol w:w="1581"/>
        <w:gridCol w:w="1052"/>
        <w:gridCol w:w="1499"/>
        <w:gridCol w:w="9"/>
      </w:tblGrid>
      <w:tr w:rsidR="00753471" w:rsidRPr="00753471" w:rsidTr="002D53BD">
        <w:trPr>
          <w:gridAfter w:val="1"/>
          <w:wAfter w:w="5" w:type="pct"/>
          <w:trHeight w:val="402"/>
          <w:jc w:val="center"/>
        </w:trPr>
        <w:tc>
          <w:tcPr>
            <w:tcW w:w="809" w:type="pct"/>
            <w:vMerge w:val="restart"/>
            <w:shd w:val="clear" w:color="auto" w:fill="auto"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Причины МС</w:t>
            </w:r>
          </w:p>
        </w:tc>
        <w:tc>
          <w:tcPr>
            <w:tcW w:w="1036" w:type="pct"/>
            <w:gridSpan w:val="2"/>
            <w:shd w:val="clear" w:color="auto" w:fill="auto"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2016 г.</w:t>
            </w:r>
          </w:p>
        </w:tc>
        <w:tc>
          <w:tcPr>
            <w:tcW w:w="939" w:type="pct"/>
            <w:gridSpan w:val="2"/>
            <w:shd w:val="clear" w:color="auto" w:fill="auto"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2015 г.</w:t>
            </w:r>
          </w:p>
        </w:tc>
        <w:tc>
          <w:tcPr>
            <w:tcW w:w="2211" w:type="pct"/>
            <w:gridSpan w:val="3"/>
            <w:shd w:val="clear" w:color="auto" w:fill="auto"/>
            <w:noWrap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2016 г. по сравнению с 2015 г.</w:t>
            </w:r>
          </w:p>
        </w:tc>
      </w:tr>
      <w:tr w:rsidR="00753471" w:rsidRPr="00753471" w:rsidTr="002D53BD">
        <w:trPr>
          <w:trHeight w:val="570"/>
          <w:jc w:val="center"/>
        </w:trPr>
        <w:tc>
          <w:tcPr>
            <w:tcW w:w="809" w:type="pct"/>
            <w:vMerge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Число случаев</w:t>
            </w:r>
          </w:p>
        </w:tc>
        <w:tc>
          <w:tcPr>
            <w:tcW w:w="470" w:type="pct"/>
            <w:shd w:val="clear" w:color="auto" w:fill="auto"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Уд. вес, %</w:t>
            </w:r>
          </w:p>
        </w:tc>
        <w:tc>
          <w:tcPr>
            <w:tcW w:w="536" w:type="pct"/>
            <w:shd w:val="clear" w:color="auto" w:fill="auto"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Число случаев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Уд. вес, %</w:t>
            </w:r>
          </w:p>
        </w:tc>
        <w:tc>
          <w:tcPr>
            <w:tcW w:w="846" w:type="pct"/>
            <w:shd w:val="clear" w:color="auto" w:fill="auto"/>
            <w:noWrap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Абсолютный прирост, случаев</w:t>
            </w:r>
          </w:p>
        </w:tc>
        <w:tc>
          <w:tcPr>
            <w:tcW w:w="563" w:type="pct"/>
            <w:shd w:val="clear" w:color="auto" w:fill="auto"/>
            <w:noWrap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Темп роста, %</w:t>
            </w:r>
          </w:p>
        </w:tc>
        <w:tc>
          <w:tcPr>
            <w:tcW w:w="807" w:type="pct"/>
            <w:gridSpan w:val="2"/>
            <w:shd w:val="clear" w:color="auto" w:fill="auto"/>
            <w:noWrap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Темп прироста, %</w:t>
            </w:r>
          </w:p>
        </w:tc>
      </w:tr>
      <w:tr w:rsidR="00753471" w:rsidRPr="00753471" w:rsidTr="002D53BD">
        <w:trPr>
          <w:trHeight w:val="600"/>
          <w:jc w:val="center"/>
        </w:trPr>
        <w:tc>
          <w:tcPr>
            <w:tcW w:w="80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состояния перинатального периода</w:t>
            </w:r>
          </w:p>
        </w:tc>
        <w:tc>
          <w:tcPr>
            <w:tcW w:w="566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62,3</w:t>
            </w:r>
          </w:p>
        </w:tc>
        <w:tc>
          <w:tcPr>
            <w:tcW w:w="536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403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65,5</w:t>
            </w:r>
          </w:p>
        </w:tc>
        <w:tc>
          <w:tcPr>
            <w:tcW w:w="84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</w:p>
        </w:tc>
        <w:tc>
          <w:tcPr>
            <w:tcW w:w="563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807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-3,1</w:t>
            </w:r>
          </w:p>
        </w:tc>
      </w:tr>
      <w:tr w:rsidR="00753471" w:rsidRPr="00753471" w:rsidTr="002D53BD">
        <w:trPr>
          <w:trHeight w:val="600"/>
          <w:jc w:val="center"/>
        </w:trPr>
        <w:tc>
          <w:tcPr>
            <w:tcW w:w="809" w:type="pct"/>
            <w:shd w:val="clear" w:color="auto" w:fill="auto"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Врожденные аномалии развития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70" w:type="pct"/>
            <w:shd w:val="clear" w:color="auto" w:fill="auto"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536" w:type="pct"/>
            <w:shd w:val="clear" w:color="auto" w:fill="auto"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846" w:type="pct"/>
            <w:shd w:val="clear" w:color="auto" w:fill="auto"/>
            <w:noWrap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3" w:type="pct"/>
            <w:shd w:val="clear" w:color="auto" w:fill="auto"/>
            <w:noWrap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807" w:type="pct"/>
            <w:gridSpan w:val="2"/>
            <w:shd w:val="clear" w:color="auto" w:fill="auto"/>
            <w:noWrap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753471" w:rsidRPr="00753471" w:rsidTr="002D53BD">
        <w:trPr>
          <w:trHeight w:val="600"/>
          <w:jc w:val="center"/>
        </w:trPr>
        <w:tc>
          <w:tcPr>
            <w:tcW w:w="809" w:type="pct"/>
            <w:shd w:val="clear" w:color="auto" w:fill="auto"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Болезни органов дыхания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0" w:type="pct"/>
            <w:shd w:val="clear" w:color="auto" w:fill="auto"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536" w:type="pct"/>
            <w:shd w:val="clear" w:color="auto" w:fill="auto"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846" w:type="pct"/>
            <w:shd w:val="clear" w:color="auto" w:fill="auto"/>
            <w:noWrap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3" w:type="pct"/>
            <w:shd w:val="clear" w:color="auto" w:fill="auto"/>
            <w:noWrap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07" w:type="pct"/>
            <w:gridSpan w:val="2"/>
            <w:shd w:val="clear" w:color="auto" w:fill="auto"/>
            <w:noWrap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53471" w:rsidRPr="00753471" w:rsidTr="002D53BD">
        <w:trPr>
          <w:trHeight w:val="300"/>
          <w:jc w:val="center"/>
        </w:trPr>
        <w:tc>
          <w:tcPr>
            <w:tcW w:w="809" w:type="pct"/>
            <w:shd w:val="clear" w:color="auto" w:fill="auto"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Заболевания ЦНС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0" w:type="pct"/>
            <w:shd w:val="clear" w:color="auto" w:fill="auto"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536" w:type="pct"/>
            <w:shd w:val="clear" w:color="auto" w:fill="auto"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846" w:type="pct"/>
            <w:shd w:val="clear" w:color="auto" w:fill="auto"/>
            <w:noWrap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563" w:type="pct"/>
            <w:shd w:val="clear" w:color="auto" w:fill="auto"/>
            <w:noWrap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807" w:type="pct"/>
            <w:gridSpan w:val="2"/>
            <w:shd w:val="clear" w:color="auto" w:fill="auto"/>
            <w:noWrap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-16,7</w:t>
            </w:r>
          </w:p>
        </w:tc>
      </w:tr>
      <w:tr w:rsidR="00753471" w:rsidRPr="00753471" w:rsidTr="002D53BD">
        <w:trPr>
          <w:trHeight w:val="300"/>
          <w:jc w:val="center"/>
        </w:trPr>
        <w:tc>
          <w:tcPr>
            <w:tcW w:w="809" w:type="pct"/>
            <w:shd w:val="clear" w:color="auto" w:fill="auto"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Несчастные случаи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0" w:type="pct"/>
            <w:shd w:val="clear" w:color="auto" w:fill="auto"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536" w:type="pct"/>
            <w:shd w:val="clear" w:color="auto" w:fill="auto"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846" w:type="pct"/>
            <w:shd w:val="clear" w:color="auto" w:fill="auto"/>
            <w:noWrap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3" w:type="pct"/>
            <w:shd w:val="clear" w:color="auto" w:fill="auto"/>
            <w:noWrap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07" w:type="pct"/>
            <w:gridSpan w:val="2"/>
            <w:shd w:val="clear" w:color="auto" w:fill="auto"/>
            <w:noWrap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3471" w:rsidRPr="00753471" w:rsidTr="002D53BD">
        <w:trPr>
          <w:trHeight w:val="600"/>
          <w:jc w:val="center"/>
        </w:trPr>
        <w:tc>
          <w:tcPr>
            <w:tcW w:w="809" w:type="pct"/>
            <w:shd w:val="clear" w:color="auto" w:fill="auto"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Инфекционная патология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0" w:type="pct"/>
            <w:shd w:val="clear" w:color="auto" w:fill="auto"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536" w:type="pct"/>
            <w:shd w:val="clear" w:color="auto" w:fill="auto"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846" w:type="pct"/>
            <w:shd w:val="clear" w:color="auto" w:fill="auto"/>
            <w:noWrap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563" w:type="pct"/>
            <w:shd w:val="clear" w:color="auto" w:fill="auto"/>
            <w:noWrap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807" w:type="pct"/>
            <w:gridSpan w:val="2"/>
            <w:shd w:val="clear" w:color="auto" w:fill="auto"/>
            <w:noWrap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-20,0</w:t>
            </w:r>
          </w:p>
        </w:tc>
      </w:tr>
      <w:tr w:rsidR="00753471" w:rsidRPr="00753471" w:rsidTr="002D53BD">
        <w:trPr>
          <w:trHeight w:val="300"/>
          <w:jc w:val="center"/>
        </w:trPr>
        <w:tc>
          <w:tcPr>
            <w:tcW w:w="809" w:type="pct"/>
            <w:shd w:val="clear" w:color="auto" w:fill="auto"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Прочие, в т.ч.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0" w:type="pct"/>
            <w:shd w:val="clear" w:color="auto" w:fill="auto"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536" w:type="pct"/>
            <w:shd w:val="clear" w:color="auto" w:fill="auto"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846" w:type="pct"/>
            <w:shd w:val="clear" w:color="auto" w:fill="auto"/>
            <w:noWrap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</w:p>
        </w:tc>
        <w:tc>
          <w:tcPr>
            <w:tcW w:w="563" w:type="pct"/>
            <w:shd w:val="clear" w:color="auto" w:fill="auto"/>
            <w:noWrap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07" w:type="pct"/>
            <w:gridSpan w:val="2"/>
            <w:shd w:val="clear" w:color="auto" w:fill="auto"/>
            <w:noWrap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-25,0</w:t>
            </w:r>
          </w:p>
        </w:tc>
      </w:tr>
      <w:tr w:rsidR="00753471" w:rsidRPr="00753471" w:rsidTr="002D53BD">
        <w:trPr>
          <w:trHeight w:val="300"/>
          <w:jc w:val="center"/>
        </w:trPr>
        <w:tc>
          <w:tcPr>
            <w:tcW w:w="809" w:type="pct"/>
            <w:shd w:val="clear" w:color="auto" w:fill="auto"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СВС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0" w:type="pct"/>
            <w:shd w:val="clear" w:color="auto" w:fill="auto"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536" w:type="pct"/>
            <w:shd w:val="clear" w:color="auto" w:fill="auto"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846" w:type="pct"/>
            <w:shd w:val="clear" w:color="auto" w:fill="auto"/>
            <w:noWrap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</w:t>
            </w:r>
          </w:p>
        </w:tc>
        <w:tc>
          <w:tcPr>
            <w:tcW w:w="563" w:type="pct"/>
            <w:shd w:val="clear" w:color="auto" w:fill="auto"/>
            <w:noWrap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807" w:type="pct"/>
            <w:gridSpan w:val="2"/>
            <w:shd w:val="clear" w:color="auto" w:fill="auto"/>
            <w:noWrap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-55,6</w:t>
            </w:r>
          </w:p>
        </w:tc>
      </w:tr>
      <w:tr w:rsidR="00753471" w:rsidRPr="00753471" w:rsidTr="002D53BD">
        <w:trPr>
          <w:trHeight w:val="600"/>
          <w:jc w:val="center"/>
        </w:trPr>
        <w:tc>
          <w:tcPr>
            <w:tcW w:w="809" w:type="pct"/>
            <w:shd w:val="clear" w:color="auto" w:fill="auto"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заболевания системы кровообращения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0" w:type="pct"/>
            <w:shd w:val="clear" w:color="auto" w:fill="auto"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536" w:type="pct"/>
            <w:shd w:val="clear" w:color="auto" w:fill="auto"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46" w:type="pct"/>
            <w:shd w:val="clear" w:color="auto" w:fill="auto"/>
            <w:noWrap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3" w:type="pct"/>
            <w:shd w:val="clear" w:color="auto" w:fill="auto"/>
            <w:noWrap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07" w:type="pct"/>
            <w:gridSpan w:val="2"/>
            <w:shd w:val="clear" w:color="auto" w:fill="auto"/>
            <w:noWrap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53471" w:rsidRPr="00753471" w:rsidTr="002D53BD">
        <w:trPr>
          <w:trHeight w:val="300"/>
          <w:jc w:val="center"/>
        </w:trPr>
        <w:tc>
          <w:tcPr>
            <w:tcW w:w="809" w:type="pct"/>
            <w:shd w:val="clear" w:color="auto" w:fill="auto"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новообразования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" w:type="pct"/>
            <w:shd w:val="clear" w:color="auto" w:fill="auto"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536" w:type="pct"/>
            <w:shd w:val="clear" w:color="auto" w:fill="auto"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46" w:type="pct"/>
            <w:shd w:val="clear" w:color="auto" w:fill="auto"/>
            <w:noWrap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3" w:type="pct"/>
            <w:shd w:val="clear" w:color="auto" w:fill="auto"/>
            <w:noWrap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807" w:type="pct"/>
            <w:gridSpan w:val="2"/>
            <w:shd w:val="clear" w:color="auto" w:fill="auto"/>
            <w:noWrap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53471" w:rsidRPr="00753471" w:rsidTr="002D53BD">
        <w:trPr>
          <w:trHeight w:val="300"/>
          <w:jc w:val="center"/>
        </w:trPr>
        <w:tc>
          <w:tcPr>
            <w:tcW w:w="809" w:type="pct"/>
            <w:shd w:val="clear" w:color="auto" w:fill="auto"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заболевания крови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0" w:type="pct"/>
            <w:shd w:val="clear" w:color="auto" w:fill="auto"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6" w:type="pct"/>
            <w:shd w:val="clear" w:color="auto" w:fill="auto"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46" w:type="pct"/>
            <w:shd w:val="clear" w:color="auto" w:fill="auto"/>
            <w:noWrap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3" w:type="pct"/>
            <w:shd w:val="clear" w:color="auto" w:fill="auto"/>
            <w:noWrap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07" w:type="pct"/>
            <w:gridSpan w:val="2"/>
            <w:shd w:val="clear" w:color="auto" w:fill="auto"/>
            <w:noWrap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-100,0</w:t>
            </w:r>
          </w:p>
        </w:tc>
      </w:tr>
      <w:tr w:rsidR="00753471" w:rsidRPr="00753471" w:rsidTr="002D53BD">
        <w:trPr>
          <w:trHeight w:val="315"/>
          <w:jc w:val="center"/>
        </w:trPr>
        <w:tc>
          <w:tcPr>
            <w:tcW w:w="809" w:type="pct"/>
            <w:shd w:val="clear" w:color="auto" w:fill="auto"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</w:t>
            </w:r>
          </w:p>
        </w:tc>
        <w:tc>
          <w:tcPr>
            <w:tcW w:w="566" w:type="pct"/>
            <w:shd w:val="clear" w:color="auto" w:fill="auto"/>
            <w:noWrap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536" w:type="pct"/>
            <w:shd w:val="clear" w:color="auto" w:fill="auto"/>
            <w:noWrap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403" w:type="pct"/>
            <w:shd w:val="clear" w:color="auto" w:fill="auto"/>
            <w:noWrap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46" w:type="pct"/>
            <w:shd w:val="clear" w:color="auto" w:fill="auto"/>
            <w:noWrap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3" w:type="pct"/>
            <w:shd w:val="clear" w:color="auto" w:fill="auto"/>
            <w:noWrap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807" w:type="pct"/>
            <w:gridSpan w:val="2"/>
            <w:shd w:val="clear" w:color="auto" w:fill="auto"/>
            <w:noWrap/>
            <w:vAlign w:val="center"/>
            <w:hideMark/>
          </w:tcPr>
          <w:p w:rsidR="00753471" w:rsidRPr="00753471" w:rsidRDefault="00753471" w:rsidP="0075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</w:tbl>
    <w:p w:rsidR="00753471" w:rsidRPr="00753471" w:rsidRDefault="00753471" w:rsidP="007534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сравнении с 2015 г. отмечается рост смертности от предотвратимых и условно-предотвратимых причин, в частности, от болезней органов дыхания – в 3 раза, несчастных случаев – на 14,3%, врождённых пороков развития – на 25%. </w:t>
      </w:r>
    </w:p>
    <w:p w:rsidR="00753471" w:rsidRPr="00753471" w:rsidRDefault="00753471" w:rsidP="007534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4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рождении низкую массу тела имели 887 новорожденных. Из 126 новорожденных с критической массой тела (менее 1,5 кг.) 40,5% умерли в акушерских стационарах. Выживаемость маловесных новорожденных находится в прямой зависимости от массы тела и условий их выхаживания.</w:t>
      </w:r>
    </w:p>
    <w:p w:rsidR="00753471" w:rsidRPr="00753471" w:rsidRDefault="00753471" w:rsidP="007534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неонатальном периоде основной удельный вес умерших составляют дети, родившиеся с низкой и критически низкой массой тела (42%). Для их выхаживания необходима специальная аппаратура (инкубаторы, мониторы, дыхательные аппараты). </w:t>
      </w:r>
    </w:p>
    <w:p w:rsidR="00753471" w:rsidRPr="00753471" w:rsidRDefault="00753471" w:rsidP="007534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47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Следует отметить, что в 2016 г. до 75% маловесных детей родились в условиях учреждений здравоохранения третичного уровня оказания медицинской помощи, чему способствовало своевременное направление в них беременных. При невозможности перевода беременных в вышеуказанные учреждения здравоохранения, им оказывалась специализированная помощь в местных стационарах выездными акушерско-неонатологическими бригадами Республиканского центра экстренной медицинской помощи и медицины катастроф Донецкой Народной Республики. Результатом данного мероприятия стало снижение уровня ранней неонатальной смертности в 1,5 раза по сравнению с 2015 г.</w:t>
      </w:r>
    </w:p>
    <w:p w:rsidR="00753471" w:rsidRPr="00753471" w:rsidRDefault="00753471" w:rsidP="007534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47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дому в 2016 г. умерло 20 детей: в г. Донецк – 6, г. Енакиево – 4, г. Горловка, г. Макеевка – по 3, г. Торез, г. Харцызск – по 2. В структуре причин смерти детей на дому лидируют несчастные случаи (22,7%): г. Харцызск (2 сл.), г. Макеевка, г Докучаевск, г. Торез (по 1 сл.); синдром внезапной смерти грудного ребенка (22,7%): г. Донецк (2 сл.), г. Горловка, г. Макеевка, г. Енакиево (по 1 сл.), а также заболевания органов дыхания (18,2%): г. Горловка (2 сл.), г. Донецк и Новоазовский район (по 1 сл.).</w:t>
      </w:r>
    </w:p>
    <w:p w:rsidR="00753471" w:rsidRPr="00753471" w:rsidRDefault="00753471" w:rsidP="007534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471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мертворождаемости в 2016 г. снизился с 9,4 до 8,7 в расчете на 1000 родившихся живыми и мёртвыми. В территориальном разрезе наиболее высокий уровень мертворождаемости в 2016 г. зарегистрирован в г. Горловка (9,1), г. Шахтёрск (14,2), Амвросиевском (20,0) и Тельмановском (60,0) районах. Отмечается рост почти в два раза и уровня интранатальной смертности (в родах). Из 7 случаев интранатальной смертности 3 (42,8%) произошли в Тельмановской центральной районной больнице.</w:t>
      </w:r>
    </w:p>
    <w:p w:rsidR="00753471" w:rsidRPr="00753471" w:rsidRDefault="00753471" w:rsidP="007534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4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Проведенный авторами анализ показателя младенческой смертности в 2014-2016 годах отражает необходимость принятого Министерством здравоохранения решения о разработке Плана мероприятий по предотвращению случаев и снижению уровней младенческой смертности и мертворождений в Донецкой Народной Республике (далее – План), выполнение которого должно стать приоритетной стратегической задачей для руководителей органов и учреждений здравоохранения.</w:t>
      </w:r>
    </w:p>
    <w:p w:rsidR="00753471" w:rsidRPr="00753471" w:rsidRDefault="00753471" w:rsidP="007534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4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Так как мероприятие первоочередной важности, в рамках выполнения Плана, с целью осуществления государственного контроля качества оказания медицинской помощи детскому населению, разработки мер по снижению младенческой смертности и мертворождений, а также обеспечения мониторинга случаев смерти детей до года и мертворождений приказом Министерства здравоохранения Донецкой Народной Республики от 11.04.2017 № 579 «О комиссии Министерства здравоохранения Донецкой Народной Республики по рассмотрению случаев младенческой смертности и мертворождений», зарегистрированным в Министерстве юстиции Донецкой Народной Республики 18.05.2017 под регистрационным №2003, утвержден Порядок рассмотрения случаев младенческой смертности и мертворождений в Донецкой Народной Республике, которым регламентирован механизм взаимодействия руководителей органов и учреждений здравоохранения при каждом случае младенческой смертности и мертворождения.</w:t>
      </w:r>
    </w:p>
    <w:p w:rsidR="00753471" w:rsidRPr="00753471" w:rsidRDefault="00753471" w:rsidP="007534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47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Министерства здравоохранения рассматривает клинико-экспертные вопросы оказания медицинской помощи беременным, роженицам и детям в связи со случаями младенческой смертности и мертворождений в виде проведения невыездных проверок (документарных – путём запроса и получения от юридических лиц и физических лиц-предпринимателей, осуществляющих медицинскую деятельность на территории Донецкой Народной Республики, необходимых документов для клинико-экспертной оценки качества оказания медицинской помощи беременным, роженицам и детям).</w:t>
      </w:r>
    </w:p>
    <w:p w:rsidR="00753471" w:rsidRPr="00753471" w:rsidRDefault="00753471" w:rsidP="007534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4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проверок Комиссия не реже одного раза в месяц проводит заседания, которые оформляются Протоколом заседания комиссии Министерства здравоохранения Донецкой Народной Республики по рассмотрению случаев младенческой смертности и мертворождений. Копии Протоколов (или выписки из него) направляются для рассмотрения и принятия управленческих решений учреждениям здравоохранения Донецкой Народной Республики.</w:t>
      </w:r>
    </w:p>
    <w:p w:rsidR="00753471" w:rsidRPr="00753471" w:rsidRDefault="00753471" w:rsidP="007534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4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Выводы.</w:t>
      </w:r>
      <w:r w:rsidRPr="00753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Таким образом, младенческая смертность является важной характеристикой общего состояния здоровья и уровня жизни населения страны, региона или города. Показатель младенческой смертности остаётся одним из проблемных, поскольку наносит обществу огромный социально-экономический ущерб. Кроме того, в условиях, когда рассчитывать на повышение рождаемости в ближайшем будущем не приходится, основным приоритетом при разработке демографической политики страны, особенно с низкой рождаемостью, должно быть именно снижение младенческой смертности. Снижение младенческой смертности является одним из резервов в борьбе за снижение общей смертности, продления продолжительности жизни людей, а также воспроизводства населения, т.е. рассматривается как важный социально-экономический критерий.</w:t>
      </w:r>
    </w:p>
    <w:tbl>
      <w:tblPr>
        <w:tblStyle w:val="a3"/>
        <w:tblW w:w="4918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"/>
        <w:gridCol w:w="8663"/>
      </w:tblGrid>
      <w:tr w:rsidR="00753471" w:rsidRPr="00753471" w:rsidTr="002D53BD">
        <w:trPr>
          <w:jc w:val="center"/>
        </w:trPr>
        <w:tc>
          <w:tcPr>
            <w:tcW w:w="5000" w:type="pct"/>
            <w:gridSpan w:val="2"/>
          </w:tcPr>
          <w:p w:rsidR="00753471" w:rsidRPr="00753471" w:rsidRDefault="00753471" w:rsidP="00753471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753471" w:rsidRPr="00753471" w:rsidTr="002D53BD">
        <w:trPr>
          <w:jc w:val="center"/>
        </w:trPr>
        <w:tc>
          <w:tcPr>
            <w:tcW w:w="5000" w:type="pct"/>
            <w:gridSpan w:val="2"/>
          </w:tcPr>
          <w:p w:rsidR="00753471" w:rsidRPr="00753471" w:rsidRDefault="00753471" w:rsidP="00753471">
            <w:pPr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53471">
              <w:rPr>
                <w:rFonts w:ascii="Times New Roman" w:hAnsi="Times New Roman"/>
                <w:b/>
                <w:sz w:val="28"/>
                <w:szCs w:val="28"/>
              </w:rPr>
              <w:t>Список литературы</w:t>
            </w:r>
          </w:p>
        </w:tc>
      </w:tr>
      <w:tr w:rsidR="00753471" w:rsidRPr="00753471" w:rsidTr="002D53BD">
        <w:trPr>
          <w:jc w:val="center"/>
        </w:trPr>
        <w:tc>
          <w:tcPr>
            <w:tcW w:w="293" w:type="pct"/>
          </w:tcPr>
          <w:p w:rsidR="00753471" w:rsidRPr="00753471" w:rsidRDefault="00753471" w:rsidP="00753471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07" w:type="pct"/>
          </w:tcPr>
          <w:p w:rsidR="00753471" w:rsidRPr="00753471" w:rsidRDefault="00753471" w:rsidP="00753471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53471">
              <w:rPr>
                <w:rFonts w:ascii="Times New Roman" w:eastAsia="Calibri" w:hAnsi="Times New Roman"/>
                <w:sz w:val="24"/>
                <w:szCs w:val="24"/>
              </w:rPr>
              <w:t>Закон «О здравоохранении» (</w:t>
            </w:r>
            <w:r w:rsidRPr="00753471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№ 42-IHC от 24.04.2015) </w:t>
            </w:r>
            <w:r w:rsidRPr="00753471">
              <w:rPr>
                <w:rFonts w:ascii="Times New Roman" w:eastAsia="Calibri" w:hAnsi="Times New Roman"/>
                <w:sz w:val="24"/>
                <w:szCs w:val="24"/>
              </w:rPr>
              <w:t xml:space="preserve">[Электронный ресурс]. – Режим доступа: </w:t>
            </w:r>
            <w:hyperlink r:id="rId9" w:history="1">
              <w:r w:rsidRPr="00753471">
                <w:rPr>
                  <w:rFonts w:ascii="Times New Roman" w:eastAsia="Calibri" w:hAnsi="Times New Roman"/>
                  <w:sz w:val="24"/>
                  <w:szCs w:val="24"/>
                  <w:u w:val="single"/>
                </w:rPr>
                <w:t>http://dnrsovet.su/zakon-dnr-o-zdravohranenii/</w:t>
              </w:r>
            </w:hyperlink>
          </w:p>
        </w:tc>
      </w:tr>
      <w:tr w:rsidR="00753471" w:rsidRPr="00753471" w:rsidTr="002D53BD">
        <w:trPr>
          <w:jc w:val="center"/>
        </w:trPr>
        <w:tc>
          <w:tcPr>
            <w:tcW w:w="293" w:type="pct"/>
          </w:tcPr>
          <w:p w:rsidR="00753471" w:rsidRPr="00753471" w:rsidRDefault="00753471" w:rsidP="00753471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07" w:type="pct"/>
          </w:tcPr>
          <w:p w:rsidR="00753471" w:rsidRPr="00753471" w:rsidRDefault="00753471" w:rsidP="00753471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53471">
              <w:rPr>
                <w:rFonts w:ascii="Times New Roman" w:eastAsia="Calibri" w:hAnsi="Times New Roman"/>
                <w:sz w:val="24"/>
                <w:szCs w:val="24"/>
              </w:rPr>
              <w:t xml:space="preserve">Закон «Об иммунопрофилактике инфекционных болезней» </w:t>
            </w:r>
            <w:r w:rsidRPr="00753471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 (№ 90-IHC от 04.09.2015) </w:t>
            </w:r>
            <w:r w:rsidRPr="00753471">
              <w:rPr>
                <w:rFonts w:ascii="Times New Roman" w:eastAsia="Calibri" w:hAnsi="Times New Roman"/>
                <w:sz w:val="24"/>
                <w:szCs w:val="24"/>
              </w:rPr>
              <w:t xml:space="preserve">[Электронный ресурс]. – Режим доступа: </w:t>
            </w:r>
            <w:hyperlink r:id="rId10" w:history="1">
              <w:r w:rsidRPr="00753471">
                <w:rPr>
                  <w:rFonts w:ascii="Times New Roman" w:eastAsia="Calibri" w:hAnsi="Times New Roman"/>
                  <w:sz w:val="24"/>
                  <w:szCs w:val="24"/>
                  <w:u w:val="single"/>
                </w:rPr>
                <w:t>http://dnrsovet.su/zakonodatelnaya-deyatelnost/prinyatye/zakony/zakon-ob-immunoprofilaktike-infektsionnyh-boleznej-donetskoj-narodnoj-respubliki/</w:t>
              </w:r>
            </w:hyperlink>
          </w:p>
        </w:tc>
      </w:tr>
      <w:tr w:rsidR="00753471" w:rsidRPr="00753471" w:rsidTr="002D53BD">
        <w:trPr>
          <w:jc w:val="center"/>
        </w:trPr>
        <w:tc>
          <w:tcPr>
            <w:tcW w:w="293" w:type="pct"/>
          </w:tcPr>
          <w:p w:rsidR="00753471" w:rsidRPr="00753471" w:rsidRDefault="00753471" w:rsidP="00753471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07" w:type="pct"/>
          </w:tcPr>
          <w:p w:rsidR="00753471" w:rsidRPr="00753471" w:rsidRDefault="00753471" w:rsidP="00753471">
            <w:pPr>
              <w:shd w:val="clear" w:color="auto" w:fill="FFFFFF"/>
              <w:tabs>
                <w:tab w:val="left" w:pos="142"/>
                <w:tab w:val="left" w:pos="1080"/>
              </w:tabs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471">
              <w:rPr>
                <w:rFonts w:ascii="Times New Roman" w:hAnsi="Times New Roman"/>
                <w:sz w:val="24"/>
                <w:szCs w:val="24"/>
              </w:rPr>
              <w:t xml:space="preserve">Государственная информационная система нормативных правовых актов [Электронный ресурс]. – Режим доступа: </w:t>
            </w:r>
            <w:hyperlink r:id="rId11" w:history="1">
              <w:r w:rsidRPr="00753471">
                <w:rPr>
                  <w:rFonts w:ascii="Times New Roman" w:hAnsi="Times New Roman"/>
                  <w:sz w:val="24"/>
                  <w:szCs w:val="24"/>
                  <w:u w:val="single"/>
                </w:rPr>
                <w:t>http://gisnpa-dnr.ru/</w:t>
              </w:r>
            </w:hyperlink>
            <w:r w:rsidRPr="0075347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53471" w:rsidRPr="00753471" w:rsidTr="002D53BD">
        <w:trPr>
          <w:jc w:val="center"/>
        </w:trPr>
        <w:tc>
          <w:tcPr>
            <w:tcW w:w="293" w:type="pct"/>
          </w:tcPr>
          <w:p w:rsidR="00753471" w:rsidRPr="00753471" w:rsidRDefault="00753471" w:rsidP="00753471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07" w:type="pct"/>
          </w:tcPr>
          <w:p w:rsidR="00753471" w:rsidRPr="00753471" w:rsidRDefault="00753471" w:rsidP="00753471">
            <w:pPr>
              <w:shd w:val="clear" w:color="auto" w:fill="FFFFFF"/>
              <w:tabs>
                <w:tab w:val="left" w:pos="142"/>
                <w:tab w:val="left" w:pos="1080"/>
              </w:tabs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471">
              <w:rPr>
                <w:rFonts w:ascii="Times New Roman" w:hAnsi="Times New Roman"/>
                <w:sz w:val="24"/>
                <w:szCs w:val="24"/>
              </w:rPr>
              <w:t xml:space="preserve">Официальный сайт Министерства здравоохранения Донецкой Народной Республики [Электронный ресурс]. – Режим доступа: – </w:t>
            </w:r>
            <w:hyperlink r:id="rId12" w:history="1">
              <w:r w:rsidRPr="00753471">
                <w:rPr>
                  <w:rFonts w:ascii="Times New Roman" w:hAnsi="Times New Roman"/>
                  <w:sz w:val="24"/>
                  <w:szCs w:val="24"/>
                  <w:u w:val="single"/>
                </w:rPr>
                <w:t>http://mzdnr.ru/</w:t>
              </w:r>
            </w:hyperlink>
            <w:r w:rsidRPr="0075347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410842" w:rsidRDefault="00410842">
      <w:bookmarkStart w:id="3" w:name="_GoBack"/>
      <w:bookmarkEnd w:id="3"/>
    </w:p>
    <w:sectPr w:rsidR="004108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19345D"/>
    <w:multiLevelType w:val="hybridMultilevel"/>
    <w:tmpl w:val="78A0F022"/>
    <w:lvl w:ilvl="0" w:tplc="3FD2AF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471"/>
    <w:rsid w:val="00410842"/>
    <w:rsid w:val="00753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F08C1B-20F6-4E03-828D-DE6FD588B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347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12" Type="http://schemas.openxmlformats.org/officeDocument/2006/relationships/hyperlink" Target="http://mzdn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11" Type="http://schemas.openxmlformats.org/officeDocument/2006/relationships/hyperlink" Target="http://gisnpa-dnr.ru/" TargetMode="External"/><Relationship Id="rId5" Type="http://schemas.openxmlformats.org/officeDocument/2006/relationships/chart" Target="charts/chart1.xml"/><Relationship Id="rId10" Type="http://schemas.openxmlformats.org/officeDocument/2006/relationships/hyperlink" Target="http://dnrsovet.su/zakonodatelnaya-deyatelnost/prinyatye/zakony/zakon-ob-immunoprofilaktike-infektsionnyh-boleznej-donetskoj-narodnoj-respublik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nrsovet.su/zakon-dnr-o-zdravohranenii/" TargetMode="Externa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  <c:spPr>
        <a:noFill/>
        <a:ln w="25400">
          <a:noFill/>
        </a:ln>
      </c:spPr>
      <c:txPr>
        <a:bodyPr/>
        <a:lstStyle/>
        <a:p>
          <a:pPr>
            <a:defRPr sz="14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title>
    <c:autoTitleDeleted val="0"/>
    <c:view3D>
      <c:rotX val="15"/>
      <c:rotY val="20"/>
      <c:depthPercent val="10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2.8138528138528136E-2"/>
          <c:y val="0.34156378600823045"/>
          <c:w val="0.92207792207792194"/>
          <c:h val="0.44855967078189302"/>
        </c:manualLayout>
      </c:layout>
      <c:bar3DChart>
        <c:barDir val="col"/>
        <c:grouping val="clustered"/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Динамика показателя младенческой смертности в Донецкой Народной Республике,  ‰</c:v>
                </c:pt>
              </c:strCache>
            </c:strRef>
          </c:tx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247B-4508-BD41-DDF7C137AE41}"/>
              </c:ext>
            </c:extLst>
          </c:dPt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Лист1!$A$2:$A$4</c:f>
              <c:numCache>
                <c:formatCode>General</c:formatCode>
                <c:ptCount val="3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</c:numCache>
            </c:num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9.7000000000000011</c:v>
                </c:pt>
                <c:pt idx="1">
                  <c:v>12.3</c:v>
                </c:pt>
                <c:pt idx="2">
                  <c:v>14.6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47B-4508-BD41-DDF7C137AE4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shape val="cylinder"/>
        <c:axId val="391597056"/>
        <c:axId val="398328576"/>
        <c:axId val="0"/>
      </c:bar3DChart>
      <c:catAx>
        <c:axId val="3915970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 rot="-60000000" vert="horz"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398328576"/>
        <c:crosses val="autoZero"/>
        <c:auto val="1"/>
        <c:lblAlgn val="ctr"/>
        <c:lblOffset val="100"/>
        <c:noMultiLvlLbl val="0"/>
      </c:catAx>
      <c:valAx>
        <c:axId val="398328576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one"/>
        <c:txPr>
          <a:bodyPr rot="-60000000" vert="horz"/>
          <a:lstStyle/>
          <a:p>
            <a:pPr>
              <a:defRPr/>
            </a:pPr>
            <a:endParaRPr lang="ru-RU"/>
          </a:p>
        </c:txPr>
        <c:crossAx val="391597056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6"/>
    </mc:Choice>
    <mc:Fallback>
      <c:style val="6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399">
                <a:latin typeface="Times New Roman" pitchFamily="18" charset="0"/>
                <a:cs typeface="Times New Roman" pitchFamily="18" charset="0"/>
              </a:defRPr>
            </a:pPr>
            <a:r>
              <a:rPr lang="ru-RU" sz="1399">
                <a:latin typeface="Times New Roman" pitchFamily="18" charset="0"/>
                <a:cs typeface="Times New Roman" pitchFamily="18" charset="0"/>
              </a:rPr>
              <a:t>Абсолютное количество случаев младенческой смертности, чел.</a:t>
            </a:r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Абсолютное количество случаев младенческой смертности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203</c:v>
                </c:pt>
                <c:pt idx="1">
                  <c:v>148</c:v>
                </c:pt>
                <c:pt idx="2">
                  <c:v>151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2A8D-407C-84A1-47A8E779B45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98357248"/>
        <c:axId val="398358784"/>
      </c:lineChart>
      <c:catAx>
        <c:axId val="3983572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398358784"/>
        <c:crosses val="autoZero"/>
        <c:auto val="1"/>
        <c:lblAlgn val="ctr"/>
        <c:lblOffset val="100"/>
        <c:noMultiLvlLbl val="0"/>
      </c:catAx>
      <c:valAx>
        <c:axId val="398358784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39835724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399">
                <a:latin typeface="Times New Roman" pitchFamily="18" charset="0"/>
                <a:cs typeface="Times New Roman" pitchFamily="18" charset="0"/>
              </a:defRPr>
            </a:pPr>
            <a:r>
              <a:rPr lang="ru-RU" sz="1399">
                <a:latin typeface="Times New Roman" pitchFamily="18" charset="0"/>
                <a:cs typeface="Times New Roman" pitchFamily="18" charset="0"/>
              </a:rPr>
              <a:t>Абсолютное число родившихся, чел.</a:t>
            </a:r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Абсолютное число родившихся, чел.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Лист1!$A$2:$A$4</c:f>
              <c:numCache>
                <c:formatCode>General</c:formatCode>
                <c:ptCount val="3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</c:numCache>
            </c:num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17431</c:v>
                </c:pt>
                <c:pt idx="1">
                  <c:v>9159</c:v>
                </c:pt>
                <c:pt idx="2">
                  <c:v>11771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DF5A-4FBC-B2C9-F1ACFB2DE66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17110656"/>
        <c:axId val="417112448"/>
      </c:lineChart>
      <c:catAx>
        <c:axId val="4171106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17112448"/>
        <c:crosses val="autoZero"/>
        <c:auto val="1"/>
        <c:lblAlgn val="ctr"/>
        <c:lblOffset val="100"/>
        <c:noMultiLvlLbl val="0"/>
      </c:catAx>
      <c:valAx>
        <c:axId val="41711244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1711065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0"/>
      <c:rotY val="30"/>
      <c:depthPercent val="10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5.9990339749198034E-2"/>
          <c:y val="4.0893258508432312E-2"/>
          <c:w val="0.8653233449985418"/>
          <c:h val="0.67060773480662983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2015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Лист1!$A$2:$A$12</c:f>
              <c:strCache>
                <c:ptCount val="11"/>
                <c:pt idx="0">
                  <c:v>Донецк</c:v>
                </c:pt>
                <c:pt idx="1">
                  <c:v>Горловка</c:v>
                </c:pt>
                <c:pt idx="2">
                  <c:v>Енакиево</c:v>
                </c:pt>
                <c:pt idx="3">
                  <c:v>Макеевка</c:v>
                </c:pt>
                <c:pt idx="4">
                  <c:v>Снежное</c:v>
                </c:pt>
                <c:pt idx="5">
                  <c:v>Торез</c:v>
                </c:pt>
                <c:pt idx="6">
                  <c:v>Харцызск</c:v>
                </c:pt>
                <c:pt idx="7">
                  <c:v>Шахтерск</c:v>
                </c:pt>
                <c:pt idx="8">
                  <c:v>Амвросиевский р-н</c:v>
                </c:pt>
                <c:pt idx="9">
                  <c:v>Старобешевский р-н</c:v>
                </c:pt>
                <c:pt idx="10">
                  <c:v>Тельмановский р-н</c:v>
                </c:pt>
              </c:strCache>
            </c:strRef>
          </c:cat>
          <c:val>
            <c:numRef>
              <c:f>Лист1!$B$2:$B$12</c:f>
              <c:numCache>
                <c:formatCode>General</c:formatCode>
                <c:ptCount val="11"/>
                <c:pt idx="0">
                  <c:v>17.899999999999999</c:v>
                </c:pt>
                <c:pt idx="1">
                  <c:v>8.9</c:v>
                </c:pt>
                <c:pt idx="2">
                  <c:v>8.2000000000000011</c:v>
                </c:pt>
                <c:pt idx="3">
                  <c:v>9.9</c:v>
                </c:pt>
                <c:pt idx="4">
                  <c:v>7.4</c:v>
                </c:pt>
                <c:pt idx="5">
                  <c:v>23.1</c:v>
                </c:pt>
                <c:pt idx="6">
                  <c:v>8.7000000000000011</c:v>
                </c:pt>
                <c:pt idx="7">
                  <c:v>8.2000000000000011</c:v>
                </c:pt>
                <c:pt idx="8">
                  <c:v>13</c:v>
                </c:pt>
                <c:pt idx="9">
                  <c:v>9.1</c:v>
                </c:pt>
                <c:pt idx="1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947-45C4-8443-D6412E944260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2016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Лист1!$A$2:$A$12</c:f>
              <c:strCache>
                <c:ptCount val="11"/>
                <c:pt idx="0">
                  <c:v>Донецк</c:v>
                </c:pt>
                <c:pt idx="1">
                  <c:v>Горловка</c:v>
                </c:pt>
                <c:pt idx="2">
                  <c:v>Енакиево</c:v>
                </c:pt>
                <c:pt idx="3">
                  <c:v>Макеевка</c:v>
                </c:pt>
                <c:pt idx="4">
                  <c:v>Снежное</c:v>
                </c:pt>
                <c:pt idx="5">
                  <c:v>Торез</c:v>
                </c:pt>
                <c:pt idx="6">
                  <c:v>Харцызск</c:v>
                </c:pt>
                <c:pt idx="7">
                  <c:v>Шахтерск</c:v>
                </c:pt>
                <c:pt idx="8">
                  <c:v>Амвросиевский р-н</c:v>
                </c:pt>
                <c:pt idx="9">
                  <c:v>Старобешевский р-н</c:v>
                </c:pt>
                <c:pt idx="10">
                  <c:v>Тельмановский р-н</c:v>
                </c:pt>
              </c:strCache>
            </c:strRef>
          </c:cat>
          <c:val>
            <c:numRef>
              <c:f>Лист1!$C$2:$C$12</c:f>
              <c:numCache>
                <c:formatCode>General</c:formatCode>
                <c:ptCount val="11"/>
                <c:pt idx="0">
                  <c:v>22.1</c:v>
                </c:pt>
                <c:pt idx="1">
                  <c:v>11.7</c:v>
                </c:pt>
                <c:pt idx="2">
                  <c:v>16.100000000000001</c:v>
                </c:pt>
                <c:pt idx="3">
                  <c:v>8.4</c:v>
                </c:pt>
                <c:pt idx="4">
                  <c:v>10.5</c:v>
                </c:pt>
                <c:pt idx="5">
                  <c:v>9.5</c:v>
                </c:pt>
                <c:pt idx="6">
                  <c:v>12</c:v>
                </c:pt>
                <c:pt idx="7">
                  <c:v>8.4</c:v>
                </c:pt>
                <c:pt idx="8">
                  <c:v>0</c:v>
                </c:pt>
                <c:pt idx="9">
                  <c:v>11.5</c:v>
                </c:pt>
                <c:pt idx="1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947-45C4-8443-D6412E94426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0"/>
        <c:shape val="box"/>
        <c:axId val="399120640"/>
        <c:axId val="399147008"/>
        <c:axId val="399124672"/>
      </c:bar3DChart>
      <c:catAx>
        <c:axId val="3991206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399147008"/>
        <c:crosses val="autoZero"/>
        <c:auto val="1"/>
        <c:lblAlgn val="ctr"/>
        <c:lblOffset val="100"/>
        <c:noMultiLvlLbl val="0"/>
      </c:catAx>
      <c:valAx>
        <c:axId val="399147008"/>
        <c:scaling>
          <c:orientation val="minMax"/>
        </c:scaling>
        <c:delete val="0"/>
        <c:axPos val="l"/>
        <c:majorGridlines/>
        <c:minorGridlines/>
        <c:numFmt formatCode="General" sourceLinked="1"/>
        <c:majorTickMark val="out"/>
        <c:minorTickMark val="none"/>
        <c:tickLblPos val="nextTo"/>
        <c:crossAx val="399120640"/>
        <c:crosses val="autoZero"/>
        <c:crossBetween val="between"/>
      </c:valAx>
      <c:serAx>
        <c:axId val="399124672"/>
        <c:scaling>
          <c:orientation val="minMax"/>
        </c:scaling>
        <c:delete val="1"/>
        <c:axPos val="b"/>
        <c:majorTickMark val="out"/>
        <c:minorTickMark val="none"/>
        <c:tickLblPos val="none"/>
        <c:crossAx val="399147008"/>
        <c:crosses val="autoZero"/>
      </c:serAx>
      <c:spPr>
        <a:noFill/>
        <a:ln w="25385">
          <a:noFill/>
        </a:ln>
      </c:spPr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2129</Words>
  <Characters>12136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Елизавета</dc:creator>
  <cp:keywords/>
  <dc:description/>
  <cp:lastModifiedBy>Елизавета</cp:lastModifiedBy>
  <cp:revision>1</cp:revision>
  <dcterms:created xsi:type="dcterms:W3CDTF">2018-09-22T07:19:00Z</dcterms:created>
  <dcterms:modified xsi:type="dcterms:W3CDTF">2018-09-22T07:19:00Z</dcterms:modified>
</cp:coreProperties>
</file>