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5000"/>
      </w:tblGrid>
      <w:tr w:rsidR="00A04733" w:rsidRPr="00A04733" w:rsidTr="00272896">
        <w:trPr>
          <w:jc w:val="center"/>
        </w:trPr>
        <w:tc>
          <w:tcPr>
            <w:tcW w:w="4320" w:type="dxa"/>
          </w:tcPr>
          <w:p w:rsidR="00A04733" w:rsidRPr="00A04733" w:rsidRDefault="00A04733" w:rsidP="00A04733">
            <w:pPr>
              <w:jc w:val="both"/>
              <w:rPr>
                <w:rFonts w:ascii="Times New Roman" w:hAnsi="Times New Roman"/>
                <w:sz w:val="28"/>
                <w:szCs w:val="28"/>
              </w:rPr>
            </w:pPr>
            <w:r w:rsidRPr="00A04733">
              <w:rPr>
                <w:rFonts w:ascii="Times New Roman" w:hAnsi="Times New Roman"/>
                <w:b/>
                <w:bCs/>
                <w:sz w:val="28"/>
                <w:szCs w:val="28"/>
              </w:rPr>
              <w:t>УДК 336.14</w:t>
            </w:r>
          </w:p>
        </w:tc>
        <w:tc>
          <w:tcPr>
            <w:tcW w:w="5246" w:type="dxa"/>
            <w:tcMar>
              <w:left w:w="0" w:type="dxa"/>
              <w:right w:w="0" w:type="dxa"/>
            </w:tcMar>
          </w:tcPr>
          <w:p w:rsidR="00A04733" w:rsidRPr="00A04733" w:rsidRDefault="00A04733" w:rsidP="00A04733">
            <w:pPr>
              <w:widowControl w:val="0"/>
              <w:shd w:val="clear" w:color="auto" w:fill="FFFFFF"/>
              <w:rPr>
                <w:rFonts w:ascii="Times New Roman" w:hAnsi="Times New Roman"/>
                <w:sz w:val="28"/>
                <w:szCs w:val="28"/>
              </w:rPr>
            </w:pPr>
          </w:p>
        </w:tc>
      </w:tr>
      <w:tr w:rsidR="00A04733" w:rsidRPr="00A04733" w:rsidTr="00272896">
        <w:trPr>
          <w:jc w:val="center"/>
        </w:trPr>
        <w:tc>
          <w:tcPr>
            <w:tcW w:w="4320" w:type="dxa"/>
          </w:tcPr>
          <w:p w:rsidR="00A04733" w:rsidRPr="00A04733" w:rsidRDefault="00A04733" w:rsidP="00A04733">
            <w:pPr>
              <w:widowControl w:val="0"/>
              <w:jc w:val="right"/>
              <w:rPr>
                <w:rFonts w:ascii="Times New Roman" w:hAnsi="Times New Roman"/>
                <w:sz w:val="28"/>
                <w:szCs w:val="28"/>
              </w:rPr>
            </w:pPr>
          </w:p>
        </w:tc>
        <w:tc>
          <w:tcPr>
            <w:tcW w:w="5246" w:type="dxa"/>
            <w:tcMar>
              <w:left w:w="0" w:type="dxa"/>
              <w:right w:w="0" w:type="dxa"/>
            </w:tcMar>
          </w:tcPr>
          <w:p w:rsidR="00A04733" w:rsidRPr="00A04733" w:rsidRDefault="00A04733" w:rsidP="00A04733">
            <w:pPr>
              <w:numPr>
                <w:ilvl w:val="1"/>
                <w:numId w:val="0"/>
              </w:numPr>
              <w:tabs>
                <w:tab w:val="left" w:pos="709"/>
              </w:tabs>
              <w:suppressAutoHyphens/>
              <w:ind w:firstLine="709"/>
              <w:outlineLvl w:val="1"/>
              <w:rPr>
                <w:rFonts w:ascii="Times New Roman" w:hAnsi="Times New Roman"/>
                <w:b/>
                <w:bCs/>
                <w:sz w:val="28"/>
                <w:szCs w:val="28"/>
              </w:rPr>
            </w:pPr>
            <w:bookmarkStart w:id="0" w:name="_Toc518846526"/>
            <w:r w:rsidRPr="00A04733">
              <w:rPr>
                <w:rFonts w:ascii="Times New Roman" w:hAnsi="Times New Roman"/>
                <w:b/>
                <w:bCs/>
                <w:sz w:val="28"/>
                <w:szCs w:val="28"/>
              </w:rPr>
              <w:t>Я.И. Честная,</w:t>
            </w:r>
            <w:bookmarkEnd w:id="0"/>
          </w:p>
          <w:p w:rsidR="00A04733" w:rsidRPr="00A04733" w:rsidRDefault="00A04733" w:rsidP="00A04733">
            <w:pPr>
              <w:rPr>
                <w:rFonts w:ascii="Times New Roman" w:hAnsi="Times New Roman"/>
                <w:i/>
                <w:sz w:val="28"/>
                <w:szCs w:val="28"/>
              </w:rPr>
            </w:pPr>
            <w:r w:rsidRPr="00A04733">
              <w:rPr>
                <w:rFonts w:ascii="Times New Roman" w:hAnsi="Times New Roman"/>
                <w:i/>
                <w:sz w:val="28"/>
                <w:szCs w:val="28"/>
              </w:rPr>
              <w:t xml:space="preserve">ГОУ ВПО «Донецкий национальный технический университет», </w:t>
            </w:r>
          </w:p>
          <w:p w:rsidR="00A04733" w:rsidRPr="00A04733" w:rsidRDefault="00A04733" w:rsidP="00A04733">
            <w:pPr>
              <w:numPr>
                <w:ilvl w:val="1"/>
                <w:numId w:val="0"/>
              </w:numPr>
              <w:tabs>
                <w:tab w:val="left" w:pos="709"/>
              </w:tabs>
              <w:suppressAutoHyphens/>
              <w:ind w:firstLine="709"/>
              <w:outlineLvl w:val="1"/>
              <w:rPr>
                <w:rFonts w:ascii="Times New Roman" w:hAnsi="Times New Roman"/>
                <w:b/>
                <w:bCs/>
                <w:sz w:val="28"/>
                <w:szCs w:val="28"/>
              </w:rPr>
            </w:pPr>
            <w:bookmarkStart w:id="1" w:name="_Toc518846527"/>
            <w:r w:rsidRPr="00A04733">
              <w:rPr>
                <w:rFonts w:ascii="Times New Roman" w:hAnsi="Times New Roman"/>
                <w:b/>
                <w:bCs/>
                <w:sz w:val="28"/>
                <w:szCs w:val="28"/>
              </w:rPr>
              <w:t>Б.В. Чегодаев</w:t>
            </w:r>
            <w:bookmarkEnd w:id="1"/>
          </w:p>
          <w:p w:rsidR="00A04733" w:rsidRPr="00A04733" w:rsidRDefault="00A04733" w:rsidP="00A04733">
            <w:pPr>
              <w:tabs>
                <w:tab w:val="left" w:pos="4962"/>
              </w:tabs>
              <w:rPr>
                <w:rFonts w:ascii="Times New Roman" w:hAnsi="Times New Roman"/>
                <w:i/>
                <w:sz w:val="28"/>
                <w:szCs w:val="28"/>
              </w:rPr>
            </w:pPr>
            <w:r w:rsidRPr="00A04733">
              <w:rPr>
                <w:rFonts w:ascii="Times New Roman" w:hAnsi="Times New Roman"/>
                <w:i/>
                <w:sz w:val="28"/>
                <w:szCs w:val="28"/>
              </w:rPr>
              <w:t xml:space="preserve">главный специалист Министерства транспорта Донецкой Народной Республики, </w:t>
            </w:r>
          </w:p>
          <w:p w:rsidR="00A04733" w:rsidRPr="00A04733" w:rsidRDefault="00A04733" w:rsidP="00A04733">
            <w:pPr>
              <w:tabs>
                <w:tab w:val="left" w:pos="4962"/>
              </w:tabs>
              <w:rPr>
                <w:rFonts w:ascii="Times New Roman" w:hAnsi="Times New Roman"/>
                <w:i/>
                <w:sz w:val="28"/>
                <w:szCs w:val="28"/>
              </w:rPr>
            </w:pPr>
            <w:r w:rsidRPr="00A04733">
              <w:rPr>
                <w:rFonts w:ascii="Times New Roman" w:hAnsi="Times New Roman"/>
                <w:i/>
                <w:sz w:val="28"/>
                <w:szCs w:val="28"/>
              </w:rPr>
              <w:t>Донецк, Донецкая Народная Республика</w:t>
            </w:r>
          </w:p>
          <w:p w:rsidR="00A04733" w:rsidRPr="00A04733" w:rsidRDefault="00A04733" w:rsidP="00A04733">
            <w:pPr>
              <w:tabs>
                <w:tab w:val="left" w:pos="4962"/>
              </w:tabs>
              <w:rPr>
                <w:rFonts w:ascii="Times New Roman" w:hAnsi="Times New Roman"/>
                <w:b/>
                <w:i/>
                <w:sz w:val="28"/>
                <w:szCs w:val="28"/>
              </w:rPr>
            </w:pPr>
            <w:r w:rsidRPr="00A04733">
              <w:rPr>
                <w:rFonts w:ascii="Times New Roman" w:hAnsi="Times New Roman"/>
                <w:b/>
                <w:i/>
                <w:sz w:val="28"/>
                <w:szCs w:val="28"/>
                <w:lang w:val="en-US"/>
              </w:rPr>
              <w:t>Y</w:t>
            </w:r>
            <w:r w:rsidRPr="00A04733">
              <w:rPr>
                <w:rFonts w:ascii="Times New Roman" w:hAnsi="Times New Roman"/>
                <w:b/>
                <w:i/>
                <w:sz w:val="28"/>
                <w:szCs w:val="28"/>
              </w:rPr>
              <w:t xml:space="preserve">. </w:t>
            </w:r>
            <w:r w:rsidRPr="00A04733">
              <w:rPr>
                <w:rFonts w:ascii="Times New Roman" w:hAnsi="Times New Roman"/>
                <w:b/>
                <w:i/>
                <w:sz w:val="28"/>
                <w:szCs w:val="28"/>
                <w:lang w:val="en-US"/>
              </w:rPr>
              <w:t>I</w:t>
            </w:r>
            <w:r w:rsidRPr="00A04733">
              <w:rPr>
                <w:rFonts w:ascii="Times New Roman" w:hAnsi="Times New Roman"/>
                <w:b/>
                <w:i/>
                <w:sz w:val="28"/>
                <w:szCs w:val="28"/>
              </w:rPr>
              <w:t xml:space="preserve">. </w:t>
            </w:r>
            <w:r w:rsidRPr="00A04733">
              <w:rPr>
                <w:rFonts w:ascii="Times New Roman" w:hAnsi="Times New Roman"/>
                <w:b/>
                <w:i/>
                <w:sz w:val="28"/>
                <w:szCs w:val="28"/>
                <w:lang w:val="en-US"/>
              </w:rPr>
              <w:t>Chestnaya</w:t>
            </w:r>
          </w:p>
          <w:p w:rsidR="00A04733" w:rsidRPr="00A04733" w:rsidRDefault="00A04733" w:rsidP="00A04733">
            <w:pPr>
              <w:tabs>
                <w:tab w:val="left" w:pos="4962"/>
              </w:tabs>
              <w:rPr>
                <w:rFonts w:ascii="Times New Roman" w:hAnsi="Times New Roman"/>
                <w:i/>
                <w:sz w:val="28"/>
                <w:szCs w:val="28"/>
                <w:lang w:val="en-US"/>
              </w:rPr>
            </w:pPr>
            <w:r w:rsidRPr="00A04733">
              <w:rPr>
                <w:rFonts w:ascii="Times New Roman" w:hAnsi="Times New Roman"/>
                <w:i/>
                <w:sz w:val="28"/>
                <w:szCs w:val="28"/>
                <w:lang w:val="en-US"/>
              </w:rPr>
              <w:t>GOU VPO «Donetsk national technical University», Donetsk</w:t>
            </w:r>
          </w:p>
          <w:p w:rsidR="00A04733" w:rsidRPr="00A04733" w:rsidRDefault="00A04733" w:rsidP="00A04733">
            <w:pPr>
              <w:tabs>
                <w:tab w:val="left" w:pos="4962"/>
              </w:tabs>
              <w:rPr>
                <w:rFonts w:ascii="Times New Roman" w:hAnsi="Times New Roman"/>
                <w:b/>
                <w:i/>
                <w:sz w:val="28"/>
                <w:szCs w:val="28"/>
                <w:lang w:val="en-US"/>
              </w:rPr>
            </w:pPr>
            <w:r w:rsidRPr="00A04733">
              <w:rPr>
                <w:rFonts w:ascii="Times New Roman" w:hAnsi="Times New Roman"/>
                <w:b/>
                <w:i/>
                <w:sz w:val="28"/>
                <w:szCs w:val="28"/>
                <w:lang w:val="en-US"/>
              </w:rPr>
              <w:t>B. V. Chegodaev</w:t>
            </w:r>
          </w:p>
          <w:p w:rsidR="00A04733" w:rsidRPr="00A04733" w:rsidRDefault="00A04733" w:rsidP="00A04733">
            <w:pPr>
              <w:tabs>
                <w:tab w:val="left" w:pos="4962"/>
              </w:tabs>
              <w:rPr>
                <w:rFonts w:ascii="Times New Roman" w:hAnsi="Times New Roman"/>
                <w:i/>
                <w:sz w:val="28"/>
                <w:szCs w:val="28"/>
                <w:lang w:val="en-US"/>
              </w:rPr>
            </w:pPr>
            <w:r w:rsidRPr="00A04733">
              <w:rPr>
                <w:rFonts w:ascii="Times New Roman" w:hAnsi="Times New Roman"/>
                <w:i/>
                <w:sz w:val="28"/>
                <w:szCs w:val="28"/>
                <w:lang w:val="en-US"/>
              </w:rPr>
              <w:t xml:space="preserve">chief specialist of the Ministry of transport of the Donetsk People's Republic, </w:t>
            </w:r>
          </w:p>
          <w:p w:rsidR="00A04733" w:rsidRPr="00A04733" w:rsidRDefault="00A04733" w:rsidP="00A04733">
            <w:pPr>
              <w:rPr>
                <w:rFonts w:ascii="Times New Roman" w:hAnsi="Times New Roman"/>
                <w:sz w:val="28"/>
                <w:szCs w:val="28"/>
              </w:rPr>
            </w:pPr>
            <w:r w:rsidRPr="00A04733">
              <w:rPr>
                <w:rFonts w:ascii="Times New Roman" w:hAnsi="Times New Roman"/>
                <w:i/>
                <w:sz w:val="28"/>
                <w:szCs w:val="28"/>
                <w:lang w:val="en-US"/>
              </w:rPr>
              <w:t>Donetsk</w:t>
            </w:r>
            <w:r w:rsidRPr="00A04733">
              <w:rPr>
                <w:rFonts w:ascii="Times New Roman" w:hAnsi="Times New Roman"/>
                <w:i/>
                <w:sz w:val="28"/>
                <w:szCs w:val="28"/>
              </w:rPr>
              <w:t>, Donetsk People's Republic</w:t>
            </w:r>
          </w:p>
        </w:tc>
      </w:tr>
      <w:tr w:rsidR="00A04733" w:rsidRPr="00A04733" w:rsidTr="00272896">
        <w:trPr>
          <w:jc w:val="center"/>
        </w:trPr>
        <w:tc>
          <w:tcPr>
            <w:tcW w:w="4320" w:type="dxa"/>
          </w:tcPr>
          <w:p w:rsidR="00A04733" w:rsidRPr="00A04733" w:rsidRDefault="00A04733" w:rsidP="00A04733">
            <w:pPr>
              <w:keepNext/>
              <w:keepLines/>
              <w:ind w:hanging="28"/>
              <w:jc w:val="center"/>
              <w:outlineLvl w:val="0"/>
              <w:rPr>
                <w:rFonts w:ascii="Times New Roman" w:hAnsi="Times New Roman"/>
                <w:b/>
                <w:bCs/>
                <w:caps/>
                <w:sz w:val="28"/>
                <w:szCs w:val="28"/>
                <w:shd w:val="clear" w:color="auto" w:fill="FFFFFF"/>
              </w:rPr>
            </w:pPr>
          </w:p>
        </w:tc>
        <w:tc>
          <w:tcPr>
            <w:tcW w:w="5246" w:type="dxa"/>
          </w:tcPr>
          <w:p w:rsidR="00A04733" w:rsidRPr="00A04733" w:rsidRDefault="00A04733" w:rsidP="00A04733">
            <w:pPr>
              <w:widowControl w:val="0"/>
              <w:jc w:val="both"/>
              <w:rPr>
                <w:rFonts w:ascii="Times New Roman" w:hAnsi="Times New Roman"/>
                <w:sz w:val="28"/>
                <w:szCs w:val="24"/>
              </w:rPr>
            </w:pPr>
          </w:p>
        </w:tc>
      </w:tr>
      <w:tr w:rsidR="00A04733" w:rsidRPr="00A04733" w:rsidTr="00272896">
        <w:trPr>
          <w:jc w:val="center"/>
        </w:trPr>
        <w:tc>
          <w:tcPr>
            <w:tcW w:w="9566" w:type="dxa"/>
            <w:gridSpan w:val="2"/>
          </w:tcPr>
          <w:p w:rsidR="00A04733" w:rsidRPr="00A04733" w:rsidRDefault="00A04733" w:rsidP="00A04733">
            <w:pPr>
              <w:keepNext/>
              <w:keepLines/>
              <w:ind w:hanging="28"/>
              <w:jc w:val="center"/>
              <w:outlineLvl w:val="0"/>
              <w:rPr>
                <w:rFonts w:ascii="Times New Roman" w:hAnsi="Times New Roman"/>
                <w:b/>
                <w:bCs/>
                <w:caps/>
                <w:sz w:val="28"/>
                <w:szCs w:val="28"/>
                <w:shd w:val="clear" w:color="auto" w:fill="FFFFFF"/>
              </w:rPr>
            </w:pPr>
            <w:bookmarkStart w:id="2" w:name="_Toc518846528"/>
            <w:r w:rsidRPr="00A04733">
              <w:rPr>
                <w:rFonts w:ascii="Times New Roman" w:hAnsi="Times New Roman"/>
                <w:b/>
                <w:bCs/>
                <w:caps/>
                <w:sz w:val="28"/>
                <w:szCs w:val="28"/>
                <w:shd w:val="clear" w:color="auto" w:fill="FFFFFF"/>
              </w:rPr>
              <w:t>ПРОБЛЕМЫ РЕАЛИЗАЦИИ МЕЖБЮДЖЕТНЫХ ОТНОШЕНИЙ В РОССИЙСКОЙ ФЕДЕРАЦИИ В СОВРЕМЕННЫХ УСЛОВИЯХ</w:t>
            </w:r>
            <w:bookmarkEnd w:id="2"/>
          </w:p>
        </w:tc>
      </w:tr>
      <w:tr w:rsidR="00A04733" w:rsidRPr="00A04733" w:rsidTr="00272896">
        <w:trPr>
          <w:jc w:val="center"/>
        </w:trPr>
        <w:tc>
          <w:tcPr>
            <w:tcW w:w="9566" w:type="dxa"/>
            <w:gridSpan w:val="2"/>
          </w:tcPr>
          <w:p w:rsidR="00A04733" w:rsidRPr="00A04733" w:rsidRDefault="00A04733" w:rsidP="00A04733">
            <w:pPr>
              <w:jc w:val="both"/>
              <w:rPr>
                <w:rFonts w:ascii="Times New Roman" w:hAnsi="Times New Roman"/>
                <w:sz w:val="28"/>
                <w:szCs w:val="24"/>
              </w:rPr>
            </w:pPr>
          </w:p>
        </w:tc>
      </w:tr>
      <w:tr w:rsidR="00A04733" w:rsidRPr="00A04733" w:rsidTr="00272896">
        <w:trPr>
          <w:jc w:val="center"/>
        </w:trPr>
        <w:tc>
          <w:tcPr>
            <w:tcW w:w="9566" w:type="dxa"/>
            <w:gridSpan w:val="2"/>
          </w:tcPr>
          <w:p w:rsidR="00A04733" w:rsidRPr="00A04733" w:rsidRDefault="00A04733" w:rsidP="00A04733">
            <w:pPr>
              <w:ind w:firstLine="36"/>
              <w:jc w:val="center"/>
              <w:rPr>
                <w:rFonts w:ascii="Times New Roman" w:hAnsi="Times New Roman"/>
                <w:b/>
                <w:sz w:val="28"/>
                <w:szCs w:val="28"/>
                <w:lang w:val="en-US"/>
              </w:rPr>
            </w:pPr>
            <w:r w:rsidRPr="00A04733">
              <w:rPr>
                <w:rFonts w:ascii="Times New Roman" w:hAnsi="Times New Roman"/>
                <w:b/>
                <w:sz w:val="28"/>
                <w:szCs w:val="28"/>
                <w:lang w:val="en-US"/>
              </w:rPr>
              <w:t>PROBLEMS OF IMPLEMENTATION OF INTERBUDGETARY</w:t>
            </w:r>
          </w:p>
          <w:p w:rsidR="00A04733" w:rsidRPr="00A04733" w:rsidRDefault="00A04733" w:rsidP="00A04733">
            <w:pPr>
              <w:ind w:firstLine="36"/>
              <w:jc w:val="center"/>
              <w:rPr>
                <w:rFonts w:ascii="Times New Roman" w:hAnsi="Times New Roman"/>
                <w:b/>
                <w:sz w:val="28"/>
                <w:szCs w:val="28"/>
                <w:lang w:val="en-US"/>
              </w:rPr>
            </w:pPr>
            <w:r w:rsidRPr="00A04733">
              <w:rPr>
                <w:rFonts w:ascii="Times New Roman" w:hAnsi="Times New Roman"/>
                <w:b/>
                <w:sz w:val="28"/>
                <w:szCs w:val="28"/>
                <w:lang w:val="en-US"/>
              </w:rPr>
              <w:t>RELATIONS IN THE RUSSIAN FEDERATION IN MODERN CONDITIONS</w:t>
            </w:r>
          </w:p>
        </w:tc>
      </w:tr>
    </w:tbl>
    <w:p w:rsidR="00A04733" w:rsidRPr="00A04733" w:rsidRDefault="00A04733" w:rsidP="00A04733">
      <w:pPr>
        <w:spacing w:after="0" w:line="240" w:lineRule="auto"/>
        <w:ind w:firstLine="709"/>
        <w:jc w:val="both"/>
        <w:rPr>
          <w:rFonts w:ascii="Times New Roman" w:eastAsia="Times New Roman" w:hAnsi="Times New Roman" w:cs="Times New Roman"/>
          <w:i/>
          <w:iCs/>
          <w:sz w:val="28"/>
          <w:szCs w:val="28"/>
          <w:lang w:val="en-US"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
          <w:iCs/>
          <w:sz w:val="24"/>
          <w:szCs w:val="24"/>
          <w:lang w:eastAsia="ru-RU"/>
        </w:rPr>
      </w:pPr>
      <w:r w:rsidRPr="00A04733">
        <w:rPr>
          <w:rFonts w:ascii="Times New Roman" w:eastAsia="Times New Roman" w:hAnsi="Times New Roman" w:cs="Times New Roman"/>
          <w:i/>
          <w:iCs/>
          <w:sz w:val="24"/>
          <w:szCs w:val="24"/>
          <w:lang w:eastAsia="ru-RU"/>
        </w:rPr>
        <w:t xml:space="preserve">Аннотация. В статье рассмотрены особенности межбюджетных отношений с учетом специфики расходных обязательств и доходных полномочий в рамках бюджетной политики государства. Отдельно авторы акцентируют внимание на существующих неблагоприятных внешних и внутренних условиях, воздействующих на экономику государства в целом. В дополнение к изложенному материалу, проведен анализ современной бюджетной политики Российской Федерации в части межбюджетных отношений и бюджетного планирования. </w:t>
      </w:r>
    </w:p>
    <w:p w:rsidR="00A04733" w:rsidRPr="00A04733" w:rsidRDefault="00A04733" w:rsidP="00A04733">
      <w:pPr>
        <w:spacing w:after="0" w:line="240" w:lineRule="auto"/>
        <w:ind w:firstLine="709"/>
        <w:jc w:val="both"/>
        <w:rPr>
          <w:rFonts w:ascii="Times New Roman" w:eastAsia="Times New Roman" w:hAnsi="Times New Roman" w:cs="Times New Roman"/>
          <w:i/>
          <w:iCs/>
          <w:sz w:val="24"/>
          <w:szCs w:val="24"/>
          <w:lang w:eastAsia="ru-RU"/>
        </w:rPr>
      </w:pPr>
      <w:r w:rsidRPr="00A04733">
        <w:rPr>
          <w:rFonts w:ascii="Times New Roman" w:eastAsia="Times New Roman" w:hAnsi="Times New Roman" w:cs="Times New Roman"/>
          <w:i/>
          <w:iCs/>
          <w:sz w:val="24"/>
          <w:szCs w:val="24"/>
          <w:lang w:eastAsia="ru-RU"/>
        </w:rPr>
        <w:t>Ключевые слова: межбюджетные отношения, экономические отношения, бюджет, трансферты, бюджетное планирование.</w:t>
      </w:r>
    </w:p>
    <w:p w:rsidR="00A04733" w:rsidRPr="00A04733" w:rsidRDefault="00A04733" w:rsidP="00A04733">
      <w:pPr>
        <w:spacing w:after="0" w:line="240" w:lineRule="auto"/>
        <w:ind w:firstLine="709"/>
        <w:jc w:val="both"/>
        <w:rPr>
          <w:rFonts w:ascii="Times New Roman" w:eastAsia="Times New Roman" w:hAnsi="Times New Roman" w:cs="Times New Roman"/>
          <w:i/>
          <w:iCs/>
          <w:sz w:val="24"/>
          <w:szCs w:val="24"/>
          <w:lang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
          <w:iCs/>
          <w:sz w:val="24"/>
          <w:szCs w:val="24"/>
          <w:lang w:val="en-US" w:eastAsia="ru-RU"/>
        </w:rPr>
      </w:pPr>
      <w:r w:rsidRPr="00A04733">
        <w:rPr>
          <w:rFonts w:ascii="Times New Roman" w:eastAsia="Times New Roman" w:hAnsi="Times New Roman" w:cs="Times New Roman"/>
          <w:i/>
          <w:iCs/>
          <w:sz w:val="24"/>
          <w:szCs w:val="24"/>
          <w:lang w:val="en-US" w:eastAsia="ru-RU"/>
        </w:rPr>
        <w:t>Abstract.</w:t>
      </w:r>
      <w:r w:rsidRPr="00A04733">
        <w:rPr>
          <w:rFonts w:ascii="Times New Roman" w:eastAsia="Times New Roman" w:hAnsi="Times New Roman" w:cs="Times New Roman"/>
          <w:i/>
          <w:sz w:val="24"/>
          <w:szCs w:val="24"/>
          <w:lang w:val="en-US" w:eastAsia="ru-RU"/>
        </w:rPr>
        <w:t xml:space="preserve"> </w:t>
      </w:r>
      <w:r w:rsidRPr="00A04733">
        <w:rPr>
          <w:rFonts w:ascii="Times New Roman" w:eastAsia="Times New Roman" w:hAnsi="Times New Roman" w:cs="Times New Roman"/>
          <w:i/>
          <w:iCs/>
          <w:sz w:val="24"/>
          <w:szCs w:val="24"/>
          <w:lang w:val="en-US" w:eastAsia="ru-RU"/>
        </w:rPr>
        <w:t>The article deals with the peculiarities of inter-budgetary relations, taking into account the specifics of expenditure obligations and revenue powers in the framework of the state budget policy. Separately, the authors focus on the existing adverse external and internal conditions affecting the economy of the state as a whole. In addition to the material presented, the analysis of the current budget policy of the Russian Federation in terms of inter-budgetary relations and budget planning.</w:t>
      </w:r>
    </w:p>
    <w:p w:rsidR="00A04733" w:rsidRPr="00A04733" w:rsidRDefault="00A04733" w:rsidP="00A04733">
      <w:pPr>
        <w:spacing w:after="0" w:line="240" w:lineRule="auto"/>
        <w:ind w:firstLine="709"/>
        <w:jc w:val="both"/>
        <w:rPr>
          <w:rFonts w:ascii="Times New Roman" w:eastAsia="Times New Roman" w:hAnsi="Times New Roman" w:cs="Times New Roman"/>
          <w:i/>
          <w:iCs/>
          <w:sz w:val="24"/>
          <w:szCs w:val="24"/>
          <w:lang w:val="en-US" w:eastAsia="ru-RU"/>
        </w:rPr>
      </w:pPr>
      <w:r w:rsidRPr="00A04733">
        <w:rPr>
          <w:rFonts w:ascii="Times New Roman" w:eastAsia="Times New Roman" w:hAnsi="Times New Roman" w:cs="Times New Roman"/>
          <w:i/>
          <w:iCs/>
          <w:sz w:val="24"/>
          <w:szCs w:val="24"/>
          <w:lang w:val="en-US" w:eastAsia="ru-RU"/>
        </w:rPr>
        <w:t>Keywords:</w:t>
      </w:r>
      <w:r w:rsidRPr="00A04733">
        <w:rPr>
          <w:rFonts w:ascii="Times New Roman" w:eastAsia="Times New Roman" w:hAnsi="Times New Roman" w:cs="Times New Roman"/>
          <w:i/>
          <w:sz w:val="24"/>
          <w:szCs w:val="24"/>
          <w:lang w:val="en-US" w:eastAsia="ru-RU"/>
        </w:rPr>
        <w:t xml:space="preserve"> </w:t>
      </w:r>
      <w:r w:rsidRPr="00A04733">
        <w:rPr>
          <w:rFonts w:ascii="Times New Roman" w:eastAsia="Times New Roman" w:hAnsi="Times New Roman" w:cs="Times New Roman"/>
          <w:i/>
          <w:iCs/>
          <w:sz w:val="24"/>
          <w:szCs w:val="24"/>
          <w:lang w:val="en-US" w:eastAsia="ru-RU"/>
        </w:rPr>
        <w:t>interbudgetary relations, economic relations, budget, transfers, budget planning</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val="en-US" w:eastAsia="ru-RU"/>
        </w:rPr>
      </w:pP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b/>
          <w:iCs/>
          <w:sz w:val="28"/>
          <w:szCs w:val="28"/>
          <w:lang w:eastAsia="ru-RU"/>
        </w:rPr>
        <w:t>Постановка проблемы.</w:t>
      </w:r>
      <w:r w:rsidRPr="00A04733">
        <w:rPr>
          <w:rFonts w:ascii="Times New Roman" w:eastAsia="Times New Roman" w:hAnsi="Times New Roman" w:cs="Times New Roman"/>
          <w:sz w:val="28"/>
          <w:szCs w:val="28"/>
          <w:lang w:eastAsia="ru-RU"/>
        </w:rPr>
        <w:t xml:space="preserve"> Современные экономические отношения между субъектами отдельного государства, характеризуются многовекторностью своей реализации и сложностью, обусловленной длительным периодом формирования соответствующих отношений, уровнем </w:t>
      </w:r>
      <w:r w:rsidRPr="00A04733">
        <w:rPr>
          <w:rFonts w:ascii="Times New Roman" w:eastAsia="Times New Roman" w:hAnsi="Times New Roman" w:cs="Times New Roman"/>
          <w:sz w:val="28"/>
          <w:szCs w:val="28"/>
          <w:lang w:eastAsia="ru-RU"/>
        </w:rPr>
        <w:lastRenderedPageBreak/>
        <w:t xml:space="preserve">научно-технического прогресса, социальным составом и спецификой ведения хозяйственной деятельности в том или ином регионе мира. В эпоху глобализации и размытия границ экономического суверенитета стран довольно сложно создать и реализовать независимую бюджетную политику, в том числе в сфере межбюджетных отношений. </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xml:space="preserve">Сущностью и одновременно функцией межбюджетных отношений является агрегирование в едином консолидированном бюджете всех доходов государства (за исключением тех, что остаются на местном уровне) и целевое перераспределение с наибольшей эффективностью, в соответствии с уровнем развития региона, города, муниципалитета. Иными словами, доходы изымаются из регионов-доноров и передаются регионам-реципиентам. Из всех федеративных государств особым образом выделяется Российская Федерация. Из 85 субъектов Российской Федерации донорами в 2018 году можно считать только 15. Диспропорция в развитии регионов носит объективный характер, на что государство в последнее время соразмерно реагирует. Это заключается в разработке программ развития регионов, например, Дальнего Востока, а также создание особых экономических зон. </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xml:space="preserve">Отдельной характеристикой, как межбюджетных отношений, так и бюджетов разного уровня в целом, является степень их автономии. Данная характеристика заключается в степени сбалансированности различных частей бюджетов (расходной и доходной части). Анализируя доходные и расходные части бюджетов, например, субъектов Российской Федерации, можно констатировать заведомо закладываемый дисбаланс между частями бюджета, где в некоторых регионах он достигают 80% всего бюджета региона. Однако, это в большей степени характеризует несогласованность бюджетного института государства в части организационных, управленческих и институциональных аспектов бюджетной политики. </w:t>
      </w:r>
    </w:p>
    <w:p w:rsidR="00A04733" w:rsidRPr="00A04733" w:rsidRDefault="00A04733" w:rsidP="00A04733">
      <w:pPr>
        <w:widowControl w:val="0"/>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xml:space="preserve">Принимая во внимание вышеизложенные проблемы в реализации межбюджетных отношений, дополнительными негативными факторами по данному направлению можно считать: </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недостаточное поддержание государством экономического развития регионов-доноров, что в динамике снижает их макроэкономические показатели, при несистемном выделении средств регионам-реципиентам, в которых отсутствует соизмеримый экономический эффект с выделенным финансированием;</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неэффективная дифференциация финансовых обязательств между федеральным бюджетом, бюджетами субъектов и местными бюджетами непропорционально объему финансового обеспечения соответствующих обязательств;</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отсутствие политической воли у федерального центра к передаче части бюджетных полномочий по формированию доходов бюджетов субъектов и местных бюджетов;</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отсутствие законодательного закрепления источников налогов за соответствующим уровнем бюджета;</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низкий уровень проработки бюджетов различных уровней;</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lastRenderedPageBreak/>
        <w:t>– высокий уровень коррупционной составляющей консолидированной экономики, низкая экономическая культура элит и их нежелание проводить качественные изменения бюджетной политики;</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отсутствие в ряде стран долгосрочных стратегий экономического развития, в которых стратегия сводится к решению текущих проблем в экономике регионов;</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 отсутствие методик оценки эффективности системы межбюджетных отношений, в том числе бюджетной политики субъектов и муниципальных образований [1, с. 137].</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В условиях воздействия неблагоприятных факторов реализация межбюджетных отношений должна быть обеспечена крепким институтом бюджетной политики при раскрытии экономического потенциала в каждом регионе-реципиенте  с переводом их в разряд доноров.</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b/>
          <w:iCs/>
          <w:sz w:val="28"/>
          <w:szCs w:val="28"/>
          <w:lang w:eastAsia="ru-RU"/>
        </w:rPr>
        <w:t xml:space="preserve">Анализ предыдущих исследований и публикаций. </w:t>
      </w:r>
      <w:r w:rsidRPr="00A04733">
        <w:rPr>
          <w:rFonts w:ascii="Times New Roman" w:eastAsia="Times New Roman" w:hAnsi="Times New Roman" w:cs="Times New Roman"/>
          <w:iCs/>
          <w:sz w:val="28"/>
          <w:szCs w:val="28"/>
          <w:lang w:eastAsia="ru-RU"/>
        </w:rPr>
        <w:t xml:space="preserve">Современные авторы особую роль отводят исследованию бюджетных систем и соответствующих политик, а также в рамках этих систем межбюджетным отношениям и бюджетному федерализму. </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 xml:space="preserve">Целесообразно выделить исследования финансовой составляющей государственного устройства, проблем реализации межбюджетных отношений в условиях воздействия неблагоприятных факторов, и источников доходов и расходов бюджетов разных уровней следующих российских авторов: А.В. Митрофанова [2], С.В. Мишиной [3], Д.И. Игнатенко [4],  Ю.Г. Швецова [5], О.А. Н.С. Крыловой [6], А.Н. Афанасьевой [7] и др. </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К наиболее фундаментальным исследованиям российского ученого сообщества в сфере бюджетного федерализма и межбюджетных отношений на различных уровнях относятся труды следующих авторов: О.М. Моисеевой [8], А.В. Ярошептовой [9], Д.С. Клейменова [10], В.А. Широбоковой [11],  В.А. Алешина [12], Р.К. Арыкбаева [13], Н.С. Томилиной [14] и др., в том числе зарубежных авторов: А. Феррара [15], Д.Н Кинга [16], В.Е. Оутса [17],  Ч.К. Шарма [18] и др.</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 xml:space="preserve">При этом в современной экономической литературе недостаточно освещены вопросы реализации межбюджетных отношений и бюджетного федерализма </w:t>
      </w:r>
      <w:r w:rsidRPr="00A04733">
        <w:rPr>
          <w:rFonts w:ascii="Times New Roman" w:eastAsia="Times New Roman" w:hAnsi="Times New Roman" w:cs="Times New Roman"/>
          <w:bCs/>
          <w:sz w:val="28"/>
          <w:szCs w:val="28"/>
          <w:lang w:eastAsia="ru-RU"/>
        </w:rPr>
        <w:t xml:space="preserve">в условиях воздействия неблагоприятных факторов и возрастающей напряженности в мировом сообществе в последние годы. </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b/>
          <w:iCs/>
          <w:sz w:val="28"/>
          <w:szCs w:val="28"/>
          <w:lang w:eastAsia="ru-RU"/>
        </w:rPr>
        <w:t>Цель исследования</w:t>
      </w:r>
      <w:r w:rsidRPr="00A04733">
        <w:rPr>
          <w:rFonts w:ascii="Times New Roman" w:eastAsia="Times New Roman" w:hAnsi="Times New Roman" w:cs="Times New Roman"/>
          <w:iCs/>
          <w:sz w:val="28"/>
          <w:szCs w:val="28"/>
          <w:lang w:eastAsia="ru-RU"/>
        </w:rPr>
        <w:t>. Основной целью работы является выявление проблем и теоретическое обоснование основных аспектов реализации межбюджетных отношений в современных условиях, а также исследование особенностей бюджетного планирования в Российской Федерации.</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b/>
          <w:iCs/>
          <w:sz w:val="28"/>
          <w:szCs w:val="28"/>
          <w:lang w:eastAsia="ru-RU"/>
        </w:rPr>
        <w:t>Основные результаты исследования.</w:t>
      </w:r>
      <w:r w:rsidRPr="00A04733">
        <w:rPr>
          <w:rFonts w:ascii="Times New Roman" w:eastAsia="Times New Roman" w:hAnsi="Times New Roman" w:cs="Times New Roman"/>
          <w:iCs/>
          <w:sz w:val="28"/>
          <w:szCs w:val="28"/>
          <w:lang w:eastAsia="ru-RU"/>
        </w:rPr>
        <w:t xml:space="preserve"> Внешние и внутренние условия, в которых Российская федерация осуществляет межбюджетные отношения, определяется как умеренно агрессивные, и на начало 2018 года наблюдается определенная стабилизация и адаптация экономики государства к данной среде. Основным внешним фактором, негативно воздействующим на экономику страны, являются санкционные ограничения, введенные рядом западных стран, и нестабильная конъюнктура сырьевых рынков. Если  </w:t>
      </w:r>
      <w:r w:rsidRPr="00A04733">
        <w:rPr>
          <w:rFonts w:ascii="Times New Roman" w:eastAsia="Times New Roman" w:hAnsi="Times New Roman" w:cs="Times New Roman"/>
          <w:iCs/>
          <w:sz w:val="28"/>
          <w:szCs w:val="28"/>
          <w:lang w:eastAsia="ru-RU"/>
        </w:rPr>
        <w:lastRenderedPageBreak/>
        <w:t>санкционные ограничения, в ряде случаев, позволили через программы импортозамещения стабилизировать экономическую ситуацию в стране, то обрушение сырьевых рынков в 2014-2015 годах напрямую воздействовало на бюджетную политику государства. Выходом с данной ситуации была достигнутая договоренность Российской Федерации и Организацией стран – экспортёров нефти (ОПЕК) о формуле сокращения добычи нефти [19]. Данные действия привели к выравниванию и последующему повышению цены на энергетические ресурсы с 27,5 дол. США за баррель в 2016  г. (21 января зафиксирована самая низкая цена с начала 2000х) до 64,9 дол. США за баррель</w:t>
      </w:r>
      <w:r w:rsidRPr="00A04733">
        <w:rPr>
          <w:rFonts w:ascii="Times New Roman" w:eastAsia="Times New Roman" w:hAnsi="Times New Roman" w:cs="Times New Roman"/>
          <w:sz w:val="28"/>
          <w:szCs w:val="28"/>
          <w:lang w:eastAsia="ru-RU"/>
        </w:rPr>
        <w:t xml:space="preserve"> марки </w:t>
      </w:r>
      <w:r w:rsidRPr="00A04733">
        <w:rPr>
          <w:rFonts w:ascii="Times New Roman" w:eastAsia="Times New Roman" w:hAnsi="Times New Roman" w:cs="Times New Roman"/>
          <w:iCs/>
          <w:sz w:val="28"/>
          <w:szCs w:val="28"/>
          <w:lang w:eastAsia="ru-RU"/>
        </w:rPr>
        <w:t>Brent на 01 марта  2018 года [20]. С учетом данных тенденций и в совокупности с имеющимися международными соглашениями было заложена цена нефти в бюджет Российской Федерации на уровне 43,8 дол. США за баррель [21].</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В соответствии с намеченным вектором социально-экономического развития 01 марта 2018 года Президентом Российской Федерации было озвучено Послание Федеральному собранию государства. Отметим, что в данном Послании были определены условия достижения поставленных целей, основными из которых являются: повышение эффективности государственных расходов; развитие государственно-частного партнерства; модернизация фискальной политики; повышение экономических показателей регионов и страны в целом, с ежегодным приростом ВВП в размере 5%;  снижение зависимости экономики от колебаний мировых цен на энергоресурсы; дальнейшее наращивание золотовалютных резервов и др. [22]. В соответствии с целевым наращиванием золотовалютных резервов, Российская Федерация за 2017-2018 гг. стала одной из ведущих стран по закупке золота на международных рынках, и в январе 2018 г. объемы данного метала превысили соответствующие объемы Китайской Народной Республики, что переместило государство на пятое место в мире по размеру золотого запаса. Так, по материалам Банка России на 01 января 2018 года золотые запасы Российской Федерации составляли 59,1 млн унций (1838,22 тонны) на сумму 76,647 млрд дол. США [23].</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Основным аспектом реализации межбюджетных отношений в Российской Федерации являются межбюджетные трансферты, в качестве которых выступают: субсидии, субвенции и дотации. Представим схему организации данных отношений (рис.1)</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Дотации направляются бюджетам иных уровней на безвозвратной и безвозмездной основе, которые предназначаются на покрытие текущих расходов. Субвенции направляются бюджетам иных уровней на безвозвратной и безвозмездной основе, на конкретный период и с определенным целевым назначением. Субсидии направляются бюджетам иных уровней на условиях долевого участия и с использованием по целевому назначению. Рассмотрим межбюджетные трансферты бюджетам субъектов Российской Федерации на 2018-2019 гг. (рис.2).</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 xml:space="preserve">На основе приведенных данных, целесообразно отметить, что основную статью межбюджетных трансфертов составляют дотации из федерального </w:t>
      </w:r>
      <w:r w:rsidRPr="00A04733">
        <w:rPr>
          <w:rFonts w:ascii="Times New Roman" w:eastAsia="Times New Roman" w:hAnsi="Times New Roman" w:cs="Times New Roman"/>
          <w:iCs/>
          <w:sz w:val="28"/>
          <w:szCs w:val="28"/>
          <w:lang w:eastAsia="ru-RU"/>
        </w:rPr>
        <w:lastRenderedPageBreak/>
        <w:t>бюджета Российской Федерации, которые равняются 754,6 млрд руб. или 49,9% от общего количества трансфертов в 2018 г. при 765,7 млрд руб. и 53% от общего количества трансфертов в 2019 г.</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sz w:val="28"/>
          <w:szCs w:val="24"/>
          <w:lang w:eastAsia="ru-RU"/>
        </w:rPr>
        <w:object w:dxaOrig="13078" w:dyaOrig="8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24pt" o:ole="">
            <v:imagedata r:id="rId5" o:title=""/>
          </v:shape>
          <o:OLEObject Type="Embed" ProgID="Visio.Drawing.11" ShapeID="_x0000_i1025" DrawAspect="Content" ObjectID="_1599126626" r:id="rId6"/>
        </w:object>
      </w:r>
    </w:p>
    <w:p w:rsidR="00A04733" w:rsidRPr="00A04733" w:rsidRDefault="00A04733" w:rsidP="00A04733">
      <w:pPr>
        <w:spacing w:after="0" w:line="240" w:lineRule="auto"/>
        <w:ind w:firstLine="180"/>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Рис. 1. Схема организации межбюджетных отношений в Российской Федерации (составлено автором)</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noProof/>
          <w:sz w:val="28"/>
          <w:szCs w:val="24"/>
          <w:lang w:eastAsia="ru-RU"/>
        </w:rPr>
        <w:drawing>
          <wp:inline distT="0" distB="0" distL="0" distR="0" wp14:anchorId="18195C04" wp14:editId="1FEBC046">
            <wp:extent cx="6208889" cy="2623326"/>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04733" w:rsidRPr="00A04733" w:rsidRDefault="00A04733" w:rsidP="00A04733">
      <w:pPr>
        <w:spacing w:after="0" w:line="240" w:lineRule="auto"/>
        <w:ind w:firstLine="709"/>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Рис.2. Межбюджетные трансферты бюджетам субъектов Российской Федерации на 2018-2019 годы, млрд. руб. (составлено авторами на основании данных Федерального закона № 362-ФЗ)</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lastRenderedPageBreak/>
        <w:t>Повышение дотаций субъектам федерации объективно, что предопределено снижением количества регионов-доноров и увеличивающейся диспропорции между отдельными регионами страны. Данные тенденции и прогнозы не соответствуют заявленному вектору развития государства, установленному в Послании Президента Российской Федерации Федеральному собранию от 01 марта 2018 года.</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Одновременно с повышением дотационных отчислений, трансферты в виде субсидий уменьшаются с 325,9 млрд руб. или 21,5% от общего количества трансфертов в 2018 г. до 282,7 млрд руб. или 19,6% от общего количества трансфертов в 2019 г. Снижение объемов субсидирования субъектов Российской Федерации является следствием завершения финансирования из федерального бюджета ряда программ (подпрограмм и иных направлений), из 59 ед. действовавших на завершение 2017 г. к 2019 г. останется не более 50 ед. Наряду с этим, повышается объем субвенций из федерального бюджета с 303,8 млрд руб. или 20,1% от общего количества трансфертов в 2018 г., до 304,4 млрд руб. или 21% от общего количества трансфертов в 2019 г., что обусловлено проводимой политикой выравнивания бюджетов различных уровней, проводимой в Российской Федерации.</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На сегодняшний день система законодательства Российской Федерации обеспечивает все межбюджетные отношения необходимыми институциональными механизмами. В 2007 г. в Российской Федерации вступило новое законодательство в сфере бюджетного планирования,</w:t>
      </w:r>
      <w:r w:rsidRPr="00A04733">
        <w:rPr>
          <w:rFonts w:ascii="Times New Roman" w:eastAsia="Times New Roman" w:hAnsi="Times New Roman" w:cs="Times New Roman"/>
          <w:sz w:val="28"/>
          <w:szCs w:val="24"/>
          <w:lang w:eastAsia="ru-RU"/>
        </w:rPr>
        <w:t xml:space="preserve"> </w:t>
      </w:r>
      <w:r w:rsidRPr="00A04733">
        <w:rPr>
          <w:rFonts w:ascii="Times New Roman" w:eastAsia="Times New Roman" w:hAnsi="Times New Roman" w:cs="Times New Roman"/>
          <w:iCs/>
          <w:sz w:val="28"/>
          <w:szCs w:val="28"/>
          <w:lang w:eastAsia="ru-RU"/>
        </w:rPr>
        <w:t xml:space="preserve">впервые произошло формирование и принятие на среднесрочную основу федеральных законов о федеральном бюджете и о бюджетах государственных внебюджетных фондов. Руководясь установленными в законодательстве принципами </w:t>
      </w:r>
      <w:r w:rsidRPr="00A04733">
        <w:rPr>
          <w:rFonts w:ascii="Times New Roman" w:eastAsia="Times New Roman" w:hAnsi="Times New Roman" w:cs="Times New Roman"/>
          <w:sz w:val="28"/>
          <w:szCs w:val="28"/>
          <w:lang w:eastAsia="ru-RU"/>
        </w:rPr>
        <w:t xml:space="preserve"> «скользящей трехлетки»</w:t>
      </w:r>
      <w:r w:rsidRPr="00A04733">
        <w:rPr>
          <w:rFonts w:ascii="Times New Roman" w:eastAsia="Times New Roman" w:hAnsi="Times New Roman" w:cs="Times New Roman"/>
          <w:iCs/>
          <w:sz w:val="28"/>
          <w:szCs w:val="28"/>
          <w:lang w:eastAsia="ru-RU"/>
        </w:rPr>
        <w:t>, проектировка второго и третьего года трехлетнего бюджетного периода является проектом следующего бюджета с ежегодным добавлением к ним проекта бюджета третьего года (рис.3).</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sz w:val="28"/>
          <w:szCs w:val="24"/>
          <w:lang w:eastAsia="ru-RU"/>
        </w:rPr>
        <w:object w:dxaOrig="12928" w:dyaOrig="5041">
          <v:shape id="_x0000_i1026" type="#_x0000_t75" style="width:482.25pt;height:189pt" o:ole="">
            <v:imagedata r:id="rId8" o:title=""/>
          </v:shape>
          <o:OLEObject Type="Embed" ProgID="Visio.Drawing.11" ShapeID="_x0000_i1026" DrawAspect="Content" ObjectID="_1599126627" r:id="rId9"/>
        </w:object>
      </w:r>
      <w:r w:rsidRPr="00A04733">
        <w:rPr>
          <w:rFonts w:ascii="Times New Roman" w:eastAsia="Times New Roman" w:hAnsi="Times New Roman" w:cs="Times New Roman"/>
          <w:iCs/>
          <w:sz w:val="28"/>
          <w:szCs w:val="28"/>
          <w:lang w:eastAsia="ru-RU"/>
        </w:rPr>
        <w:t>Рис. 3. Бюджетное планирование в Российской Федерации</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 xml:space="preserve">Положительным аспектом в представленном бюджетном планировании является, с одной стороны, предсказуемость бюджетных проектировок, а с </w:t>
      </w:r>
      <w:r w:rsidRPr="00A04733">
        <w:rPr>
          <w:rFonts w:ascii="Times New Roman" w:eastAsia="Times New Roman" w:hAnsi="Times New Roman" w:cs="Times New Roman"/>
          <w:iCs/>
          <w:sz w:val="28"/>
          <w:szCs w:val="28"/>
          <w:lang w:eastAsia="ru-RU"/>
        </w:rPr>
        <w:lastRenderedPageBreak/>
        <w:t>другой – нивелирование угроз от воздействия неблагоприятных факторов на реализацию межбюджетных отношений. Базис бюджетного планирования и межбюджетных отношений основан на ежегодно принимаемых четырех федеральных законах (рис.4) [24-27].</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sz w:val="28"/>
          <w:szCs w:val="24"/>
          <w:lang w:eastAsia="ru-RU"/>
        </w:rPr>
        <w:object w:dxaOrig="12377" w:dyaOrig="4213">
          <v:shape id="_x0000_i1027" type="#_x0000_t75" style="width:482.25pt;height:162.75pt" o:ole="">
            <v:imagedata r:id="rId10" o:title=""/>
          </v:shape>
          <o:OLEObject Type="Embed" ProgID="Visio.Drawing.11" ShapeID="_x0000_i1027" DrawAspect="Content" ObjectID="_1599126628" r:id="rId11"/>
        </w:object>
      </w:r>
    </w:p>
    <w:p w:rsidR="00A04733" w:rsidRPr="00A04733" w:rsidRDefault="00A04733" w:rsidP="00A04733">
      <w:pPr>
        <w:spacing w:after="0" w:line="240" w:lineRule="auto"/>
        <w:ind w:firstLine="180"/>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Рис.4. Структура федерального законодательства в сфере межбюджетных отношений и бюджетного планирования (составлено автором)</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Как видно из представленного рисунка, бюджетное законодательство Российской Федерации представляет собой централизованное принятие нормативных правовых актов (законов) на федеральном уровне с последующим принятием регионального законодательства с учетом требований основных актов.</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По мнению экспертов, в 2018 г. тенденция в стабилизации расходных и доходных частей федерального и бюджетов субъектов Российской Федерации при сокращении бюджетного дефицита сохранится. Совокупные доходы и расходы субъектов страны в 2018-2019 гг. останутся на уровне 2015-2016 гг., что свидетельствует о некой заморозке экономики при небольшом общем росте. Общий бюджетный дефицит субъектов федерации не должен превысить 0,01–0,05% ВВП. Наряду с этим вызывает опасение тенденция к снижению объема межбюджетных трансфертов регионам с 1,85% ВВП в 2017 г. до 1,44% ВВП к 2020 г. Указанные факторы могут привести к сокращению совокупного реального объема доходных поступлений в  региональные и местные бюджеты, росту диспропорции в доходах между различными регионами государства. Данные мероприятия со стороны государственного аппарата могут привести к сокращению инвестиционной составляющей бюджетных расходов субъектов федерации и муниципальных образований. По прогнозам, изменения в распределении дотаций регионам, с негативной стороны воздействуют на следующие регионы: Республика Алтай, Камчатский край, Республика Тыва, Северный Кавказ и другие [28]. Представим основные статьи расходов федерального бюджета Российской Федерации (рис.5)</w:t>
      </w:r>
    </w:p>
    <w:p w:rsidR="00A04733" w:rsidRPr="00A04733" w:rsidRDefault="00A04733" w:rsidP="00A04733">
      <w:pPr>
        <w:spacing w:after="0" w:line="240" w:lineRule="auto"/>
        <w:ind w:firstLine="709"/>
        <w:jc w:val="both"/>
        <w:rPr>
          <w:rFonts w:ascii="Times New Roman" w:eastAsia="Times New Roman" w:hAnsi="Times New Roman" w:cs="Times New Roman"/>
          <w:iCs/>
          <w:sz w:val="16"/>
          <w:szCs w:val="16"/>
          <w:lang w:eastAsia="ru-RU"/>
        </w:rPr>
      </w:pPr>
      <w:r w:rsidRPr="00A04733">
        <w:rPr>
          <w:rFonts w:ascii="Times New Roman" w:eastAsia="Times New Roman" w:hAnsi="Times New Roman" w:cs="Times New Roman"/>
          <w:iCs/>
          <w:sz w:val="28"/>
          <w:szCs w:val="28"/>
          <w:lang w:eastAsia="ru-RU"/>
        </w:rPr>
        <w:t>Так, наибольшие расходы федерального бюджета составляют: на социальную политику (4,9 трлн руб.), национальную оборону (2,7 трлн руб.) и национальную экономику (2,3 трлн руб.).</w:t>
      </w:r>
    </w:p>
    <w:p w:rsidR="00A04733" w:rsidRPr="00A04733" w:rsidRDefault="00A04733" w:rsidP="00A04733">
      <w:pPr>
        <w:spacing w:after="0" w:line="240" w:lineRule="auto"/>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noProof/>
          <w:sz w:val="28"/>
          <w:szCs w:val="24"/>
          <w:lang w:eastAsia="ru-RU"/>
        </w:rPr>
        <w:lastRenderedPageBreak/>
        <w:drawing>
          <wp:inline distT="0" distB="0" distL="0" distR="0" wp14:anchorId="323C0776" wp14:editId="43F6FF07">
            <wp:extent cx="6139543" cy="378822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04733">
        <w:rPr>
          <w:rFonts w:ascii="Times New Roman" w:eastAsia="Times New Roman" w:hAnsi="Times New Roman" w:cs="Times New Roman"/>
          <w:iCs/>
          <w:sz w:val="28"/>
          <w:szCs w:val="28"/>
          <w:lang w:eastAsia="ru-RU"/>
        </w:rPr>
        <w:t xml:space="preserve">Рис.5. Федеральный бюджет Российской Федерации на 2018 год </w:t>
      </w:r>
    </w:p>
    <w:p w:rsidR="00A04733" w:rsidRPr="00A04733" w:rsidRDefault="00A04733" w:rsidP="00A04733">
      <w:pPr>
        <w:spacing w:after="0" w:line="240" w:lineRule="auto"/>
        <w:jc w:val="center"/>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(составлено автором по материалам сайта «Школа инвестора» [21])</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Отметим, что уровень бюджета на 2018 г., в процентном отношении (по статьям расходов), отличается от бюджета 2017 г. не более чем на 4%. Расходы на социальную политику увеличились на 0,17%; национальную оборону снизились на 0,22%; правоохранительную деятельность увеличились на 3,99% (в связи с проведением чемпионата мира по футболу в 2018 г.); обслуживание госдолга повысились на 0,63,% и иные расходы, в диапазоне не более 1%. Таким образом, анализ расходной части бюджета Российской Федерации подтверждает утверждение о заморозки экономики на уровне 2015-2017 гг.</w:t>
      </w:r>
    </w:p>
    <w:p w:rsidR="00A04733" w:rsidRPr="00A04733" w:rsidRDefault="00A04733" w:rsidP="00A04733">
      <w:pPr>
        <w:spacing w:after="0" w:line="240" w:lineRule="auto"/>
        <w:ind w:firstLine="709"/>
        <w:jc w:val="both"/>
        <w:rPr>
          <w:rFonts w:ascii="Times New Roman" w:eastAsia="Times New Roman" w:hAnsi="Times New Roman" w:cs="Times New Roman"/>
          <w:iCs/>
          <w:sz w:val="28"/>
          <w:szCs w:val="28"/>
          <w:lang w:eastAsia="ru-RU"/>
        </w:rPr>
      </w:pPr>
      <w:r w:rsidRPr="00A04733">
        <w:rPr>
          <w:rFonts w:ascii="Times New Roman" w:eastAsia="Times New Roman" w:hAnsi="Times New Roman" w:cs="Times New Roman"/>
          <w:iCs/>
          <w:sz w:val="28"/>
          <w:szCs w:val="28"/>
          <w:lang w:eastAsia="ru-RU"/>
        </w:rPr>
        <w:t xml:space="preserve">Принимая во внимание существующие проблемы бюджетной политики Российской Федерации, воздействие неблагоприятных факторов на реализацию межбюджетных отношений, в ближайшие годы необходимо пересмотреть и закрепить доходные полномочия и расходные обязательства бюджетов различных уровней соразмерно статусу и экономическому потенциалу каждого в отдельности субъекта федерации. Наряду с этим, необходимо воздержаться от делегирования расходных обязательств субъектам федерации без предоставления дополнительных дотаций (субсидий, субвенций) в соответствующие бюджеты. В завершение, экономика Российской Федерации практически адаптировалась к неблагоприятным воздействиям, в том числе посредством реализации программ по импортозамещению, что позволило нарастить по ряду отраслей объемы собственного производства, а также воссоздать ряд отраслей, пришедших в упадок после развала союзного государства. </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b/>
          <w:sz w:val="28"/>
          <w:szCs w:val="28"/>
          <w:lang w:eastAsia="ru-RU"/>
        </w:rPr>
        <w:lastRenderedPageBreak/>
        <w:t>Выводы.</w:t>
      </w:r>
      <w:r w:rsidRPr="00A04733">
        <w:rPr>
          <w:rFonts w:ascii="Times New Roman" w:eastAsia="Times New Roman" w:hAnsi="Times New Roman" w:cs="Times New Roman"/>
          <w:sz w:val="28"/>
          <w:szCs w:val="28"/>
          <w:lang w:eastAsia="ru-RU"/>
        </w:rPr>
        <w:t xml:space="preserve"> В настоящей работе авторами выявлено ряд проблем и установлены основные аспекты реализации межбюджетных отношений в условиях воздействия неблагоприятных факторов, а также отдельные характеристики бюджетного планирования на примере Российской Федерации.</w:t>
      </w:r>
    </w:p>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r w:rsidRPr="00A04733">
        <w:rPr>
          <w:rFonts w:ascii="Times New Roman" w:eastAsia="Times New Roman" w:hAnsi="Times New Roman" w:cs="Times New Roman"/>
          <w:sz w:val="28"/>
          <w:szCs w:val="28"/>
          <w:lang w:eastAsia="ru-RU"/>
        </w:rPr>
        <w:t>На текущий момент в основополагающие принципы реализации межбюджетных отношений в России необходимо вносить ряд изменений, основанных на принятой национальной модели развития экономики государства, озвученной Президентом Российской Федерации в Послании Федеральному собранию 01 марта 2017 года. Наряду с развитием национальной экономики необходимо точечно и целенаправленно развивать экономику субъектов федерации. Органы власти субъектов федерации должны иметь стимулы для расширения доходной базы региональных бюджетов, на что должны быть направлены основанные усилия федеральных властей. Несмотря на негативную внешнеполитическую обстановку в регионе и непредсказуемость цен на энергетические ресурсы на мировых рынках, Российская Федерация имеет значительный потенциал к экономическому росту, который подкреплен одним из наибольших в мире золотовалютных резервов государства.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A04733" w:rsidRPr="00A04733" w:rsidTr="00272896">
        <w:trPr>
          <w:jc w:val="center"/>
        </w:trPr>
        <w:tc>
          <w:tcPr>
            <w:tcW w:w="5000" w:type="pct"/>
            <w:gridSpan w:val="2"/>
          </w:tcPr>
          <w:p w:rsidR="00A04733" w:rsidRPr="00A04733" w:rsidRDefault="00A04733" w:rsidP="00A04733">
            <w:pPr>
              <w:contextualSpacing/>
              <w:jc w:val="both"/>
              <w:rPr>
                <w:rFonts w:ascii="Times New Roman" w:eastAsia="Calibri" w:hAnsi="Times New Roman"/>
                <w:sz w:val="24"/>
                <w:szCs w:val="24"/>
              </w:rPr>
            </w:pPr>
          </w:p>
        </w:tc>
      </w:tr>
      <w:tr w:rsidR="00A04733" w:rsidRPr="00A04733" w:rsidTr="00272896">
        <w:trPr>
          <w:jc w:val="center"/>
        </w:trPr>
        <w:tc>
          <w:tcPr>
            <w:tcW w:w="5000" w:type="pct"/>
            <w:gridSpan w:val="2"/>
          </w:tcPr>
          <w:p w:rsidR="00A04733" w:rsidRPr="00A04733" w:rsidRDefault="00A04733" w:rsidP="00A04733">
            <w:pPr>
              <w:ind w:firstLine="709"/>
              <w:jc w:val="center"/>
              <w:rPr>
                <w:rFonts w:ascii="Times New Roman" w:hAnsi="Times New Roman"/>
                <w:b/>
                <w:sz w:val="28"/>
                <w:szCs w:val="28"/>
              </w:rPr>
            </w:pPr>
            <w:r w:rsidRPr="00A04733">
              <w:rPr>
                <w:rFonts w:ascii="Times New Roman" w:hAnsi="Times New Roman"/>
                <w:b/>
                <w:sz w:val="28"/>
                <w:szCs w:val="28"/>
              </w:rPr>
              <w:t>Список литературы</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Хоменко Я.В., Честная Я.И., Чегодаев Б.В. Основополагающие принципы межбюджетных отношений: исторические аспекты и модели бюджетного федерализма // Научный журнал «Менеджер» ГОУ ВПО «ДонАУиГС».- 2017.-№3(81).-С.136-148.</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Митрофанов А.В. Единство экономического пространства: подходы к трактовке и содержание понятия // Вестник ПензГУ. – 2013. – №2. – С.46-52.</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Мишина С.В. Местные бюджеты – финансовая основа самоуправления // Бухгалтерский учет в бюджетных и некоммерческих организациях. – 2011. – №15. – С.30-34.</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Игнатенко Д.И. Административно-правовые и организационно-управленческие основы регламентации финансовой деятельности российского государства // Бизнес в законе. – 2012. – №3. – С.140-142.</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Швецов Ю.Г., Булаш О.А. Бюджет как финансовая основа реализации общественных проектов // ПУФ. – 2013. – №3 (11). – С38-48.</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Крылова Н.С. Конституционные основы финансовой деятельности государства // Право. Журнал Высшей школы экономики. – 2013. – №1. – С. 81-91.</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 xml:space="preserve">Афанасьева А.Н. Модельные представления об основах финансовой политики суверенного государства в условиях кризиса // Финансы и кредит. – 2015. – </w:t>
            </w:r>
            <w:r w:rsidRPr="00A04733">
              <w:rPr>
                <w:rFonts w:ascii="Times New Roman" w:hAnsi="Times New Roman"/>
                <w:sz w:val="24"/>
                <w:szCs w:val="24"/>
              </w:rPr>
              <w:br/>
              <w:t>№23(647). –  С.31-39.</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Моисеева О.М. Межбюджетные отношения на муниципальном уровне // Социально-экономические явления и процессы. – 2013. –  №6 (052). – С.105-111.</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pacing w:val="-6"/>
                <w:sz w:val="24"/>
                <w:szCs w:val="24"/>
              </w:rPr>
            </w:pPr>
            <w:r w:rsidRPr="00A04733">
              <w:rPr>
                <w:rFonts w:ascii="Times New Roman" w:hAnsi="Times New Roman"/>
                <w:spacing w:val="-6"/>
                <w:sz w:val="24"/>
                <w:szCs w:val="24"/>
              </w:rPr>
              <w:t>Ярошепта А.В. Механизм межбюджетного выравнивания в системе межбюджетных отношений // Интернет-журнал Науковедение. – 2014. – №1 (20). – [Электронный ресурс]. – Режим доступа: https://clck.ru/CtKf2 (дата обращения: 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 xml:space="preserve">Клейменов Д.С. Механизм межбюджетного регулирования как часть системы бюджетных отношений // Теория и практика общественного развития. – 2012. – </w:t>
            </w:r>
            <w:r w:rsidRPr="00A04733">
              <w:rPr>
                <w:rFonts w:ascii="Times New Roman" w:hAnsi="Times New Roman"/>
                <w:sz w:val="24"/>
                <w:szCs w:val="24"/>
              </w:rPr>
              <w:br/>
              <w:t>№6. – С.192-194.</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Широбокова В.А. Эволюция межбюджетных отношений в современной России // Вестник ННГУ. – 2013. – №3-1. – С.293-300.</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pacing w:val="-6"/>
                <w:sz w:val="24"/>
                <w:szCs w:val="24"/>
              </w:rPr>
            </w:pPr>
            <w:r w:rsidRPr="00A04733">
              <w:rPr>
                <w:rFonts w:ascii="Times New Roman" w:hAnsi="Times New Roman"/>
                <w:spacing w:val="-6"/>
                <w:sz w:val="24"/>
                <w:szCs w:val="24"/>
              </w:rPr>
              <w:t>Алешин В.А., Овчинников В.Н., Челышева Э.А. Бюджетный федерализм: проблемы и перспективы развития на современном этапе // JER. 2013. – №1. – С. 115-123.</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Арыкбаев Р.К., Набиев Р.А. Бюджетный федерализм и межбюджетные отношения // Вестник АГТУ. – 2008. – №1. – С.134-137.</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Томилина Н.С. Российская модель бюджетного федерализма: конкуренция или кооперация? // Экономические и социальные перемены: факты, тенденции, прогноз. – 2013. – №5 (29). –  С.123-132.</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pacing w:val="-6"/>
                <w:sz w:val="24"/>
                <w:szCs w:val="24"/>
                <w:lang w:val="en-US"/>
              </w:rPr>
            </w:pPr>
            <w:r w:rsidRPr="00A04733">
              <w:rPr>
                <w:rFonts w:ascii="Times New Roman" w:hAnsi="Times New Roman"/>
                <w:spacing w:val="-6"/>
                <w:sz w:val="24"/>
                <w:szCs w:val="24"/>
                <w:lang w:val="en-US"/>
              </w:rPr>
              <w:t>Ferrara A. Cost-benefit analysis of multi-level government: the case of EU cohesion policy and of US federal investment policies. – London; New York: Routledge, 2014. – 321 s.</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lang w:val="en-US"/>
              </w:rPr>
            </w:pPr>
          </w:p>
        </w:tc>
        <w:tc>
          <w:tcPr>
            <w:tcW w:w="4707" w:type="pct"/>
          </w:tcPr>
          <w:p w:rsidR="00A04733" w:rsidRPr="00A04733" w:rsidRDefault="00A04733" w:rsidP="00A04733">
            <w:pPr>
              <w:jc w:val="both"/>
              <w:rPr>
                <w:rFonts w:ascii="Times New Roman" w:hAnsi="Times New Roman"/>
                <w:sz w:val="24"/>
                <w:szCs w:val="24"/>
                <w:lang w:val="en-US"/>
              </w:rPr>
            </w:pPr>
            <w:r w:rsidRPr="00A04733">
              <w:rPr>
                <w:rFonts w:ascii="Times New Roman" w:hAnsi="Times New Roman"/>
                <w:sz w:val="24"/>
                <w:szCs w:val="24"/>
                <w:lang w:val="en-US"/>
              </w:rPr>
              <w:t>King D.N. Fiscal Tiers: The Economics of Multi-level Government [</w:t>
            </w:r>
            <w:r w:rsidRPr="00A04733">
              <w:rPr>
                <w:rFonts w:ascii="Times New Roman" w:hAnsi="Times New Roman"/>
                <w:sz w:val="24"/>
                <w:szCs w:val="24"/>
              </w:rPr>
              <w:t>Электронный</w:t>
            </w:r>
            <w:r w:rsidRPr="00A04733">
              <w:rPr>
                <w:rFonts w:ascii="Times New Roman" w:hAnsi="Times New Roman"/>
                <w:sz w:val="24"/>
                <w:szCs w:val="24"/>
                <w:lang w:val="en-US"/>
              </w:rPr>
              <w:t xml:space="preserve"> </w:t>
            </w:r>
            <w:r w:rsidRPr="00A04733">
              <w:rPr>
                <w:rFonts w:ascii="Times New Roman" w:hAnsi="Times New Roman"/>
                <w:sz w:val="24"/>
                <w:szCs w:val="24"/>
              </w:rPr>
              <w:t>ресурс</w:t>
            </w:r>
            <w:r w:rsidRPr="00A04733">
              <w:rPr>
                <w:rFonts w:ascii="Times New Roman" w:hAnsi="Times New Roman"/>
                <w:sz w:val="24"/>
                <w:szCs w:val="24"/>
                <w:lang w:val="en-US"/>
              </w:rPr>
              <w:t xml:space="preserve">]. – </w:t>
            </w:r>
            <w:r w:rsidRPr="00A04733">
              <w:rPr>
                <w:rFonts w:ascii="Times New Roman" w:hAnsi="Times New Roman"/>
                <w:sz w:val="24"/>
                <w:szCs w:val="24"/>
              </w:rPr>
              <w:t>Режим</w:t>
            </w:r>
            <w:r w:rsidRPr="00A04733">
              <w:rPr>
                <w:rFonts w:ascii="Times New Roman" w:hAnsi="Times New Roman"/>
                <w:sz w:val="24"/>
                <w:szCs w:val="24"/>
                <w:lang w:val="en-US"/>
              </w:rPr>
              <w:t xml:space="preserve"> </w:t>
            </w:r>
            <w:r w:rsidRPr="00A04733">
              <w:rPr>
                <w:rFonts w:ascii="Times New Roman" w:hAnsi="Times New Roman"/>
                <w:sz w:val="24"/>
                <w:szCs w:val="24"/>
              </w:rPr>
              <w:t>доступа</w:t>
            </w:r>
            <w:r w:rsidRPr="00A04733">
              <w:rPr>
                <w:rFonts w:ascii="Times New Roman" w:hAnsi="Times New Roman"/>
                <w:sz w:val="24"/>
                <w:szCs w:val="24"/>
                <w:lang w:val="en-US"/>
              </w:rPr>
              <w:t>: https://clck.ru/CtNfN (</w:t>
            </w:r>
            <w:r w:rsidRPr="00A04733">
              <w:rPr>
                <w:rFonts w:ascii="Times New Roman" w:hAnsi="Times New Roman"/>
                <w:sz w:val="24"/>
                <w:szCs w:val="24"/>
              </w:rPr>
              <w:t>дата</w:t>
            </w:r>
            <w:r w:rsidRPr="00A04733">
              <w:rPr>
                <w:rFonts w:ascii="Times New Roman" w:hAnsi="Times New Roman"/>
                <w:sz w:val="24"/>
                <w:szCs w:val="24"/>
                <w:lang w:val="en-US"/>
              </w:rPr>
              <w:t xml:space="preserve"> </w:t>
            </w:r>
            <w:r w:rsidRPr="00A04733">
              <w:rPr>
                <w:rFonts w:ascii="Times New Roman" w:hAnsi="Times New Roman"/>
                <w:sz w:val="24"/>
                <w:szCs w:val="24"/>
              </w:rPr>
              <w:t>обращения</w:t>
            </w:r>
            <w:r w:rsidRPr="00A04733">
              <w:rPr>
                <w:rFonts w:ascii="Times New Roman" w:hAnsi="Times New Roman"/>
                <w:sz w:val="24"/>
                <w:szCs w:val="24"/>
                <w:lang w:val="en-US"/>
              </w:rPr>
              <w:t xml:space="preserve">: 01 </w:t>
            </w:r>
            <w:r w:rsidRPr="00A04733">
              <w:rPr>
                <w:rFonts w:ascii="Times New Roman" w:hAnsi="Times New Roman"/>
                <w:sz w:val="24"/>
                <w:szCs w:val="24"/>
              </w:rPr>
              <w:t>марта</w:t>
            </w:r>
            <w:r w:rsidRPr="00A04733">
              <w:rPr>
                <w:rFonts w:ascii="Times New Roman" w:hAnsi="Times New Roman"/>
                <w:sz w:val="24"/>
                <w:szCs w:val="24"/>
                <w:lang w:val="en-US"/>
              </w:rPr>
              <w:t xml:space="preserve"> 2018 </w:t>
            </w:r>
            <w:r w:rsidRPr="00A04733">
              <w:rPr>
                <w:rFonts w:ascii="Times New Roman" w:hAnsi="Times New Roman"/>
                <w:sz w:val="24"/>
                <w:szCs w:val="24"/>
              </w:rPr>
              <w:t>г</w:t>
            </w:r>
            <w:r w:rsidRPr="00A04733">
              <w:rPr>
                <w:rFonts w:ascii="Times New Roman" w:hAnsi="Times New Roman"/>
                <w:sz w:val="24"/>
                <w:szCs w:val="24"/>
                <w:lang w:val="en-US"/>
              </w:rPr>
              <w:t>.).</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lang w:val="en-US"/>
              </w:rPr>
            </w:pPr>
          </w:p>
        </w:tc>
        <w:tc>
          <w:tcPr>
            <w:tcW w:w="4707" w:type="pct"/>
          </w:tcPr>
          <w:p w:rsidR="00A04733" w:rsidRPr="00A04733" w:rsidRDefault="00A04733" w:rsidP="00A04733">
            <w:pPr>
              <w:jc w:val="both"/>
              <w:rPr>
                <w:rFonts w:ascii="Times New Roman" w:hAnsi="Times New Roman"/>
                <w:spacing w:val="-10"/>
                <w:sz w:val="24"/>
                <w:szCs w:val="24"/>
              </w:rPr>
            </w:pPr>
            <w:r w:rsidRPr="00A04733">
              <w:rPr>
                <w:rFonts w:ascii="Times New Roman" w:hAnsi="Times New Roman"/>
                <w:spacing w:val="-10"/>
                <w:sz w:val="24"/>
                <w:szCs w:val="24"/>
              </w:rPr>
              <w:t>Oates W.E. An Essay on Fiscal federalism [Электронный ресурс]. – Режим доступа: http://econweb.umd.edu/~oates/research/fiscalfederalism.pdf (дата обращения: 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lang w:val="en-US"/>
              </w:rPr>
            </w:pPr>
            <w:r w:rsidRPr="00A04733">
              <w:rPr>
                <w:rFonts w:ascii="Times New Roman" w:hAnsi="Times New Roman"/>
                <w:sz w:val="24"/>
                <w:szCs w:val="24"/>
                <w:lang w:val="en-US"/>
              </w:rPr>
              <w:t>Sharma C.K. The Federal Approach to Fiscal Decentralization: Conceptual Contours for Policy Makers [</w:t>
            </w:r>
            <w:r w:rsidRPr="00A04733">
              <w:rPr>
                <w:rFonts w:ascii="Times New Roman" w:hAnsi="Times New Roman"/>
                <w:sz w:val="24"/>
                <w:szCs w:val="24"/>
              </w:rPr>
              <w:t>Электронный</w:t>
            </w:r>
            <w:r w:rsidRPr="00A04733">
              <w:rPr>
                <w:rFonts w:ascii="Times New Roman" w:hAnsi="Times New Roman"/>
                <w:sz w:val="24"/>
                <w:szCs w:val="24"/>
                <w:lang w:val="en-US"/>
              </w:rPr>
              <w:t xml:space="preserve"> </w:t>
            </w:r>
            <w:r w:rsidRPr="00A04733">
              <w:rPr>
                <w:rFonts w:ascii="Times New Roman" w:hAnsi="Times New Roman"/>
                <w:sz w:val="24"/>
                <w:szCs w:val="24"/>
              </w:rPr>
              <w:t>ресурс</w:t>
            </w:r>
            <w:r w:rsidRPr="00A04733">
              <w:rPr>
                <w:rFonts w:ascii="Times New Roman" w:hAnsi="Times New Roman"/>
                <w:sz w:val="24"/>
                <w:szCs w:val="24"/>
                <w:lang w:val="en-US"/>
              </w:rPr>
              <w:t xml:space="preserve">]. – </w:t>
            </w:r>
            <w:r w:rsidRPr="00A04733">
              <w:rPr>
                <w:rFonts w:ascii="Times New Roman" w:hAnsi="Times New Roman"/>
                <w:sz w:val="24"/>
                <w:szCs w:val="24"/>
              </w:rPr>
              <w:t>Режим</w:t>
            </w:r>
            <w:r w:rsidRPr="00A04733">
              <w:rPr>
                <w:rFonts w:ascii="Times New Roman" w:hAnsi="Times New Roman"/>
                <w:sz w:val="24"/>
                <w:szCs w:val="24"/>
                <w:lang w:val="en-US"/>
              </w:rPr>
              <w:t xml:space="preserve"> </w:t>
            </w:r>
            <w:r w:rsidRPr="00A04733">
              <w:rPr>
                <w:rFonts w:ascii="Times New Roman" w:hAnsi="Times New Roman"/>
                <w:sz w:val="24"/>
                <w:szCs w:val="24"/>
              </w:rPr>
              <w:t>доступа</w:t>
            </w:r>
            <w:r w:rsidRPr="00A04733">
              <w:rPr>
                <w:rFonts w:ascii="Times New Roman" w:hAnsi="Times New Roman"/>
                <w:sz w:val="24"/>
                <w:szCs w:val="24"/>
                <w:lang w:val="en-US"/>
              </w:rPr>
              <w:t>: https://howlingpixel.com/wiki/Fiscal_federalism (</w:t>
            </w:r>
            <w:r w:rsidRPr="00A04733">
              <w:rPr>
                <w:rFonts w:ascii="Times New Roman" w:hAnsi="Times New Roman"/>
                <w:sz w:val="24"/>
                <w:szCs w:val="24"/>
              </w:rPr>
              <w:t>дата</w:t>
            </w:r>
            <w:r w:rsidRPr="00A04733">
              <w:rPr>
                <w:rFonts w:ascii="Times New Roman" w:hAnsi="Times New Roman"/>
                <w:sz w:val="24"/>
                <w:szCs w:val="24"/>
                <w:lang w:val="en-US"/>
              </w:rPr>
              <w:t xml:space="preserve"> </w:t>
            </w:r>
            <w:r w:rsidRPr="00A04733">
              <w:rPr>
                <w:rFonts w:ascii="Times New Roman" w:hAnsi="Times New Roman"/>
                <w:sz w:val="24"/>
                <w:szCs w:val="24"/>
              </w:rPr>
              <w:t>обращения</w:t>
            </w:r>
            <w:r w:rsidRPr="00A04733">
              <w:rPr>
                <w:rFonts w:ascii="Times New Roman" w:hAnsi="Times New Roman"/>
                <w:sz w:val="24"/>
                <w:szCs w:val="24"/>
                <w:lang w:val="en-US"/>
              </w:rPr>
              <w:t xml:space="preserve">: 01 </w:t>
            </w:r>
            <w:r w:rsidRPr="00A04733">
              <w:rPr>
                <w:rFonts w:ascii="Times New Roman" w:hAnsi="Times New Roman"/>
                <w:sz w:val="24"/>
                <w:szCs w:val="24"/>
              </w:rPr>
              <w:t>марта</w:t>
            </w:r>
            <w:r w:rsidRPr="00A04733">
              <w:rPr>
                <w:rFonts w:ascii="Times New Roman" w:hAnsi="Times New Roman"/>
                <w:sz w:val="24"/>
                <w:szCs w:val="24"/>
                <w:lang w:val="en-US"/>
              </w:rPr>
              <w:t xml:space="preserve"> 2018 </w:t>
            </w:r>
            <w:r w:rsidRPr="00A04733">
              <w:rPr>
                <w:rFonts w:ascii="Times New Roman" w:hAnsi="Times New Roman"/>
                <w:sz w:val="24"/>
                <w:szCs w:val="24"/>
              </w:rPr>
              <w:t>г</w:t>
            </w:r>
            <w:r w:rsidRPr="00A04733">
              <w:rPr>
                <w:rFonts w:ascii="Times New Roman" w:hAnsi="Times New Roman"/>
                <w:sz w:val="24"/>
                <w:szCs w:val="24"/>
                <w:lang w:val="en-US"/>
              </w:rPr>
              <w:t>.).</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lang w:val="en-US"/>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 xml:space="preserve">ОПЕК договорилась с РФ о формуле сокращения добычи нефти на полгода [Электронный ресурс]. – Режим доступа: https://clck.ru/CtRaK (дата обращения: </w:t>
            </w:r>
            <w:r w:rsidRPr="00A04733">
              <w:rPr>
                <w:rFonts w:ascii="Times New Roman" w:hAnsi="Times New Roman"/>
                <w:sz w:val="24"/>
                <w:szCs w:val="24"/>
              </w:rPr>
              <w:br/>
              <w:t>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Обзор – Фьючерс на нефть Brent [Электронный ресурс]. – Режим доступа: https://ru.investing.com/commodities/brent-oil (дата обращения: 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pacing w:val="-4"/>
                <w:sz w:val="24"/>
                <w:szCs w:val="24"/>
              </w:rPr>
            </w:pPr>
            <w:r w:rsidRPr="00A04733">
              <w:rPr>
                <w:rFonts w:ascii="Times New Roman" w:hAnsi="Times New Roman"/>
                <w:spacing w:val="-4"/>
                <w:sz w:val="24"/>
                <w:szCs w:val="24"/>
              </w:rPr>
              <w:t>Бюджет России 2018 в цифрах [Электронный ресурс]. – Режим доступа: http://investorschool.ru/byudzhet-rossii-2018-v-cifrax (дата обращения: 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pacing w:val="-4"/>
                <w:sz w:val="24"/>
                <w:szCs w:val="24"/>
              </w:rPr>
            </w:pPr>
            <w:r w:rsidRPr="00A04733">
              <w:rPr>
                <w:rFonts w:ascii="Times New Roman" w:hAnsi="Times New Roman"/>
                <w:spacing w:val="-4"/>
                <w:sz w:val="24"/>
                <w:szCs w:val="24"/>
              </w:rPr>
              <w:t>Официальный сайт Комсомольской правды. Послание Президента России Федеральному собранию 1 марта 2018 года [Электронный ресурс]. – Режим доступа: https://www.ural.kp.ru/daily/26801/3835813/ (дата обращения: 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Банк России за 2017 год купил 224 тонны золота [Электронный ресурс]. – Режим доступа: https://gold.1prime.ru/news/20180122/243900.html (дата обращения: 01 марта 2018 г.).</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О бюджете Пенсионного фонда Российской Федерации на 2018 год и на плановый период 2019 и 2020 годов [Электронный ресурс]: Федеральный закон от 05 декабря 2017 № 363-ФЗ. – Москва, 2017. – Режим доступа: http://www.consultant.ru/document/cons_doc_LAW_284128/.- Загл. с экрана.</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О бюджете Фонда социального страхования Российской Федерации на 2018 год и на плановый период 2019 и 2020 годов [Электронный ресурс]: Федеральный закон от 05 декабря 2017 № 364-ФЗ. – Москва, 2017.- Режим доступа: http://www.consultant.ru/document/cons_doc_LAW_284135/.- Загл. с экрана.</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О бюджете Федерального фонда обязательного медицинского страхования на 2018 год и на плановый период 2019 и 2020 годов [Электронный ресурс]: Федеральный закон от 05 декабря 2017 № 368-ФЗ. – Москва, 2017.- Режим доступа: http://www.consultant.ru/document/cons_doc_LAW_284131/.- Загл. с экрана.</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 xml:space="preserve">О федеральном бюджете на 2018 год и на плановый период 2019 и 2020 годов [Электронный ресурс]: Федеральный закон от 05 декабря 2017 № 362-ФЗ. – Москва, 2017.- Режим доступа: </w:t>
            </w:r>
            <w:hyperlink r:id="rId13" w:history="1">
              <w:r w:rsidRPr="00A04733">
                <w:rPr>
                  <w:rFonts w:ascii="Times New Roman" w:hAnsi="Times New Roman"/>
                  <w:color w:val="0000FF"/>
                  <w:sz w:val="24"/>
                  <w:szCs w:val="24"/>
                  <w:u w:val="single"/>
                </w:rPr>
                <w:t>http://www.consultant.ru/document/cons_doc_</w:t>
              </w:r>
            </w:hyperlink>
            <w:r w:rsidRPr="00A04733">
              <w:rPr>
                <w:rFonts w:ascii="Times New Roman" w:hAnsi="Times New Roman"/>
                <w:sz w:val="24"/>
                <w:szCs w:val="24"/>
              </w:rPr>
              <w:t xml:space="preserve"> LAW_284360/.- Загл. с экрана.</w:t>
            </w:r>
          </w:p>
        </w:tc>
      </w:tr>
      <w:tr w:rsidR="00A04733" w:rsidRPr="00A04733" w:rsidTr="00272896">
        <w:trPr>
          <w:jc w:val="center"/>
        </w:trPr>
        <w:tc>
          <w:tcPr>
            <w:tcW w:w="293" w:type="pct"/>
          </w:tcPr>
          <w:p w:rsidR="00A04733" w:rsidRPr="00A04733" w:rsidRDefault="00A04733" w:rsidP="00A04733">
            <w:pPr>
              <w:widowControl w:val="0"/>
              <w:numPr>
                <w:ilvl w:val="0"/>
                <w:numId w:val="1"/>
              </w:numPr>
              <w:contextualSpacing/>
              <w:jc w:val="both"/>
              <w:rPr>
                <w:rFonts w:ascii="Times New Roman" w:eastAsia="Calibri" w:hAnsi="Times New Roman"/>
                <w:sz w:val="24"/>
                <w:szCs w:val="24"/>
              </w:rPr>
            </w:pPr>
          </w:p>
        </w:tc>
        <w:tc>
          <w:tcPr>
            <w:tcW w:w="4707" w:type="pct"/>
          </w:tcPr>
          <w:p w:rsidR="00A04733" w:rsidRPr="00A04733" w:rsidRDefault="00A04733" w:rsidP="00A04733">
            <w:pPr>
              <w:jc w:val="both"/>
              <w:rPr>
                <w:rFonts w:ascii="Times New Roman" w:hAnsi="Times New Roman"/>
                <w:sz w:val="24"/>
                <w:szCs w:val="24"/>
              </w:rPr>
            </w:pPr>
            <w:r w:rsidRPr="00A04733">
              <w:rPr>
                <w:rFonts w:ascii="Times New Roman" w:hAnsi="Times New Roman"/>
                <w:sz w:val="24"/>
                <w:szCs w:val="24"/>
              </w:rPr>
              <w:t xml:space="preserve">Федеральный бюджет на 2018-2020 годы – режим жесткой экономии [Электронный ресурс]. – Режим доступа: https://clck.ru/CtepF (дата обращения: </w:t>
            </w:r>
            <w:r w:rsidRPr="00A04733">
              <w:rPr>
                <w:rFonts w:ascii="Times New Roman" w:hAnsi="Times New Roman"/>
                <w:sz w:val="24"/>
                <w:szCs w:val="24"/>
              </w:rPr>
              <w:br/>
              <w:t>02 марта 2018 г.).</w:t>
            </w:r>
          </w:p>
        </w:tc>
      </w:tr>
    </w:tbl>
    <w:p w:rsidR="00A04733" w:rsidRPr="00A04733" w:rsidRDefault="00A04733" w:rsidP="00A04733">
      <w:pPr>
        <w:spacing w:after="0" w:line="240" w:lineRule="auto"/>
        <w:ind w:firstLine="709"/>
        <w:jc w:val="both"/>
        <w:rPr>
          <w:rFonts w:ascii="Times New Roman" w:eastAsia="Times New Roman" w:hAnsi="Times New Roman" w:cs="Times New Roman"/>
          <w:sz w:val="28"/>
          <w:szCs w:val="28"/>
          <w:lang w:eastAsia="ru-RU"/>
        </w:rPr>
      </w:pPr>
    </w:p>
    <w:p w:rsidR="00ED3564" w:rsidRDefault="00ED3564">
      <w:bookmarkStart w:id="3" w:name="_GoBack"/>
      <w:bookmarkEnd w:id="3"/>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E5043"/>
    <w:multiLevelType w:val="hybridMultilevel"/>
    <w:tmpl w:val="E5FA2C4E"/>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33"/>
    <w:rsid w:val="00A04733"/>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5EC04-1050-489D-B747-83ADBA7B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7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onsultant.ru/document/cons_doc_"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11" Type="http://schemas.openxmlformats.org/officeDocument/2006/relationships/oleObject" Target="embeddings/Microsoft_Visio_2003-2010_Drawing2.vsd"/><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Microsoft_Visio_2003-2010_Drawing1.vsd"/><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1059;&#1095;&#1077;&#1073;&#1072;%20&#1080;%20&#1083;&#1080;&#1090;&#1077;&#1088;&#1072;&#1090;&#1091;&#1088;&#1072;\&#1052;&#1040;&#1043;&#1048;&#1057;&#1058;&#1056;&#1040;&#1058;&#1059;&#1056;&#1040;%20&#1044;&#1054;&#1053;&#1053;&#1058;&#1059;%202016\&#1082;&#1086;&#1085;&#1092;&#1077;&#1088;&#1077;&#1085;&#1094;&#1080;&#1080;%202016-2017%20(&#1089;&#1090;&#1072;&#1090;&#1100;&#1080;)\+++&#1052;&#1086;&#1080;%20&#1089;&#1090;&#1072;&#1090;&#1100;&#1080;\21.%20&#1052;&#1077;&#1078;&#1073;&#1102;&#1076;&#1078;&#1077;&#1090;&#1085;&#1099;&#1077;%20&#1086;&#1090;&#1085;&#1086;&#1096;&#1077;&#1085;&#1080;&#1103;%20(&#1090;&#1077;&#1079;&#1080;&#1089;&#1099;%20&#1044;&#1086;&#1085;&#1053;&#1058;&#1059;%202018)\&#1051;&#1080;&#1089;&#1090;%20Microsoft%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41;&#1086;&#1088;&#1080;&#1089;\&#1052;&#1040;&#1043;&#1048;&#1057;&#1058;&#1056;&#1040;&#1058;&#1059;&#1056;&#1040;%202\&#1082;&#1086;&#1085;&#1092;&#1077;&#1088;&#1077;&#1085;&#1094;&#1080;&#1080;%202016-2017%20(&#1089;&#1090;&#1072;&#1090;&#1100;&#1080;)\+++&#1052;&#1086;&#1080;%20&#1089;&#1090;&#1072;&#1090;&#1100;&#1080;\21.%20&#1052;&#1077;&#1078;&#1073;&#1102;&#1076;&#1078;&#1077;&#1090;&#1085;&#1099;&#1077;%20&#1086;&#1090;&#1085;&#1086;&#1096;&#1077;&#1085;&#1080;&#1103;%20(&#1090;&#1077;&#1079;&#1080;&#1089;&#1099;%20&#1044;&#1086;&#1085;&#1053;&#1058;&#1059;%202018)\&#1051;&#1080;&#1089;&#1090;%20Microsoft%20Exce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136499041914243E-2"/>
          <c:y val="3.8294168842471714E-2"/>
          <c:w val="0.56440188074650177"/>
          <c:h val="0.84736094976457499"/>
        </c:manualLayout>
      </c:layout>
      <c:bar3DChart>
        <c:barDir val="col"/>
        <c:grouping val="clustered"/>
        <c:varyColors val="0"/>
        <c:ser>
          <c:idx val="0"/>
          <c:order val="0"/>
          <c:tx>
            <c:strRef>
              <c:f>Лист1!$A$12</c:f>
              <c:strCache>
                <c:ptCount val="1"/>
                <c:pt idx="0">
                  <c:v>Иные межбюджетные трансферты, шт.</c:v>
                </c:pt>
              </c:strCache>
            </c:strRef>
          </c:tx>
          <c:spPr>
            <a:pattFill prst="pct50">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Лист1!$B$12:$C$12</c:f>
              <c:numCache>
                <c:formatCode>General</c:formatCode>
                <c:ptCount val="2"/>
                <c:pt idx="0">
                  <c:v>14</c:v>
                </c:pt>
                <c:pt idx="1">
                  <c:v>12</c:v>
                </c:pt>
              </c:numCache>
            </c:numRef>
          </c:val>
          <c:extLst>
            <c:ext xmlns:c16="http://schemas.microsoft.com/office/drawing/2014/chart" uri="{C3380CC4-5D6E-409C-BE32-E72D297353CC}">
              <c16:uniqueId val="{00000000-0024-4AEF-B8D2-B7D3C61859D4}"/>
            </c:ext>
          </c:extLst>
        </c:ser>
        <c:ser>
          <c:idx val="1"/>
          <c:order val="1"/>
          <c:tx>
            <c:strRef>
              <c:f>Лист1!$A$13</c:f>
              <c:strCache>
                <c:ptCount val="1"/>
                <c:pt idx="0">
                  <c:v>Иные межбюджетные трансферты, млрд. руб </c:v>
                </c:pt>
              </c:strCache>
            </c:strRef>
          </c:tx>
          <c:spPr>
            <a:pattFill prst="ltDnDiag">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Лист1!$B$13:$C$13</c:f>
              <c:numCache>
                <c:formatCode>General</c:formatCode>
                <c:ptCount val="2"/>
                <c:pt idx="0">
                  <c:v>128.80000000000001</c:v>
                </c:pt>
                <c:pt idx="1">
                  <c:v>90.3</c:v>
                </c:pt>
              </c:numCache>
            </c:numRef>
          </c:val>
          <c:extLst>
            <c:ext xmlns:c16="http://schemas.microsoft.com/office/drawing/2014/chart" uri="{C3380CC4-5D6E-409C-BE32-E72D297353CC}">
              <c16:uniqueId val="{00000001-0024-4AEF-B8D2-B7D3C61859D4}"/>
            </c:ext>
          </c:extLst>
        </c:ser>
        <c:ser>
          <c:idx val="2"/>
          <c:order val="2"/>
          <c:tx>
            <c:strRef>
              <c:f>Лист1!$A$14</c:f>
              <c:strCache>
                <c:ptCount val="1"/>
                <c:pt idx="0">
                  <c:v>Количество субвенций, шт.</c:v>
                </c:pt>
              </c:strCache>
            </c:strRef>
          </c:tx>
          <c:spPr>
            <a:pattFill prst="zigZag">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Лист1!$B$14:$C$14</c:f>
              <c:numCache>
                <c:formatCode>General</c:formatCode>
                <c:ptCount val="2"/>
                <c:pt idx="0">
                  <c:v>25</c:v>
                </c:pt>
                <c:pt idx="1">
                  <c:v>24</c:v>
                </c:pt>
              </c:numCache>
            </c:numRef>
          </c:val>
          <c:extLst>
            <c:ext xmlns:c16="http://schemas.microsoft.com/office/drawing/2014/chart" uri="{C3380CC4-5D6E-409C-BE32-E72D297353CC}">
              <c16:uniqueId val="{00000002-0024-4AEF-B8D2-B7D3C61859D4}"/>
            </c:ext>
          </c:extLst>
        </c:ser>
        <c:ser>
          <c:idx val="3"/>
          <c:order val="3"/>
          <c:tx>
            <c:strRef>
              <c:f>Лист1!$A$15</c:f>
              <c:strCache>
                <c:ptCount val="1"/>
                <c:pt idx="0">
                  <c:v>Субвенции, млрд. руб </c:v>
                </c:pt>
              </c:strCache>
            </c:strRef>
          </c:tx>
          <c:spPr>
            <a:pattFill prst="pct60">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Лист1!$B$15:$C$15</c:f>
              <c:numCache>
                <c:formatCode>General</c:formatCode>
                <c:ptCount val="2"/>
                <c:pt idx="0">
                  <c:v>303.8</c:v>
                </c:pt>
                <c:pt idx="1">
                  <c:v>304.39999999999986</c:v>
                </c:pt>
              </c:numCache>
            </c:numRef>
          </c:val>
          <c:extLst>
            <c:ext xmlns:c16="http://schemas.microsoft.com/office/drawing/2014/chart" uri="{C3380CC4-5D6E-409C-BE32-E72D297353CC}">
              <c16:uniqueId val="{00000003-0024-4AEF-B8D2-B7D3C61859D4}"/>
            </c:ext>
          </c:extLst>
        </c:ser>
        <c:ser>
          <c:idx val="4"/>
          <c:order val="4"/>
          <c:tx>
            <c:strRef>
              <c:f>Лист1!$A$16</c:f>
              <c:strCache>
                <c:ptCount val="1"/>
                <c:pt idx="0">
                  <c:v>Количество субсидий, шт.</c:v>
                </c:pt>
              </c:strCache>
            </c:strRef>
          </c:tx>
          <c:spPr>
            <a:pattFill prst="pct20">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Лист1!$B$16:$C$16</c:f>
              <c:numCache>
                <c:formatCode>General</c:formatCode>
                <c:ptCount val="2"/>
                <c:pt idx="0">
                  <c:v>55</c:v>
                </c:pt>
                <c:pt idx="1">
                  <c:v>50</c:v>
                </c:pt>
              </c:numCache>
            </c:numRef>
          </c:val>
          <c:extLst>
            <c:ext xmlns:c16="http://schemas.microsoft.com/office/drawing/2014/chart" uri="{C3380CC4-5D6E-409C-BE32-E72D297353CC}">
              <c16:uniqueId val="{00000004-0024-4AEF-B8D2-B7D3C61859D4}"/>
            </c:ext>
          </c:extLst>
        </c:ser>
        <c:ser>
          <c:idx val="5"/>
          <c:order val="5"/>
          <c:tx>
            <c:strRef>
              <c:f>Лист1!$A$17</c:f>
              <c:strCache>
                <c:ptCount val="1"/>
                <c:pt idx="0">
                  <c:v>Субсидии, млрд. руб </c:v>
                </c:pt>
              </c:strCache>
            </c:strRef>
          </c:tx>
          <c:spPr>
            <a:pattFill prst="dkDnDiag">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Лист1!$B$17:$C$17</c:f>
              <c:numCache>
                <c:formatCode>General</c:formatCode>
                <c:ptCount val="2"/>
                <c:pt idx="0">
                  <c:v>325.89999999999986</c:v>
                </c:pt>
                <c:pt idx="1">
                  <c:v>282.7</c:v>
                </c:pt>
              </c:numCache>
            </c:numRef>
          </c:val>
          <c:extLst>
            <c:ext xmlns:c16="http://schemas.microsoft.com/office/drawing/2014/chart" uri="{C3380CC4-5D6E-409C-BE32-E72D297353CC}">
              <c16:uniqueId val="{00000005-0024-4AEF-B8D2-B7D3C61859D4}"/>
            </c:ext>
          </c:extLst>
        </c:ser>
        <c:ser>
          <c:idx val="6"/>
          <c:order val="6"/>
          <c:tx>
            <c:strRef>
              <c:f>Лист1!$A$18</c:f>
              <c:strCache>
                <c:ptCount val="1"/>
                <c:pt idx="0">
                  <c:v>Дотации на сбалансированность, млрд. руб </c:v>
                </c:pt>
              </c:strCache>
            </c:strRef>
          </c:tx>
          <c:spPr>
            <a:pattFill prst="shingle">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Лист1!$B$18:$C$18</c:f>
              <c:numCache>
                <c:formatCode>General</c:formatCode>
                <c:ptCount val="2"/>
                <c:pt idx="0">
                  <c:v>129.80000000000001</c:v>
                </c:pt>
                <c:pt idx="1">
                  <c:v>141.19999999999999</c:v>
                </c:pt>
              </c:numCache>
            </c:numRef>
          </c:val>
          <c:extLst>
            <c:ext xmlns:c16="http://schemas.microsoft.com/office/drawing/2014/chart" uri="{C3380CC4-5D6E-409C-BE32-E72D297353CC}">
              <c16:uniqueId val="{00000006-0024-4AEF-B8D2-B7D3C61859D4}"/>
            </c:ext>
          </c:extLst>
        </c:ser>
        <c:ser>
          <c:idx val="7"/>
          <c:order val="7"/>
          <c:tx>
            <c:strRef>
              <c:f>Лист1!$A$19</c:f>
              <c:strCache>
                <c:ptCount val="1"/>
                <c:pt idx="0">
                  <c:v>Дотации на выравнивание, млрд. руб </c:v>
                </c:pt>
              </c:strCache>
            </c:strRef>
          </c:tx>
          <c:spPr>
            <a:pattFill prst="pct40">
              <a:fgClr>
                <a:schemeClr val="tx1"/>
              </a:fgClr>
              <a:bgClr>
                <a:schemeClr val="bg1"/>
              </a:bgClr>
            </a:pattFill>
            <a:ln>
              <a:solidFill>
                <a:schemeClr val="tx1"/>
              </a:solidFill>
            </a:ln>
          </c:spPr>
          <c:invertIfNegative val="0"/>
          <c:cat>
            <c:numRef>
              <c:f>Лист1!$B$11:$C$11</c:f>
              <c:numCache>
                <c:formatCode>General</c:formatCode>
                <c:ptCount val="2"/>
                <c:pt idx="0">
                  <c:v>2018</c:v>
                </c:pt>
                <c:pt idx="1">
                  <c:v>2019</c:v>
                </c:pt>
              </c:numCache>
            </c:numRef>
          </c:cat>
          <c:val>
            <c:numRef>
              <c:f>Лист1!$B$19:$C$19</c:f>
              <c:numCache>
                <c:formatCode>General</c:formatCode>
                <c:ptCount val="2"/>
                <c:pt idx="0">
                  <c:v>614.6</c:v>
                </c:pt>
                <c:pt idx="1">
                  <c:v>614.6</c:v>
                </c:pt>
              </c:numCache>
            </c:numRef>
          </c:val>
          <c:extLst>
            <c:ext xmlns:c16="http://schemas.microsoft.com/office/drawing/2014/chart" uri="{C3380CC4-5D6E-409C-BE32-E72D297353CC}">
              <c16:uniqueId val="{00000007-0024-4AEF-B8D2-B7D3C61859D4}"/>
            </c:ext>
          </c:extLst>
        </c:ser>
        <c:ser>
          <c:idx val="8"/>
          <c:order val="8"/>
          <c:tx>
            <c:strRef>
              <c:f>Лист1!$A$20</c:f>
              <c:strCache>
                <c:ptCount val="1"/>
                <c:pt idx="0">
                  <c:v>Дотации, млрд. руб </c:v>
                </c:pt>
              </c:strCache>
            </c:strRef>
          </c:tx>
          <c:spPr>
            <a:pattFill prst="lgConfetti">
              <a:fgClr>
                <a:schemeClr val="tx1"/>
              </a:fgClr>
              <a:bgClr>
                <a:schemeClr val="bg1"/>
              </a:bgClr>
            </a:patt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invertIfNegative val="0"/>
          <c:cat>
            <c:numRef>
              <c:f>Лист1!$B$11:$C$11</c:f>
              <c:numCache>
                <c:formatCode>General</c:formatCode>
                <c:ptCount val="2"/>
                <c:pt idx="0">
                  <c:v>2018</c:v>
                </c:pt>
                <c:pt idx="1">
                  <c:v>2019</c:v>
                </c:pt>
              </c:numCache>
            </c:numRef>
          </c:cat>
          <c:val>
            <c:numRef>
              <c:f>Лист1!$B$20:$C$20</c:f>
              <c:numCache>
                <c:formatCode>General</c:formatCode>
                <c:ptCount val="2"/>
                <c:pt idx="0">
                  <c:v>754.6</c:v>
                </c:pt>
                <c:pt idx="1">
                  <c:v>765.7</c:v>
                </c:pt>
              </c:numCache>
            </c:numRef>
          </c:val>
          <c:extLst>
            <c:ext xmlns:c16="http://schemas.microsoft.com/office/drawing/2014/chart" uri="{C3380CC4-5D6E-409C-BE32-E72D297353CC}">
              <c16:uniqueId val="{00000008-0024-4AEF-B8D2-B7D3C61859D4}"/>
            </c:ext>
          </c:extLst>
        </c:ser>
        <c:dLbls>
          <c:showLegendKey val="0"/>
          <c:showVal val="0"/>
          <c:showCatName val="0"/>
          <c:showSerName val="0"/>
          <c:showPercent val="0"/>
          <c:showBubbleSize val="0"/>
        </c:dLbls>
        <c:gapWidth val="150"/>
        <c:shape val="cylinder"/>
        <c:axId val="400129408"/>
        <c:axId val="400131584"/>
        <c:axId val="0"/>
      </c:bar3DChart>
      <c:catAx>
        <c:axId val="400129408"/>
        <c:scaling>
          <c:orientation val="minMax"/>
        </c:scaling>
        <c:delete val="0"/>
        <c:axPos val="b"/>
        <c:title>
          <c:tx>
            <c:rich>
              <a:bodyPr/>
              <a:lstStyle/>
              <a:p>
                <a:pPr>
                  <a:defRPr b="0"/>
                </a:pPr>
                <a:r>
                  <a:rPr lang="ru-RU" b="0"/>
                  <a:t>год</a:t>
                </a:r>
              </a:p>
            </c:rich>
          </c:tx>
          <c:layout>
            <c:manualLayout>
              <c:xMode val="edge"/>
              <c:yMode val="edge"/>
              <c:x val="0.5676708049530621"/>
              <c:y val="0.89281765227874665"/>
            </c:manualLayout>
          </c:layout>
          <c:overlay val="0"/>
        </c:title>
        <c:numFmt formatCode="General" sourceLinked="1"/>
        <c:majorTickMark val="out"/>
        <c:minorTickMark val="none"/>
        <c:tickLblPos val="nextTo"/>
        <c:crossAx val="400131584"/>
        <c:crosses val="autoZero"/>
        <c:auto val="1"/>
        <c:lblAlgn val="ctr"/>
        <c:lblOffset val="100"/>
        <c:noMultiLvlLbl val="0"/>
      </c:catAx>
      <c:valAx>
        <c:axId val="400131584"/>
        <c:scaling>
          <c:orientation val="minMax"/>
        </c:scaling>
        <c:delete val="0"/>
        <c:axPos val="l"/>
        <c:majorGridlines/>
        <c:numFmt formatCode="General" sourceLinked="1"/>
        <c:majorTickMark val="out"/>
        <c:minorTickMark val="none"/>
        <c:tickLblPos val="nextTo"/>
        <c:crossAx val="400129408"/>
        <c:crosses val="autoZero"/>
        <c:crossBetween val="between"/>
      </c:valAx>
    </c:plotArea>
    <c:legend>
      <c:legendPos val="r"/>
      <c:layout>
        <c:manualLayout>
          <c:xMode val="edge"/>
          <c:yMode val="edge"/>
          <c:x val="0.65363616514404899"/>
          <c:y val="2.5369485034778778E-2"/>
          <c:w val="0.33153529134974408"/>
          <c:h val="0.97463051496522124"/>
        </c:manualLayout>
      </c:layout>
      <c:overlay val="0"/>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714903535979807"/>
          <c:y val="3.6877390463987282E-2"/>
          <c:w val="0.59872567062401894"/>
          <c:h val="0.87936420950264627"/>
        </c:manualLayout>
      </c:layout>
      <c:barChart>
        <c:barDir val="bar"/>
        <c:grouping val="clustered"/>
        <c:varyColors val="0"/>
        <c:ser>
          <c:idx val="0"/>
          <c:order val="0"/>
          <c:tx>
            <c:strRef>
              <c:f>Лист1!$B$51</c:f>
              <c:strCache>
                <c:ptCount val="1"/>
                <c:pt idx="0">
                  <c:v>млн. руб.</c:v>
                </c:pt>
              </c:strCache>
            </c:strRef>
          </c:tx>
          <c:spPr>
            <a:ln>
              <a:solidFill>
                <a:schemeClr val="tx1"/>
              </a:solidFill>
            </a:ln>
          </c:spPr>
          <c:invertIfNegative val="0"/>
          <c:dPt>
            <c:idx val="0"/>
            <c:invertIfNegative val="0"/>
            <c:bubble3D val="0"/>
            <c:spPr>
              <a:pattFill prst="pct50">
                <a:fgClr>
                  <a:schemeClr val="tx1"/>
                </a:fgClr>
                <a:bgClr>
                  <a:schemeClr val="bg1"/>
                </a:bgClr>
              </a:pattFill>
              <a:ln>
                <a:solidFill>
                  <a:schemeClr val="tx1"/>
                </a:solidFill>
              </a:ln>
            </c:spPr>
            <c:extLst>
              <c:ext xmlns:c16="http://schemas.microsoft.com/office/drawing/2014/chart" uri="{C3380CC4-5D6E-409C-BE32-E72D297353CC}">
                <c16:uniqueId val="{00000001-33B5-4734-8C00-C4A1359D72EC}"/>
              </c:ext>
            </c:extLst>
          </c:dPt>
          <c:dPt>
            <c:idx val="1"/>
            <c:invertIfNegative val="0"/>
            <c:bubble3D val="0"/>
            <c:spPr>
              <a:pattFill prst="pct60">
                <a:fgClr>
                  <a:schemeClr val="tx1"/>
                </a:fgClr>
                <a:bgClr>
                  <a:schemeClr val="bg1"/>
                </a:bgClr>
              </a:pattFill>
              <a:ln>
                <a:solidFill>
                  <a:schemeClr val="tx1"/>
                </a:solidFill>
              </a:ln>
            </c:spPr>
            <c:extLst>
              <c:ext xmlns:c16="http://schemas.microsoft.com/office/drawing/2014/chart" uri="{C3380CC4-5D6E-409C-BE32-E72D297353CC}">
                <c16:uniqueId val="{00000003-33B5-4734-8C00-C4A1359D72EC}"/>
              </c:ext>
            </c:extLst>
          </c:dPt>
          <c:dPt>
            <c:idx val="2"/>
            <c:invertIfNegative val="0"/>
            <c:bubble3D val="0"/>
            <c:spPr>
              <a:pattFill prst="pct70">
                <a:fgClr>
                  <a:schemeClr val="tx1"/>
                </a:fgClr>
                <a:bgClr>
                  <a:schemeClr val="bg1"/>
                </a:bgClr>
              </a:pattFill>
              <a:ln>
                <a:solidFill>
                  <a:schemeClr val="tx1"/>
                </a:solidFill>
              </a:ln>
            </c:spPr>
            <c:extLst>
              <c:ext xmlns:c16="http://schemas.microsoft.com/office/drawing/2014/chart" uri="{C3380CC4-5D6E-409C-BE32-E72D297353CC}">
                <c16:uniqueId val="{00000005-33B5-4734-8C00-C4A1359D72EC}"/>
              </c:ext>
            </c:extLst>
          </c:dPt>
          <c:dPt>
            <c:idx val="3"/>
            <c:invertIfNegative val="0"/>
            <c:bubble3D val="0"/>
            <c:spPr>
              <a:pattFill prst="pct75">
                <a:fgClr>
                  <a:schemeClr val="tx1"/>
                </a:fgClr>
                <a:bgClr>
                  <a:schemeClr val="bg1"/>
                </a:bgClr>
              </a:pattFill>
              <a:ln>
                <a:solidFill>
                  <a:schemeClr val="tx1"/>
                </a:solidFill>
              </a:ln>
            </c:spPr>
            <c:extLst>
              <c:ext xmlns:c16="http://schemas.microsoft.com/office/drawing/2014/chart" uri="{C3380CC4-5D6E-409C-BE32-E72D297353CC}">
                <c16:uniqueId val="{00000007-33B5-4734-8C00-C4A1359D72EC}"/>
              </c:ext>
            </c:extLst>
          </c:dPt>
          <c:dPt>
            <c:idx val="4"/>
            <c:invertIfNegative val="0"/>
            <c:bubble3D val="0"/>
            <c:spPr>
              <a:pattFill prst="pct80">
                <a:fgClr>
                  <a:schemeClr val="tx1"/>
                </a:fgClr>
                <a:bgClr>
                  <a:schemeClr val="bg1"/>
                </a:bgClr>
              </a:pattFill>
              <a:ln>
                <a:solidFill>
                  <a:schemeClr val="tx1"/>
                </a:solidFill>
              </a:ln>
            </c:spPr>
            <c:extLst>
              <c:ext xmlns:c16="http://schemas.microsoft.com/office/drawing/2014/chart" uri="{C3380CC4-5D6E-409C-BE32-E72D297353CC}">
                <c16:uniqueId val="{00000009-33B5-4734-8C00-C4A1359D72EC}"/>
              </c:ext>
            </c:extLst>
          </c:dPt>
          <c:dPt>
            <c:idx val="5"/>
            <c:invertIfNegative val="0"/>
            <c:bubble3D val="0"/>
            <c:spPr>
              <a:pattFill prst="dkDnDiag">
                <a:fgClr>
                  <a:schemeClr val="tx1"/>
                </a:fgClr>
                <a:bgClr>
                  <a:schemeClr val="bg1"/>
                </a:bgClr>
              </a:pattFill>
              <a:ln>
                <a:solidFill>
                  <a:schemeClr val="tx1"/>
                </a:solidFill>
              </a:ln>
            </c:spPr>
            <c:extLst>
              <c:ext xmlns:c16="http://schemas.microsoft.com/office/drawing/2014/chart" uri="{C3380CC4-5D6E-409C-BE32-E72D297353CC}">
                <c16:uniqueId val="{0000000B-33B5-4734-8C00-C4A1359D72EC}"/>
              </c:ext>
            </c:extLst>
          </c:dPt>
          <c:dPt>
            <c:idx val="6"/>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D-33B5-4734-8C00-C4A1359D72EC}"/>
              </c:ext>
            </c:extLst>
          </c:dPt>
          <c:dPt>
            <c:idx val="7"/>
            <c:invertIfNegative val="0"/>
            <c:bubble3D val="0"/>
            <c:spPr>
              <a:pattFill prst="smCheck">
                <a:fgClr>
                  <a:schemeClr val="tx1"/>
                </a:fgClr>
                <a:bgClr>
                  <a:schemeClr val="bg1"/>
                </a:bgClr>
              </a:pattFill>
              <a:ln>
                <a:solidFill>
                  <a:schemeClr val="tx1"/>
                </a:solidFill>
              </a:ln>
            </c:spPr>
            <c:extLst>
              <c:ext xmlns:c16="http://schemas.microsoft.com/office/drawing/2014/chart" uri="{C3380CC4-5D6E-409C-BE32-E72D297353CC}">
                <c16:uniqueId val="{0000000F-33B5-4734-8C00-C4A1359D72EC}"/>
              </c:ext>
            </c:extLst>
          </c:dPt>
          <c:dPt>
            <c:idx val="8"/>
            <c:invertIfNegative val="0"/>
            <c:bubble3D val="0"/>
            <c:spPr>
              <a:pattFill prst="zigZag">
                <a:fgClr>
                  <a:schemeClr val="tx1"/>
                </a:fgClr>
                <a:bgClr>
                  <a:schemeClr val="bg1"/>
                </a:bgClr>
              </a:pattFill>
              <a:ln>
                <a:solidFill>
                  <a:schemeClr val="tx1"/>
                </a:solidFill>
              </a:ln>
            </c:spPr>
            <c:extLst>
              <c:ext xmlns:c16="http://schemas.microsoft.com/office/drawing/2014/chart" uri="{C3380CC4-5D6E-409C-BE32-E72D297353CC}">
                <c16:uniqueId val="{00000011-33B5-4734-8C00-C4A1359D72EC}"/>
              </c:ext>
            </c:extLst>
          </c:dPt>
          <c:dPt>
            <c:idx val="9"/>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13-33B5-4734-8C00-C4A1359D72EC}"/>
              </c:ext>
            </c:extLst>
          </c:dPt>
          <c:dPt>
            <c:idx val="10"/>
            <c:invertIfNegative val="0"/>
            <c:bubble3D val="0"/>
            <c:spPr>
              <a:pattFill prst="lgConfetti">
                <a:fgClr>
                  <a:schemeClr val="tx1"/>
                </a:fgClr>
                <a:bgClr>
                  <a:schemeClr val="bg1"/>
                </a:bgClr>
              </a:pattFill>
              <a:ln>
                <a:solidFill>
                  <a:schemeClr val="tx1"/>
                </a:solidFill>
              </a:ln>
            </c:spPr>
            <c:extLst>
              <c:ext xmlns:c16="http://schemas.microsoft.com/office/drawing/2014/chart" uri="{C3380CC4-5D6E-409C-BE32-E72D297353CC}">
                <c16:uniqueId val="{00000015-33B5-4734-8C00-C4A1359D72EC}"/>
              </c:ext>
            </c:extLst>
          </c:dPt>
          <c:dPt>
            <c:idx val="11"/>
            <c:invertIfNegative val="0"/>
            <c:bubble3D val="0"/>
            <c:spPr>
              <a:pattFill prst="pct80">
                <a:fgClr>
                  <a:schemeClr val="tx1"/>
                </a:fgClr>
                <a:bgClr>
                  <a:schemeClr val="bg1"/>
                </a:bgClr>
              </a:pattFill>
              <a:ln>
                <a:solidFill>
                  <a:schemeClr val="tx1"/>
                </a:solidFill>
              </a:ln>
            </c:spPr>
            <c:extLst>
              <c:ext xmlns:c16="http://schemas.microsoft.com/office/drawing/2014/chart" uri="{C3380CC4-5D6E-409C-BE32-E72D297353CC}">
                <c16:uniqueId val="{00000017-33B5-4734-8C00-C4A1359D72E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Лист1!$A$52:$A$65</c:f>
              <c:strCache>
                <c:ptCount val="14"/>
                <c:pt idx="0">
                  <c:v>Социальная политика</c:v>
                </c:pt>
                <c:pt idx="1">
                  <c:v>Национальная оборона</c:v>
                </c:pt>
                <c:pt idx="2">
                  <c:v>Национальная экономика</c:v>
                </c:pt>
                <c:pt idx="3">
                  <c:v>Правоохранительная деятельность</c:v>
                </c:pt>
                <c:pt idx="4">
                  <c:v>Общегосударственные вопросы</c:v>
                </c:pt>
                <c:pt idx="5">
                  <c:v>Обслуживание госдолга</c:v>
                </c:pt>
                <c:pt idx="6">
                  <c:v>Межбюджетные трансферты</c:v>
                </c:pt>
                <c:pt idx="7">
                  <c:v>Образование</c:v>
                </c:pt>
                <c:pt idx="8">
                  <c:v>Здравоохранение</c:v>
                </c:pt>
                <c:pt idx="9">
                  <c:v>Культура, кинематография</c:v>
                </c:pt>
                <c:pt idx="10">
                  <c:v>Охрана окружающей среды</c:v>
                </c:pt>
                <c:pt idx="11">
                  <c:v>СМИ</c:v>
                </c:pt>
                <c:pt idx="12">
                  <c:v>Физическая культура и спорт</c:v>
                </c:pt>
                <c:pt idx="13">
                  <c:v>ЖКХ</c:v>
                </c:pt>
              </c:strCache>
            </c:strRef>
          </c:cat>
          <c:val>
            <c:numRef>
              <c:f>Лист1!$B$52:$B$65</c:f>
              <c:numCache>
                <c:formatCode>#,##0</c:formatCode>
                <c:ptCount val="14"/>
                <c:pt idx="0">
                  <c:v>4966417</c:v>
                </c:pt>
                <c:pt idx="1">
                  <c:v>2729151</c:v>
                </c:pt>
                <c:pt idx="2">
                  <c:v>2263802</c:v>
                </c:pt>
                <c:pt idx="3">
                  <c:v>1876158</c:v>
                </c:pt>
                <c:pt idx="4">
                  <c:v>1224647</c:v>
                </c:pt>
                <c:pt idx="5">
                  <c:v>847976</c:v>
                </c:pt>
                <c:pt idx="6">
                  <c:v>767160</c:v>
                </c:pt>
                <c:pt idx="7">
                  <c:v>619142</c:v>
                </c:pt>
                <c:pt idx="8">
                  <c:v>410021</c:v>
                </c:pt>
                <c:pt idx="9">
                  <c:v>93079</c:v>
                </c:pt>
                <c:pt idx="10">
                  <c:v>77973</c:v>
                </c:pt>
                <c:pt idx="11">
                  <c:v>68566</c:v>
                </c:pt>
                <c:pt idx="12">
                  <c:v>56550</c:v>
                </c:pt>
                <c:pt idx="13">
                  <c:v>39043</c:v>
                </c:pt>
              </c:numCache>
            </c:numRef>
          </c:val>
          <c:extLst>
            <c:ext xmlns:c16="http://schemas.microsoft.com/office/drawing/2014/chart" uri="{C3380CC4-5D6E-409C-BE32-E72D297353CC}">
              <c16:uniqueId val="{00000018-33B5-4734-8C00-C4A1359D72EC}"/>
            </c:ext>
          </c:extLst>
        </c:ser>
        <c:dLbls>
          <c:showLegendKey val="0"/>
          <c:showVal val="0"/>
          <c:showCatName val="0"/>
          <c:showSerName val="0"/>
          <c:showPercent val="0"/>
          <c:showBubbleSize val="0"/>
        </c:dLbls>
        <c:gapWidth val="150"/>
        <c:axId val="400305152"/>
        <c:axId val="400306944"/>
      </c:barChart>
      <c:catAx>
        <c:axId val="400305152"/>
        <c:scaling>
          <c:orientation val="minMax"/>
        </c:scaling>
        <c:delete val="0"/>
        <c:axPos val="l"/>
        <c:numFmt formatCode="General" sourceLinked="0"/>
        <c:majorTickMark val="out"/>
        <c:minorTickMark val="none"/>
        <c:tickLblPos val="nextTo"/>
        <c:crossAx val="400306944"/>
        <c:crosses val="autoZero"/>
        <c:auto val="1"/>
        <c:lblAlgn val="ctr"/>
        <c:lblOffset val="100"/>
        <c:noMultiLvlLbl val="0"/>
      </c:catAx>
      <c:valAx>
        <c:axId val="400306944"/>
        <c:scaling>
          <c:orientation val="minMax"/>
        </c:scaling>
        <c:delete val="0"/>
        <c:axPos val="b"/>
        <c:majorGridlines/>
        <c:title>
          <c:tx>
            <c:rich>
              <a:bodyPr/>
              <a:lstStyle/>
              <a:p>
                <a:pPr>
                  <a:defRPr b="0"/>
                </a:pPr>
                <a:r>
                  <a:rPr lang="ru-RU" b="0"/>
                  <a:t>млн. руб</a:t>
                </a:r>
              </a:p>
            </c:rich>
          </c:tx>
          <c:layout>
            <c:manualLayout>
              <c:xMode val="edge"/>
              <c:yMode val="edge"/>
              <c:x val="0.84892694663167123"/>
              <c:y val="0.82736230292696145"/>
            </c:manualLayout>
          </c:layout>
          <c:overlay val="0"/>
        </c:title>
        <c:numFmt formatCode="#,##0" sourceLinked="1"/>
        <c:majorTickMark val="out"/>
        <c:minorTickMark val="none"/>
        <c:tickLblPos val="nextTo"/>
        <c:crossAx val="400305152"/>
        <c:crosses val="autoZero"/>
        <c:crossBetween val="between"/>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2018-09-22T10:03:00Z</dcterms:created>
  <dcterms:modified xsi:type="dcterms:W3CDTF">2018-09-22T10:04:00Z</dcterms:modified>
</cp:coreProperties>
</file>