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9"/>
        <w:gridCol w:w="4963"/>
      </w:tblGrid>
      <w:tr w:rsidR="00810CA0" w:rsidRPr="00810CA0" w:rsidTr="00272896">
        <w:trPr>
          <w:jc w:val="center"/>
        </w:trPr>
        <w:tc>
          <w:tcPr>
            <w:tcW w:w="4320" w:type="dxa"/>
          </w:tcPr>
          <w:p w:rsidR="00810CA0" w:rsidRPr="00810CA0" w:rsidRDefault="00810CA0" w:rsidP="00810CA0">
            <w:pPr>
              <w:tabs>
                <w:tab w:val="left" w:pos="7088"/>
              </w:tabs>
              <w:spacing w:line="25" w:lineRule="atLeast"/>
              <w:ind w:right="1134"/>
              <w:jc w:val="both"/>
              <w:rPr>
                <w:rFonts w:ascii="Times New Roman" w:hAnsi="Times New Roman"/>
                <w:sz w:val="28"/>
                <w:szCs w:val="28"/>
              </w:rPr>
            </w:pPr>
            <w:r w:rsidRPr="00810CA0">
              <w:rPr>
                <w:rFonts w:ascii="Times New Roman" w:hAnsi="Times New Roman"/>
                <w:b/>
                <w:sz w:val="28"/>
                <w:szCs w:val="24"/>
              </w:rPr>
              <w:t>УДК 339.97</w:t>
            </w:r>
          </w:p>
        </w:tc>
        <w:tc>
          <w:tcPr>
            <w:tcW w:w="5246" w:type="dxa"/>
            <w:tcMar>
              <w:left w:w="0" w:type="dxa"/>
              <w:right w:w="0" w:type="dxa"/>
            </w:tcMar>
          </w:tcPr>
          <w:p w:rsidR="00810CA0" w:rsidRPr="00810CA0" w:rsidRDefault="00810CA0" w:rsidP="00810CA0">
            <w:pPr>
              <w:widowControl w:val="0"/>
              <w:shd w:val="clear" w:color="auto" w:fill="FFFFFF"/>
              <w:rPr>
                <w:rFonts w:ascii="Times New Roman" w:hAnsi="Times New Roman"/>
                <w:sz w:val="28"/>
                <w:szCs w:val="28"/>
              </w:rPr>
            </w:pPr>
          </w:p>
        </w:tc>
      </w:tr>
      <w:tr w:rsidR="00810CA0" w:rsidRPr="00810CA0" w:rsidTr="00272896">
        <w:trPr>
          <w:jc w:val="center"/>
        </w:trPr>
        <w:tc>
          <w:tcPr>
            <w:tcW w:w="4320" w:type="dxa"/>
          </w:tcPr>
          <w:p w:rsidR="00810CA0" w:rsidRPr="00810CA0" w:rsidRDefault="00810CA0" w:rsidP="00810CA0">
            <w:pPr>
              <w:widowControl w:val="0"/>
              <w:ind w:hanging="28"/>
              <w:jc w:val="center"/>
              <w:outlineLvl w:val="0"/>
              <w:rPr>
                <w:rFonts w:ascii="Times New Roman" w:hAnsi="Times New Roman"/>
                <w:b/>
                <w:bCs/>
                <w:caps/>
                <w:sz w:val="28"/>
                <w:szCs w:val="28"/>
                <w:shd w:val="clear" w:color="auto" w:fill="FFFFFF"/>
              </w:rPr>
            </w:pPr>
          </w:p>
        </w:tc>
        <w:tc>
          <w:tcPr>
            <w:tcW w:w="5246" w:type="dxa"/>
          </w:tcPr>
          <w:p w:rsidR="00810CA0" w:rsidRPr="00810CA0" w:rsidRDefault="00810CA0" w:rsidP="00810CA0">
            <w:pPr>
              <w:jc w:val="both"/>
              <w:rPr>
                <w:rFonts w:ascii="Times New Roman" w:hAnsi="Times New Roman"/>
                <w:i/>
                <w:spacing w:val="-6"/>
                <w:sz w:val="28"/>
                <w:szCs w:val="24"/>
              </w:rPr>
            </w:pPr>
            <w:bookmarkStart w:id="0" w:name="_Toc518846589"/>
            <w:r w:rsidRPr="00810CA0">
              <w:rPr>
                <w:rFonts w:ascii="Times New Roman" w:hAnsi="Times New Roman"/>
                <w:b/>
                <w:bCs/>
                <w:sz w:val="28"/>
                <w:szCs w:val="28"/>
              </w:rPr>
              <w:t xml:space="preserve">Е.А. </w:t>
            </w:r>
            <w:proofErr w:type="spellStart"/>
            <w:r w:rsidRPr="00810CA0">
              <w:rPr>
                <w:rFonts w:ascii="Times New Roman" w:hAnsi="Times New Roman"/>
                <w:b/>
                <w:bCs/>
                <w:sz w:val="28"/>
                <w:szCs w:val="28"/>
              </w:rPr>
              <w:t>Шумаева</w:t>
            </w:r>
            <w:proofErr w:type="spellEnd"/>
            <w:r w:rsidRPr="00810CA0">
              <w:rPr>
                <w:rFonts w:ascii="Times New Roman" w:hAnsi="Times New Roman"/>
                <w:b/>
                <w:bCs/>
                <w:sz w:val="28"/>
                <w:szCs w:val="28"/>
              </w:rPr>
              <w:t>,</w:t>
            </w:r>
            <w:bookmarkEnd w:id="0"/>
            <w:r w:rsidRPr="00810CA0">
              <w:rPr>
                <w:rFonts w:ascii="Times New Roman" w:hAnsi="Times New Roman"/>
                <w:spacing w:val="-6"/>
                <w:sz w:val="28"/>
                <w:szCs w:val="24"/>
              </w:rPr>
              <w:t xml:space="preserve"> </w:t>
            </w:r>
            <w:r w:rsidRPr="00810CA0">
              <w:rPr>
                <w:rFonts w:ascii="Times New Roman" w:hAnsi="Times New Roman"/>
                <w:i/>
                <w:spacing w:val="-6"/>
                <w:sz w:val="28"/>
                <w:szCs w:val="24"/>
              </w:rPr>
              <w:t xml:space="preserve">к. </w:t>
            </w:r>
            <w:proofErr w:type="spellStart"/>
            <w:r w:rsidRPr="00810CA0">
              <w:rPr>
                <w:rFonts w:ascii="Times New Roman" w:hAnsi="Times New Roman"/>
                <w:i/>
                <w:spacing w:val="-6"/>
                <w:sz w:val="28"/>
                <w:szCs w:val="24"/>
              </w:rPr>
              <w:t>н.гос</w:t>
            </w:r>
            <w:proofErr w:type="spellEnd"/>
            <w:r w:rsidRPr="00810CA0">
              <w:rPr>
                <w:rFonts w:ascii="Times New Roman" w:hAnsi="Times New Roman"/>
                <w:i/>
                <w:spacing w:val="-6"/>
                <w:sz w:val="28"/>
                <w:szCs w:val="24"/>
              </w:rPr>
              <w:t>. упр., доц.</w:t>
            </w:r>
          </w:p>
          <w:p w:rsidR="00810CA0" w:rsidRPr="00810CA0" w:rsidRDefault="00810CA0" w:rsidP="00810CA0">
            <w:pPr>
              <w:numPr>
                <w:ilvl w:val="1"/>
                <w:numId w:val="0"/>
              </w:numPr>
              <w:tabs>
                <w:tab w:val="left" w:pos="709"/>
              </w:tabs>
              <w:suppressAutoHyphens/>
              <w:ind w:firstLine="709"/>
              <w:outlineLvl w:val="1"/>
              <w:rPr>
                <w:rFonts w:ascii="Times New Roman" w:hAnsi="Times New Roman"/>
                <w:b/>
                <w:bCs/>
                <w:sz w:val="28"/>
                <w:szCs w:val="28"/>
              </w:rPr>
            </w:pPr>
            <w:bookmarkStart w:id="1" w:name="_Toc518846590"/>
            <w:r w:rsidRPr="00810CA0">
              <w:rPr>
                <w:rFonts w:ascii="Times New Roman" w:hAnsi="Times New Roman"/>
                <w:b/>
                <w:bCs/>
                <w:sz w:val="28"/>
                <w:szCs w:val="28"/>
              </w:rPr>
              <w:t xml:space="preserve">Ф.Б. </w:t>
            </w:r>
            <w:proofErr w:type="spellStart"/>
            <w:r w:rsidRPr="00810CA0">
              <w:rPr>
                <w:rFonts w:ascii="Times New Roman" w:hAnsi="Times New Roman"/>
                <w:b/>
                <w:bCs/>
                <w:sz w:val="28"/>
                <w:szCs w:val="28"/>
              </w:rPr>
              <w:t>Гетьманенко</w:t>
            </w:r>
            <w:bookmarkEnd w:id="1"/>
            <w:proofErr w:type="spellEnd"/>
            <w:r w:rsidRPr="00810CA0">
              <w:rPr>
                <w:rFonts w:ascii="Times New Roman" w:hAnsi="Times New Roman"/>
                <w:b/>
                <w:bCs/>
                <w:sz w:val="28"/>
                <w:szCs w:val="28"/>
              </w:rPr>
              <w:t xml:space="preserve"> </w:t>
            </w:r>
          </w:p>
          <w:p w:rsidR="00810CA0" w:rsidRPr="00810CA0" w:rsidRDefault="00810CA0" w:rsidP="00810CA0">
            <w:pPr>
              <w:jc w:val="both"/>
              <w:rPr>
                <w:rFonts w:ascii="Times New Roman" w:hAnsi="Times New Roman"/>
                <w:i/>
                <w:sz w:val="28"/>
                <w:szCs w:val="24"/>
              </w:rPr>
            </w:pPr>
            <w:r w:rsidRPr="00810CA0">
              <w:rPr>
                <w:rFonts w:ascii="Times New Roman" w:hAnsi="Times New Roman"/>
                <w:i/>
                <w:sz w:val="28"/>
                <w:szCs w:val="24"/>
              </w:rPr>
              <w:t>ГОУВПО «Донецкий национальный технический университет</w:t>
            </w:r>
            <w:proofErr w:type="gramStart"/>
            <w:r w:rsidRPr="00810CA0">
              <w:rPr>
                <w:rFonts w:ascii="Times New Roman" w:hAnsi="Times New Roman"/>
                <w:i/>
                <w:sz w:val="28"/>
                <w:szCs w:val="24"/>
              </w:rPr>
              <w:t>»,  Донецк</w:t>
            </w:r>
            <w:proofErr w:type="gramEnd"/>
            <w:r w:rsidRPr="00810CA0">
              <w:rPr>
                <w:rFonts w:ascii="Times New Roman" w:hAnsi="Times New Roman"/>
                <w:i/>
                <w:sz w:val="28"/>
                <w:szCs w:val="24"/>
              </w:rPr>
              <w:t xml:space="preserve">, </w:t>
            </w:r>
            <w:r w:rsidRPr="00810CA0">
              <w:rPr>
                <w:rFonts w:ascii="Times New Roman" w:hAnsi="Times New Roman"/>
                <w:i/>
                <w:sz w:val="28"/>
                <w:szCs w:val="28"/>
              </w:rPr>
              <w:t>Донецкая Народная Республика</w:t>
            </w:r>
          </w:p>
          <w:p w:rsidR="00810CA0" w:rsidRPr="00810CA0" w:rsidRDefault="00810CA0" w:rsidP="00810CA0">
            <w:pPr>
              <w:tabs>
                <w:tab w:val="left" w:pos="5529"/>
              </w:tabs>
              <w:jc w:val="both"/>
              <w:rPr>
                <w:rFonts w:ascii="Times New Roman" w:hAnsi="Times New Roman"/>
                <w:i/>
                <w:sz w:val="28"/>
                <w:szCs w:val="24"/>
                <w:lang w:val="en-US"/>
              </w:rPr>
            </w:pPr>
            <w:r w:rsidRPr="00810CA0">
              <w:rPr>
                <w:rFonts w:ascii="Times New Roman" w:hAnsi="Times New Roman"/>
                <w:b/>
                <w:i/>
                <w:sz w:val="28"/>
                <w:szCs w:val="24"/>
              </w:rPr>
              <w:t xml:space="preserve"> </w:t>
            </w:r>
            <w:r w:rsidRPr="00810CA0">
              <w:rPr>
                <w:rFonts w:ascii="Times New Roman" w:hAnsi="Times New Roman"/>
                <w:b/>
                <w:i/>
                <w:sz w:val="28"/>
                <w:szCs w:val="24"/>
                <w:lang w:val="en-US"/>
              </w:rPr>
              <w:t>E</w:t>
            </w:r>
            <w:r w:rsidRPr="00810CA0">
              <w:rPr>
                <w:rFonts w:ascii="Times New Roman" w:hAnsi="Times New Roman"/>
                <w:b/>
                <w:i/>
                <w:iCs/>
                <w:color w:val="222222"/>
                <w:sz w:val="28"/>
                <w:szCs w:val="28"/>
                <w:shd w:val="clear" w:color="auto" w:fill="FFFFFF"/>
                <w:lang w:val="en-US"/>
              </w:rPr>
              <w:t>.A.</w:t>
            </w:r>
            <w:r w:rsidRPr="00810CA0">
              <w:rPr>
                <w:rFonts w:ascii="Times New Roman" w:hAnsi="Times New Roman"/>
                <w:b/>
                <w:i/>
                <w:iCs/>
                <w:color w:val="000000"/>
                <w:sz w:val="28"/>
                <w:szCs w:val="28"/>
                <w:lang w:val="en-US"/>
              </w:rPr>
              <w:t> </w:t>
            </w:r>
            <w:proofErr w:type="spellStart"/>
            <w:r w:rsidRPr="00810CA0">
              <w:rPr>
                <w:rFonts w:ascii="Times New Roman" w:hAnsi="Times New Roman"/>
                <w:b/>
                <w:i/>
                <w:iCs/>
                <w:color w:val="000000"/>
                <w:sz w:val="28"/>
                <w:szCs w:val="28"/>
                <w:lang w:val="en-US"/>
              </w:rPr>
              <w:t>Shumaieva</w:t>
            </w:r>
            <w:proofErr w:type="spellEnd"/>
            <w:r w:rsidRPr="00810CA0">
              <w:rPr>
                <w:rFonts w:ascii="Times New Roman" w:hAnsi="Times New Roman"/>
                <w:i/>
                <w:iCs/>
                <w:color w:val="000000"/>
                <w:sz w:val="28"/>
                <w:szCs w:val="28"/>
                <w:lang w:val="en-US"/>
              </w:rPr>
              <w:t>, candidate of sciences on state administration, associate professor</w:t>
            </w:r>
          </w:p>
          <w:p w:rsidR="00810CA0" w:rsidRPr="00810CA0" w:rsidRDefault="00810CA0" w:rsidP="00810CA0">
            <w:pPr>
              <w:tabs>
                <w:tab w:val="left" w:pos="5387"/>
              </w:tabs>
              <w:jc w:val="both"/>
              <w:rPr>
                <w:rFonts w:ascii="Times New Roman" w:hAnsi="Times New Roman"/>
                <w:b/>
                <w:i/>
                <w:sz w:val="28"/>
                <w:szCs w:val="24"/>
                <w:lang w:val="en-US"/>
              </w:rPr>
            </w:pPr>
            <w:r w:rsidRPr="00810CA0">
              <w:rPr>
                <w:rFonts w:ascii="Times New Roman" w:hAnsi="Times New Roman"/>
                <w:b/>
                <w:i/>
                <w:sz w:val="28"/>
                <w:szCs w:val="24"/>
                <w:lang w:val="en-US"/>
              </w:rPr>
              <w:t xml:space="preserve">F.B. </w:t>
            </w:r>
            <w:proofErr w:type="spellStart"/>
            <w:r w:rsidRPr="00810CA0">
              <w:rPr>
                <w:rFonts w:ascii="Times New Roman" w:hAnsi="Times New Roman"/>
                <w:b/>
                <w:i/>
                <w:sz w:val="28"/>
                <w:szCs w:val="24"/>
                <w:lang w:val="en-US"/>
              </w:rPr>
              <w:t>Getmanenko</w:t>
            </w:r>
            <w:proofErr w:type="spellEnd"/>
            <w:r w:rsidRPr="00810CA0">
              <w:rPr>
                <w:rFonts w:ascii="Times New Roman" w:hAnsi="Times New Roman"/>
                <w:b/>
                <w:i/>
                <w:sz w:val="28"/>
                <w:szCs w:val="24"/>
                <w:lang w:val="en-US"/>
              </w:rPr>
              <w:t xml:space="preserve"> </w:t>
            </w:r>
          </w:p>
          <w:p w:rsidR="00810CA0" w:rsidRPr="00810CA0" w:rsidRDefault="00810CA0" w:rsidP="00810CA0">
            <w:pPr>
              <w:tabs>
                <w:tab w:val="left" w:pos="5387"/>
              </w:tabs>
              <w:jc w:val="both"/>
              <w:rPr>
                <w:rFonts w:ascii="Times New Roman" w:hAnsi="Times New Roman"/>
                <w:i/>
                <w:sz w:val="28"/>
                <w:szCs w:val="24"/>
                <w:lang w:val="en-US"/>
              </w:rPr>
            </w:pPr>
            <w:r w:rsidRPr="00810CA0">
              <w:rPr>
                <w:rFonts w:ascii="Times New Roman" w:hAnsi="Times New Roman"/>
                <w:i/>
                <w:sz w:val="28"/>
                <w:szCs w:val="24"/>
                <w:lang w:val="en-US"/>
              </w:rPr>
              <w:t xml:space="preserve">Donetsk National Technical University, </w:t>
            </w:r>
          </w:p>
          <w:p w:rsidR="00810CA0" w:rsidRPr="00810CA0" w:rsidRDefault="00810CA0" w:rsidP="00810CA0">
            <w:pPr>
              <w:tabs>
                <w:tab w:val="left" w:pos="5387"/>
              </w:tabs>
              <w:jc w:val="both"/>
              <w:rPr>
                <w:rFonts w:ascii="Times New Roman" w:hAnsi="Times New Roman"/>
                <w:sz w:val="28"/>
                <w:szCs w:val="24"/>
              </w:rPr>
            </w:pPr>
            <w:r w:rsidRPr="00810CA0">
              <w:rPr>
                <w:rFonts w:ascii="Times New Roman" w:hAnsi="Times New Roman"/>
                <w:i/>
                <w:sz w:val="28"/>
                <w:szCs w:val="24"/>
                <w:lang w:val="en-US"/>
              </w:rPr>
              <w:t>Donetsk</w:t>
            </w:r>
            <w:r w:rsidRPr="00810CA0">
              <w:rPr>
                <w:rFonts w:ascii="Times New Roman" w:hAnsi="Times New Roman"/>
                <w:i/>
                <w:sz w:val="28"/>
                <w:szCs w:val="24"/>
              </w:rPr>
              <w:t xml:space="preserve">, </w:t>
            </w:r>
            <w:proofErr w:type="spellStart"/>
            <w:r w:rsidRPr="00810CA0">
              <w:rPr>
                <w:rFonts w:ascii="Times New Roman" w:hAnsi="Times New Roman"/>
                <w:i/>
                <w:sz w:val="28"/>
                <w:szCs w:val="28"/>
              </w:rPr>
              <w:t>Donetsk</w:t>
            </w:r>
            <w:proofErr w:type="spellEnd"/>
            <w:r w:rsidRPr="00810CA0">
              <w:rPr>
                <w:rFonts w:ascii="Times New Roman" w:hAnsi="Times New Roman"/>
                <w:i/>
                <w:sz w:val="28"/>
                <w:szCs w:val="28"/>
              </w:rPr>
              <w:t xml:space="preserve"> </w:t>
            </w:r>
            <w:proofErr w:type="spellStart"/>
            <w:r w:rsidRPr="00810CA0">
              <w:rPr>
                <w:rFonts w:ascii="Times New Roman" w:hAnsi="Times New Roman"/>
                <w:i/>
                <w:sz w:val="28"/>
                <w:szCs w:val="28"/>
              </w:rPr>
              <w:t>People's</w:t>
            </w:r>
            <w:proofErr w:type="spellEnd"/>
            <w:r w:rsidRPr="00810CA0">
              <w:rPr>
                <w:rFonts w:ascii="Times New Roman" w:hAnsi="Times New Roman"/>
                <w:i/>
                <w:sz w:val="28"/>
                <w:szCs w:val="28"/>
              </w:rPr>
              <w:t xml:space="preserve"> </w:t>
            </w:r>
            <w:proofErr w:type="spellStart"/>
            <w:r w:rsidRPr="00810CA0">
              <w:rPr>
                <w:rFonts w:ascii="Times New Roman" w:hAnsi="Times New Roman"/>
                <w:i/>
                <w:sz w:val="28"/>
                <w:szCs w:val="28"/>
              </w:rPr>
              <w:t>Republic</w:t>
            </w:r>
            <w:proofErr w:type="spellEnd"/>
          </w:p>
          <w:p w:rsidR="00810CA0" w:rsidRPr="00810CA0" w:rsidRDefault="00810CA0" w:rsidP="00810CA0">
            <w:pPr>
              <w:widowControl w:val="0"/>
              <w:jc w:val="both"/>
              <w:rPr>
                <w:rFonts w:ascii="Times New Roman" w:hAnsi="Times New Roman"/>
                <w:sz w:val="28"/>
                <w:szCs w:val="24"/>
              </w:rPr>
            </w:pPr>
          </w:p>
        </w:tc>
      </w:tr>
      <w:tr w:rsidR="00810CA0" w:rsidRPr="00810CA0" w:rsidTr="00272896">
        <w:trPr>
          <w:jc w:val="center"/>
        </w:trPr>
        <w:tc>
          <w:tcPr>
            <w:tcW w:w="9566" w:type="dxa"/>
            <w:gridSpan w:val="2"/>
          </w:tcPr>
          <w:p w:rsidR="00810CA0" w:rsidRPr="00810CA0" w:rsidRDefault="00810CA0" w:rsidP="00810CA0">
            <w:pPr>
              <w:keepNext/>
              <w:keepLines/>
              <w:ind w:hanging="28"/>
              <w:jc w:val="center"/>
              <w:outlineLvl w:val="0"/>
              <w:rPr>
                <w:b/>
                <w:bCs/>
                <w:caps/>
                <w:sz w:val="28"/>
                <w:szCs w:val="28"/>
                <w:shd w:val="clear" w:color="auto" w:fill="FFFFFF"/>
              </w:rPr>
            </w:pPr>
          </w:p>
        </w:tc>
      </w:tr>
      <w:tr w:rsidR="00810CA0" w:rsidRPr="00810CA0" w:rsidTr="00272896">
        <w:trPr>
          <w:jc w:val="center"/>
        </w:trPr>
        <w:tc>
          <w:tcPr>
            <w:tcW w:w="9566" w:type="dxa"/>
            <w:gridSpan w:val="2"/>
          </w:tcPr>
          <w:p w:rsidR="00810CA0" w:rsidRPr="00810CA0" w:rsidRDefault="00810CA0" w:rsidP="00810CA0">
            <w:pPr>
              <w:keepNext/>
              <w:keepLines/>
              <w:ind w:hanging="28"/>
              <w:jc w:val="center"/>
              <w:outlineLvl w:val="0"/>
              <w:rPr>
                <w:rFonts w:ascii="Times New Roman" w:hAnsi="Times New Roman"/>
                <w:b/>
                <w:bCs/>
                <w:caps/>
                <w:sz w:val="28"/>
                <w:szCs w:val="28"/>
                <w:shd w:val="clear" w:color="auto" w:fill="FFFFFF"/>
              </w:rPr>
            </w:pPr>
            <w:bookmarkStart w:id="2" w:name="_Toc518846591"/>
            <w:r w:rsidRPr="00810CA0">
              <w:rPr>
                <w:rFonts w:ascii="Times New Roman" w:hAnsi="Times New Roman"/>
                <w:b/>
                <w:bCs/>
                <w:caps/>
                <w:sz w:val="28"/>
                <w:szCs w:val="28"/>
                <w:shd w:val="clear" w:color="auto" w:fill="FFFFFF"/>
              </w:rPr>
              <w:t>МЕЖДУНАРОДНАЯ ЭКОНОМИЧЕСКАЯ ИНТЕГРАЦИЯ И ЕЕ РОЛЬ В ОБЕСПЕЧЕНИИ УСТОЙЧИВОСТИ НАЦИОНАЛЬНОЙ ЭКОНОМИКИ</w:t>
            </w:r>
            <w:bookmarkEnd w:id="2"/>
          </w:p>
        </w:tc>
      </w:tr>
      <w:tr w:rsidR="00810CA0" w:rsidRPr="00810CA0" w:rsidTr="00272896">
        <w:trPr>
          <w:jc w:val="center"/>
        </w:trPr>
        <w:tc>
          <w:tcPr>
            <w:tcW w:w="9566" w:type="dxa"/>
            <w:gridSpan w:val="2"/>
          </w:tcPr>
          <w:p w:rsidR="00810CA0" w:rsidRPr="00810CA0" w:rsidRDefault="00810CA0" w:rsidP="00810CA0">
            <w:pPr>
              <w:widowControl w:val="0"/>
              <w:shd w:val="clear" w:color="auto" w:fill="FFFFFF"/>
              <w:ind w:firstLine="709"/>
              <w:jc w:val="center"/>
              <w:rPr>
                <w:rFonts w:ascii="Times New Roman" w:hAnsi="Times New Roman"/>
                <w:b/>
                <w:sz w:val="28"/>
                <w:szCs w:val="28"/>
              </w:rPr>
            </w:pPr>
          </w:p>
        </w:tc>
      </w:tr>
      <w:tr w:rsidR="00810CA0" w:rsidRPr="00810CA0" w:rsidTr="00272896">
        <w:trPr>
          <w:jc w:val="center"/>
        </w:trPr>
        <w:tc>
          <w:tcPr>
            <w:tcW w:w="9566" w:type="dxa"/>
            <w:gridSpan w:val="2"/>
          </w:tcPr>
          <w:p w:rsidR="00810CA0" w:rsidRPr="00810CA0" w:rsidRDefault="00810CA0" w:rsidP="00810CA0">
            <w:pPr>
              <w:widowControl w:val="0"/>
              <w:shd w:val="clear" w:color="auto" w:fill="FFFFFF"/>
              <w:ind w:firstLine="709"/>
              <w:jc w:val="center"/>
              <w:rPr>
                <w:rFonts w:ascii="Times New Roman" w:hAnsi="Times New Roman"/>
                <w:b/>
                <w:sz w:val="28"/>
                <w:szCs w:val="28"/>
                <w:lang w:val="en-US"/>
              </w:rPr>
            </w:pPr>
            <w:r w:rsidRPr="00810CA0">
              <w:rPr>
                <w:rFonts w:ascii="Times New Roman" w:hAnsi="Times New Roman"/>
                <w:b/>
                <w:sz w:val="28"/>
                <w:szCs w:val="24"/>
                <w:lang w:val="en-US"/>
              </w:rPr>
              <w:t>INTERNATIONAL ECONOMIC INTEGRATION AND ITS ROLE IN ENSURING THE SUSTAINABILITY OF THE NATIONAL ECONOMY</w:t>
            </w:r>
          </w:p>
        </w:tc>
      </w:tr>
    </w:tbl>
    <w:p w:rsidR="00810CA0" w:rsidRPr="00810CA0" w:rsidRDefault="00810CA0" w:rsidP="00810CA0">
      <w:pPr>
        <w:tabs>
          <w:tab w:val="left" w:pos="7088"/>
        </w:tabs>
        <w:spacing w:after="0" w:line="25" w:lineRule="atLeast"/>
        <w:ind w:leftChars="450" w:left="990" w:rightChars="515" w:right="1133" w:firstLine="2"/>
        <w:jc w:val="both"/>
        <w:rPr>
          <w:rFonts w:ascii="Times New Roman" w:eastAsia="Times New Roman" w:hAnsi="Times New Roman" w:cs="Times New Roman"/>
          <w:b/>
          <w:sz w:val="28"/>
          <w:szCs w:val="24"/>
          <w:lang w:val="en-US" w:eastAsia="ru-RU"/>
        </w:rPr>
      </w:pPr>
    </w:p>
    <w:p w:rsidR="00810CA0" w:rsidRPr="00810CA0" w:rsidRDefault="00810CA0" w:rsidP="00810CA0">
      <w:pPr>
        <w:spacing w:after="0" w:line="240" w:lineRule="auto"/>
        <w:ind w:right="-1" w:firstLine="709"/>
        <w:jc w:val="both"/>
        <w:rPr>
          <w:rFonts w:ascii="Times New Roman" w:eastAsia="Times New Roman" w:hAnsi="Times New Roman" w:cs="Times New Roman"/>
          <w:i/>
          <w:color w:val="FF0000"/>
          <w:sz w:val="24"/>
          <w:szCs w:val="24"/>
          <w:lang w:eastAsia="ru-RU"/>
        </w:rPr>
      </w:pPr>
      <w:r w:rsidRPr="00810CA0">
        <w:rPr>
          <w:rFonts w:ascii="Times New Roman" w:eastAsia="Times New Roman" w:hAnsi="Times New Roman" w:cs="Times New Roman"/>
          <w:i/>
          <w:sz w:val="24"/>
          <w:szCs w:val="24"/>
          <w:lang w:eastAsia="ru-RU"/>
        </w:rPr>
        <w:t>Аннотация. В данной статье проанализированы процесс международной экономической интеграции, особенности развития таких интеграционных объединений как Европейский союз и БРИКС. Определена роль международной экономической интеграции в обеспечении устойчивости национальной экономики.</w:t>
      </w:r>
    </w:p>
    <w:p w:rsidR="00810CA0" w:rsidRPr="00810CA0" w:rsidRDefault="00810CA0" w:rsidP="00810CA0">
      <w:pPr>
        <w:spacing w:after="0" w:line="240" w:lineRule="auto"/>
        <w:ind w:right="-1" w:firstLine="709"/>
        <w:jc w:val="both"/>
        <w:rPr>
          <w:rFonts w:ascii="Times New Roman" w:eastAsia="Times New Roman" w:hAnsi="Times New Roman" w:cs="Times New Roman"/>
          <w:i/>
          <w:sz w:val="24"/>
          <w:szCs w:val="24"/>
          <w:lang w:eastAsia="ru-RU"/>
        </w:rPr>
      </w:pPr>
      <w:r w:rsidRPr="00810CA0">
        <w:rPr>
          <w:rFonts w:ascii="Times New Roman" w:eastAsia="Times New Roman" w:hAnsi="Times New Roman" w:cs="Times New Roman"/>
          <w:i/>
          <w:sz w:val="24"/>
          <w:szCs w:val="24"/>
          <w:lang w:eastAsia="ru-RU"/>
        </w:rPr>
        <w:t>Ключевые слова: международная экономическая интеграция, ВВП, страны БРИКС, Европейский союз, устойчивость национальной экономики.</w:t>
      </w:r>
    </w:p>
    <w:p w:rsidR="00810CA0" w:rsidRPr="00810CA0" w:rsidRDefault="00810CA0" w:rsidP="00810CA0">
      <w:pPr>
        <w:spacing w:after="0" w:line="240" w:lineRule="auto"/>
        <w:ind w:right="-1" w:firstLine="709"/>
        <w:jc w:val="both"/>
        <w:rPr>
          <w:rFonts w:ascii="Times New Roman" w:eastAsia="Times New Roman" w:hAnsi="Times New Roman" w:cs="Times New Roman"/>
          <w:i/>
          <w:sz w:val="24"/>
          <w:szCs w:val="24"/>
          <w:lang w:eastAsia="ru-RU"/>
        </w:rPr>
      </w:pPr>
    </w:p>
    <w:p w:rsidR="00810CA0" w:rsidRPr="00810CA0" w:rsidRDefault="00810CA0" w:rsidP="00810CA0">
      <w:pPr>
        <w:spacing w:after="0" w:line="240" w:lineRule="auto"/>
        <w:ind w:right="-1" w:firstLine="709"/>
        <w:jc w:val="both"/>
        <w:rPr>
          <w:rFonts w:ascii="Times New Roman" w:eastAsia="Times New Roman" w:hAnsi="Times New Roman" w:cs="Times New Roman"/>
          <w:i/>
          <w:sz w:val="24"/>
          <w:szCs w:val="24"/>
          <w:lang w:val="en-US" w:eastAsia="ru-RU"/>
        </w:rPr>
      </w:pPr>
      <w:r w:rsidRPr="00810CA0">
        <w:rPr>
          <w:rFonts w:ascii="Times New Roman" w:eastAsia="Times New Roman" w:hAnsi="Times New Roman" w:cs="Times New Roman"/>
          <w:i/>
          <w:sz w:val="24"/>
          <w:szCs w:val="24"/>
          <w:lang w:val="en-US" w:eastAsia="ru-RU"/>
        </w:rPr>
        <w:t xml:space="preserve">Abstract. This article analyzed the process of international economic integration, the development of such integration associations as the European Union and BRICS. The role of international economic integration in ensuring the stability of the national economy is defined. </w:t>
      </w:r>
    </w:p>
    <w:p w:rsidR="00810CA0" w:rsidRPr="00810CA0" w:rsidRDefault="00810CA0" w:rsidP="00810CA0">
      <w:pPr>
        <w:spacing w:after="0" w:line="240" w:lineRule="auto"/>
        <w:ind w:right="-1" w:firstLine="709"/>
        <w:jc w:val="both"/>
        <w:rPr>
          <w:rFonts w:ascii="Times New Roman" w:eastAsia="Times New Roman" w:hAnsi="Times New Roman" w:cs="Times New Roman"/>
          <w:i/>
          <w:sz w:val="24"/>
          <w:szCs w:val="24"/>
          <w:lang w:val="en-US" w:eastAsia="ru-RU"/>
        </w:rPr>
      </w:pPr>
      <w:r w:rsidRPr="00810CA0">
        <w:rPr>
          <w:rFonts w:ascii="Times New Roman" w:eastAsia="Times New Roman" w:hAnsi="Times New Roman" w:cs="Times New Roman"/>
          <w:i/>
          <w:sz w:val="24"/>
          <w:szCs w:val="24"/>
          <w:lang w:val="en-US" w:eastAsia="ru-RU"/>
        </w:rPr>
        <w:t>Keywords: international economic integration, GDP, the BRICS countries, the European Union, the stability of the national economy.</w:t>
      </w:r>
    </w:p>
    <w:p w:rsidR="00810CA0" w:rsidRPr="00810CA0" w:rsidRDefault="00810CA0" w:rsidP="00810CA0">
      <w:pPr>
        <w:spacing w:after="0" w:line="240" w:lineRule="auto"/>
        <w:ind w:right="-1" w:firstLine="709"/>
        <w:jc w:val="both"/>
        <w:rPr>
          <w:rFonts w:ascii="Times New Roman" w:eastAsia="Times New Roman" w:hAnsi="Times New Roman" w:cs="Times New Roman"/>
          <w:i/>
          <w:sz w:val="24"/>
          <w:szCs w:val="24"/>
          <w:lang w:val="en-US" w:eastAsia="ru-RU"/>
        </w:rPr>
      </w:pPr>
    </w:p>
    <w:p w:rsidR="00810CA0" w:rsidRPr="00810CA0" w:rsidRDefault="00810CA0" w:rsidP="00810CA0">
      <w:pPr>
        <w:tabs>
          <w:tab w:val="left" w:pos="6675"/>
        </w:tabs>
        <w:spacing w:after="0" w:line="240" w:lineRule="auto"/>
        <w:ind w:right="-1" w:firstLine="708"/>
        <w:jc w:val="both"/>
        <w:rPr>
          <w:rFonts w:ascii="Times New Roman" w:eastAsia="Times New Roman" w:hAnsi="Times New Roman" w:cs="Times New Roman"/>
          <w:sz w:val="28"/>
          <w:szCs w:val="24"/>
          <w:lang w:eastAsia="ru-RU"/>
        </w:rPr>
      </w:pPr>
      <w:r w:rsidRPr="00810CA0">
        <w:rPr>
          <w:rFonts w:ascii="Times New Roman" w:eastAsia="Times New Roman" w:hAnsi="Times New Roman" w:cs="Times New Roman"/>
          <w:b/>
          <w:sz w:val="28"/>
          <w:szCs w:val="24"/>
          <w:lang w:eastAsia="ru-RU"/>
        </w:rPr>
        <w:t xml:space="preserve">Постановка проблемы: </w:t>
      </w:r>
      <w:r w:rsidRPr="00810CA0">
        <w:rPr>
          <w:rFonts w:ascii="Times New Roman" w:eastAsia="Times New Roman" w:hAnsi="Times New Roman" w:cs="Times New Roman"/>
          <w:sz w:val="28"/>
          <w:szCs w:val="24"/>
          <w:lang w:eastAsia="ru-RU"/>
        </w:rPr>
        <w:t>развитие интеграционных процессов является важнейшей характеристикой современного мирового хозяйства и условием перехода к переходу многополярному характеру мировой экономики, что и обусловило актуальность данного исследования</w:t>
      </w:r>
    </w:p>
    <w:p w:rsidR="00810CA0" w:rsidRPr="00810CA0" w:rsidRDefault="00810CA0" w:rsidP="00810CA0">
      <w:pPr>
        <w:tabs>
          <w:tab w:val="left" w:pos="6675"/>
        </w:tabs>
        <w:spacing w:after="0" w:line="240" w:lineRule="auto"/>
        <w:ind w:right="-1" w:firstLine="708"/>
        <w:jc w:val="both"/>
        <w:rPr>
          <w:rFonts w:ascii="Times New Roman" w:eastAsia="Times New Roman" w:hAnsi="Times New Roman" w:cs="Times New Roman"/>
          <w:b/>
          <w:sz w:val="28"/>
          <w:szCs w:val="24"/>
          <w:lang w:eastAsia="ru-RU"/>
        </w:rPr>
      </w:pPr>
      <w:r w:rsidRPr="00810CA0">
        <w:rPr>
          <w:rFonts w:ascii="Times New Roman" w:eastAsia="Times New Roman" w:hAnsi="Times New Roman" w:cs="Times New Roman"/>
          <w:b/>
          <w:sz w:val="28"/>
          <w:szCs w:val="24"/>
          <w:lang w:eastAsia="ru-RU"/>
        </w:rPr>
        <w:t xml:space="preserve">Анализ предыдущих исследований и публикаций: </w:t>
      </w:r>
      <w:r w:rsidRPr="00810CA0">
        <w:rPr>
          <w:rFonts w:ascii="Times New Roman" w:eastAsia="Times New Roman" w:hAnsi="Times New Roman" w:cs="Times New Roman"/>
          <w:sz w:val="28"/>
          <w:szCs w:val="24"/>
          <w:lang w:eastAsia="ru-RU"/>
        </w:rPr>
        <w:t xml:space="preserve">проблемы международной экономической интеграции были проанализированы в работах Мовсесяна А.Г., Огнивцева С.Б., </w:t>
      </w:r>
      <w:proofErr w:type="spellStart"/>
      <w:r w:rsidRPr="00810CA0">
        <w:rPr>
          <w:rFonts w:ascii="Times New Roman" w:eastAsia="Times New Roman" w:hAnsi="Times New Roman" w:cs="Times New Roman"/>
          <w:sz w:val="28"/>
          <w:szCs w:val="24"/>
          <w:lang w:eastAsia="ru-RU"/>
        </w:rPr>
        <w:t>Вагаповой</w:t>
      </w:r>
      <w:proofErr w:type="spellEnd"/>
      <w:r w:rsidRPr="00810CA0">
        <w:rPr>
          <w:rFonts w:ascii="Times New Roman" w:eastAsia="Times New Roman" w:hAnsi="Times New Roman" w:cs="Times New Roman"/>
          <w:sz w:val="28"/>
          <w:szCs w:val="24"/>
          <w:lang w:eastAsia="ru-RU"/>
        </w:rPr>
        <w:t xml:space="preserve"> Д.Ф.</w:t>
      </w:r>
    </w:p>
    <w:p w:rsidR="00810CA0" w:rsidRPr="00810CA0" w:rsidRDefault="00810CA0" w:rsidP="00810CA0">
      <w:pPr>
        <w:spacing w:after="0" w:line="240" w:lineRule="auto"/>
        <w:ind w:right="-1" w:firstLine="709"/>
        <w:jc w:val="both"/>
        <w:rPr>
          <w:rFonts w:ascii="Times New Roman" w:eastAsia="Times New Roman" w:hAnsi="Times New Roman" w:cs="Times New Roman"/>
          <w:b/>
          <w:sz w:val="28"/>
          <w:szCs w:val="24"/>
          <w:lang w:eastAsia="ru-RU"/>
        </w:rPr>
      </w:pPr>
      <w:r w:rsidRPr="00810CA0">
        <w:rPr>
          <w:rFonts w:ascii="Times New Roman" w:eastAsia="Times New Roman" w:hAnsi="Times New Roman" w:cs="Times New Roman"/>
          <w:b/>
          <w:sz w:val="28"/>
          <w:szCs w:val="24"/>
          <w:lang w:eastAsia="ru-RU"/>
        </w:rPr>
        <w:t xml:space="preserve">Цель исследования: </w:t>
      </w:r>
      <w:r w:rsidRPr="00810CA0">
        <w:rPr>
          <w:rFonts w:ascii="Times New Roman" w:eastAsia="Times New Roman" w:hAnsi="Times New Roman" w:cs="Times New Roman"/>
          <w:sz w:val="28"/>
          <w:szCs w:val="24"/>
          <w:lang w:eastAsia="ru-RU"/>
        </w:rPr>
        <w:t>определение роли международной экономической интеграции в обеспечении устойчивости национальной экономики.</w:t>
      </w:r>
    </w:p>
    <w:p w:rsidR="00810CA0" w:rsidRPr="00810CA0" w:rsidRDefault="00810CA0" w:rsidP="00810CA0">
      <w:pPr>
        <w:spacing w:after="0" w:line="240" w:lineRule="auto"/>
        <w:ind w:right="-1" w:firstLine="709"/>
        <w:jc w:val="both"/>
        <w:rPr>
          <w:rFonts w:ascii="Times New Roman" w:eastAsia="Times New Roman" w:hAnsi="Times New Roman" w:cs="Times New Roman"/>
          <w:sz w:val="28"/>
          <w:szCs w:val="24"/>
          <w:lang w:eastAsia="ru-RU"/>
        </w:rPr>
      </w:pPr>
      <w:r w:rsidRPr="00810CA0">
        <w:rPr>
          <w:rFonts w:ascii="Times New Roman" w:eastAsia="Times New Roman" w:hAnsi="Times New Roman" w:cs="Times New Roman"/>
          <w:b/>
          <w:sz w:val="28"/>
          <w:szCs w:val="24"/>
          <w:lang w:eastAsia="ru-RU"/>
        </w:rPr>
        <w:t xml:space="preserve">Основные результаты исследования. </w:t>
      </w:r>
      <w:r w:rsidRPr="00810CA0">
        <w:rPr>
          <w:rFonts w:ascii="Times New Roman" w:eastAsia="Times New Roman" w:hAnsi="Times New Roman" w:cs="Times New Roman"/>
          <w:sz w:val="28"/>
          <w:szCs w:val="24"/>
          <w:lang w:eastAsia="ru-RU"/>
        </w:rPr>
        <w:t>Понятия</w:t>
      </w:r>
      <w:r w:rsidRPr="00810CA0">
        <w:rPr>
          <w:rFonts w:ascii="Times New Roman" w:eastAsia="Times New Roman" w:hAnsi="Times New Roman" w:cs="Times New Roman"/>
          <w:b/>
          <w:sz w:val="28"/>
          <w:szCs w:val="24"/>
          <w:lang w:eastAsia="ru-RU"/>
        </w:rPr>
        <w:t xml:space="preserve"> «</w:t>
      </w:r>
      <w:r w:rsidRPr="00810CA0">
        <w:rPr>
          <w:rFonts w:ascii="Times New Roman" w:eastAsia="Times New Roman" w:hAnsi="Times New Roman" w:cs="Times New Roman"/>
          <w:sz w:val="28"/>
          <w:szCs w:val="24"/>
          <w:lang w:eastAsia="ru-RU"/>
        </w:rPr>
        <w:t xml:space="preserve">глобализация» и «интеграция» – основные направления развития современной мировой экономики. Основным признаком современной интернационализации </w:t>
      </w:r>
      <w:r w:rsidRPr="00810CA0">
        <w:rPr>
          <w:rFonts w:ascii="Times New Roman" w:eastAsia="Times New Roman" w:hAnsi="Times New Roman" w:cs="Times New Roman"/>
          <w:sz w:val="28"/>
          <w:szCs w:val="24"/>
          <w:lang w:eastAsia="ru-RU"/>
        </w:rPr>
        <w:lastRenderedPageBreak/>
        <w:t xml:space="preserve">является экономическая глобализация мирового развития, которая особенно активизировалась в последние годы. Об этом свидетельствует превышение темпов роста экспорта товаров и услуг над темпами роста ВВП. Международная экономическая интеграция </w:t>
      </w:r>
      <w:r w:rsidRPr="00810CA0">
        <w:rPr>
          <w:rFonts w:ascii="Times New Roman" w:eastAsia="Times New Roman" w:hAnsi="Times New Roman" w:cs="Times New Roman"/>
          <w:color w:val="0F0F0F"/>
          <w:spacing w:val="2"/>
          <w:sz w:val="28"/>
          <w:szCs w:val="28"/>
          <w:shd w:val="clear" w:color="auto" w:fill="FFFFFF"/>
          <w:lang w:eastAsia="ru-RU"/>
        </w:rPr>
        <w:t>–</w:t>
      </w:r>
      <w:r w:rsidRPr="00810CA0">
        <w:rPr>
          <w:rFonts w:ascii="Times New Roman" w:eastAsia="Times New Roman" w:hAnsi="Times New Roman" w:cs="Times New Roman"/>
          <w:sz w:val="28"/>
          <w:szCs w:val="24"/>
          <w:lang w:eastAsia="ru-RU"/>
        </w:rPr>
        <w:t xml:space="preserve"> это процесс хозяйственного и политического объединения стран на основе развития глубоких устойчивых взаимосвязей и разделения труда между национальными хозяйствами, взаимодействия их экономик на различных уровнях и в различных формах.</w:t>
      </w:r>
    </w:p>
    <w:p w:rsidR="00810CA0" w:rsidRPr="00810CA0" w:rsidRDefault="00810CA0" w:rsidP="00810CA0">
      <w:pPr>
        <w:spacing w:after="0" w:line="240" w:lineRule="auto"/>
        <w:ind w:right="-1" w:firstLine="709"/>
        <w:jc w:val="both"/>
        <w:rPr>
          <w:rFonts w:ascii="Times New Roman" w:eastAsia="Times New Roman" w:hAnsi="Times New Roman" w:cs="Times New Roman"/>
          <w:color w:val="0F0F0F"/>
          <w:spacing w:val="2"/>
          <w:sz w:val="28"/>
          <w:szCs w:val="28"/>
          <w:shd w:val="clear" w:color="auto" w:fill="FFFFFF"/>
          <w:lang w:eastAsia="ru-RU"/>
        </w:rPr>
      </w:pPr>
      <w:r w:rsidRPr="00810CA0">
        <w:rPr>
          <w:rFonts w:ascii="Times New Roman" w:eastAsia="Times New Roman" w:hAnsi="Times New Roman" w:cs="Times New Roman"/>
          <w:color w:val="0F0F0F"/>
          <w:spacing w:val="2"/>
          <w:sz w:val="28"/>
          <w:szCs w:val="28"/>
          <w:shd w:val="clear" w:color="auto" w:fill="FFFFFF"/>
          <w:lang w:eastAsia="ru-RU"/>
        </w:rPr>
        <w:t>Развитие интеграции осуществляется в несколько этапов [1]:</w:t>
      </w:r>
    </w:p>
    <w:p w:rsidR="00810CA0" w:rsidRPr="00810CA0" w:rsidRDefault="00810CA0" w:rsidP="00810CA0">
      <w:pPr>
        <w:spacing w:after="0" w:line="240" w:lineRule="auto"/>
        <w:ind w:right="-1" w:firstLine="709"/>
        <w:jc w:val="both"/>
        <w:rPr>
          <w:rFonts w:ascii="Times New Roman" w:eastAsia="Times New Roman" w:hAnsi="Times New Roman" w:cs="Times New Roman"/>
          <w:color w:val="0F0F0F"/>
          <w:spacing w:val="2"/>
          <w:sz w:val="28"/>
          <w:szCs w:val="28"/>
          <w:shd w:val="clear" w:color="auto" w:fill="FFFFFF"/>
          <w:lang w:eastAsia="ru-RU"/>
        </w:rPr>
      </w:pPr>
      <w:r w:rsidRPr="00810CA0">
        <w:rPr>
          <w:rFonts w:ascii="Times New Roman" w:eastAsia="Times New Roman" w:hAnsi="Times New Roman" w:cs="Times New Roman"/>
          <w:color w:val="0F0F0F"/>
          <w:spacing w:val="2"/>
          <w:sz w:val="28"/>
          <w:szCs w:val="28"/>
          <w:shd w:val="clear" w:color="auto" w:fill="FFFFFF"/>
          <w:lang w:eastAsia="ru-RU"/>
        </w:rPr>
        <w:t xml:space="preserve">– </w:t>
      </w:r>
      <w:r w:rsidRPr="00810CA0">
        <w:rPr>
          <w:rFonts w:ascii="Times New Roman" w:eastAsia="Times New Roman" w:hAnsi="Times New Roman" w:cs="Times New Roman"/>
          <w:color w:val="0F0F0F"/>
          <w:spacing w:val="2"/>
          <w:sz w:val="28"/>
          <w:szCs w:val="28"/>
          <w:shd w:val="clear" w:color="auto" w:fill="FFFFFF"/>
          <w:lang w:eastAsia="ru-RU"/>
        </w:rPr>
        <w:tab/>
        <w:t>формирование рынка свободной торговли, целью которого является снижение и, в конечном итоге, дальнейший отказ от таможенных сборов и платежей между странами-участницами.</w:t>
      </w:r>
    </w:p>
    <w:p w:rsidR="00810CA0" w:rsidRPr="00810CA0" w:rsidRDefault="00810CA0" w:rsidP="00810CA0">
      <w:pPr>
        <w:spacing w:after="0" w:line="240" w:lineRule="auto"/>
        <w:ind w:right="-1" w:firstLine="709"/>
        <w:jc w:val="both"/>
        <w:rPr>
          <w:rFonts w:ascii="Times New Roman" w:eastAsia="Times New Roman" w:hAnsi="Times New Roman" w:cs="Times New Roman"/>
          <w:color w:val="0F0F0F"/>
          <w:spacing w:val="2"/>
          <w:sz w:val="28"/>
          <w:szCs w:val="28"/>
          <w:shd w:val="clear" w:color="auto" w:fill="FFFFFF"/>
          <w:lang w:eastAsia="ru-RU"/>
        </w:rPr>
      </w:pPr>
      <w:r w:rsidRPr="00810CA0">
        <w:rPr>
          <w:rFonts w:ascii="Times New Roman" w:eastAsia="Times New Roman" w:hAnsi="Times New Roman" w:cs="Times New Roman"/>
          <w:color w:val="0F0F0F"/>
          <w:spacing w:val="2"/>
          <w:sz w:val="28"/>
          <w:szCs w:val="28"/>
          <w:shd w:val="clear" w:color="auto" w:fill="FFFFFF"/>
          <w:lang w:eastAsia="ru-RU"/>
        </w:rPr>
        <w:t>– создание таможенного союза, предусматривающий взаимные беспошлинные торговые отношения, а также единый внешнеторговый тариф при взаимоотношениях со странами, не входящих в интеграцию</w:t>
      </w:r>
    </w:p>
    <w:p w:rsidR="00810CA0" w:rsidRPr="00810CA0" w:rsidRDefault="00810CA0" w:rsidP="00810CA0">
      <w:pPr>
        <w:spacing w:after="0" w:line="240" w:lineRule="auto"/>
        <w:ind w:right="-1" w:firstLine="709"/>
        <w:jc w:val="both"/>
        <w:rPr>
          <w:rFonts w:ascii="Times New Roman" w:eastAsia="Times New Roman" w:hAnsi="Times New Roman" w:cs="Times New Roman"/>
          <w:color w:val="0F0F0F"/>
          <w:spacing w:val="2"/>
          <w:sz w:val="28"/>
          <w:szCs w:val="28"/>
          <w:shd w:val="clear" w:color="auto" w:fill="FFFFFF"/>
          <w:lang w:eastAsia="ru-RU"/>
        </w:rPr>
      </w:pPr>
      <w:r w:rsidRPr="00810CA0">
        <w:rPr>
          <w:rFonts w:ascii="Times New Roman" w:eastAsia="Times New Roman" w:hAnsi="Times New Roman" w:cs="Times New Roman"/>
          <w:color w:val="0F0F0F"/>
          <w:spacing w:val="2"/>
          <w:sz w:val="28"/>
          <w:szCs w:val="28"/>
          <w:shd w:val="clear" w:color="auto" w:fill="FFFFFF"/>
          <w:lang w:eastAsia="ru-RU"/>
        </w:rPr>
        <w:t xml:space="preserve"> – создание единого рынка, который предполагает свободный товарооборот и производственные процессы внутри интеграционных стран.</w:t>
      </w:r>
    </w:p>
    <w:p w:rsidR="00810CA0" w:rsidRPr="00810CA0" w:rsidRDefault="00810CA0" w:rsidP="00810CA0">
      <w:pPr>
        <w:spacing w:after="0" w:line="240" w:lineRule="auto"/>
        <w:ind w:right="-1" w:firstLine="709"/>
        <w:jc w:val="both"/>
        <w:rPr>
          <w:rFonts w:ascii="Times New Roman" w:eastAsia="Times New Roman" w:hAnsi="Times New Roman" w:cs="Times New Roman"/>
          <w:color w:val="0F0F0F"/>
          <w:spacing w:val="2"/>
          <w:sz w:val="28"/>
          <w:szCs w:val="28"/>
          <w:shd w:val="clear" w:color="auto" w:fill="FFFFFF"/>
          <w:lang w:eastAsia="ru-RU"/>
        </w:rPr>
      </w:pPr>
      <w:r w:rsidRPr="00810CA0">
        <w:rPr>
          <w:rFonts w:ascii="Times New Roman" w:eastAsia="Times New Roman" w:hAnsi="Times New Roman" w:cs="Times New Roman"/>
          <w:color w:val="0F0F0F"/>
          <w:spacing w:val="2"/>
          <w:sz w:val="28"/>
          <w:szCs w:val="28"/>
          <w:shd w:val="clear" w:color="auto" w:fill="FFFFFF"/>
          <w:lang w:eastAsia="ru-RU"/>
        </w:rPr>
        <w:t>Для реализации процесса интеграции необходимо выполнение ряда условий:</w:t>
      </w:r>
    </w:p>
    <w:p w:rsidR="00810CA0" w:rsidRPr="00810CA0" w:rsidRDefault="00810CA0" w:rsidP="00810CA0">
      <w:pPr>
        <w:spacing w:after="0" w:line="240" w:lineRule="auto"/>
        <w:ind w:right="-1" w:firstLine="709"/>
        <w:jc w:val="both"/>
        <w:rPr>
          <w:rFonts w:ascii="Times New Roman" w:eastAsia="Times New Roman" w:hAnsi="Times New Roman" w:cs="Times New Roman"/>
          <w:color w:val="0F0F0F"/>
          <w:spacing w:val="2"/>
          <w:sz w:val="28"/>
          <w:szCs w:val="28"/>
          <w:shd w:val="clear" w:color="auto" w:fill="FFFFFF"/>
          <w:lang w:eastAsia="ru-RU"/>
        </w:rPr>
      </w:pPr>
      <w:r w:rsidRPr="00810CA0">
        <w:rPr>
          <w:rFonts w:ascii="Times New Roman" w:eastAsia="Times New Roman" w:hAnsi="Times New Roman" w:cs="Times New Roman"/>
          <w:color w:val="0F0F0F"/>
          <w:spacing w:val="2"/>
          <w:sz w:val="28"/>
          <w:szCs w:val="28"/>
          <w:shd w:val="clear" w:color="auto" w:fill="FFFFFF"/>
          <w:lang w:eastAsia="ru-RU"/>
        </w:rPr>
        <w:t>– экономика объединяющихся государств должна находиться приблизительно на одном уровне;</w:t>
      </w:r>
    </w:p>
    <w:p w:rsidR="00810CA0" w:rsidRPr="00810CA0" w:rsidRDefault="00810CA0" w:rsidP="00810CA0">
      <w:pPr>
        <w:spacing w:after="0" w:line="240" w:lineRule="auto"/>
        <w:ind w:right="-1" w:firstLine="709"/>
        <w:jc w:val="both"/>
        <w:rPr>
          <w:rFonts w:ascii="Times New Roman" w:eastAsia="Times New Roman" w:hAnsi="Times New Roman" w:cs="Times New Roman"/>
          <w:color w:val="0F0F0F"/>
          <w:spacing w:val="2"/>
          <w:sz w:val="28"/>
          <w:szCs w:val="28"/>
          <w:shd w:val="clear" w:color="auto" w:fill="FFFFFF"/>
          <w:lang w:eastAsia="ru-RU"/>
        </w:rPr>
      </w:pPr>
      <w:r w:rsidRPr="00810CA0">
        <w:rPr>
          <w:rFonts w:ascii="Times New Roman" w:eastAsia="Times New Roman" w:hAnsi="Times New Roman" w:cs="Times New Roman"/>
          <w:color w:val="0F0F0F"/>
          <w:spacing w:val="2"/>
          <w:sz w:val="28"/>
          <w:szCs w:val="28"/>
          <w:shd w:val="clear" w:color="auto" w:fill="FFFFFF"/>
          <w:lang w:eastAsia="ru-RU"/>
        </w:rPr>
        <w:t>– страны, которые принимают участие в этом процессе, должны находиться на стадии роста: экономического, политического, культурного и т.д.;</w:t>
      </w:r>
    </w:p>
    <w:p w:rsidR="00810CA0" w:rsidRPr="00810CA0" w:rsidRDefault="00810CA0" w:rsidP="00810CA0">
      <w:pPr>
        <w:spacing w:after="0" w:line="240" w:lineRule="auto"/>
        <w:ind w:right="-1" w:firstLine="709"/>
        <w:jc w:val="both"/>
        <w:rPr>
          <w:rFonts w:ascii="Times New Roman" w:eastAsia="Times New Roman" w:hAnsi="Times New Roman" w:cs="Times New Roman"/>
          <w:color w:val="0F0F0F"/>
          <w:spacing w:val="2"/>
          <w:sz w:val="28"/>
          <w:szCs w:val="28"/>
          <w:shd w:val="clear" w:color="auto" w:fill="FFFFFF"/>
          <w:lang w:eastAsia="ru-RU"/>
        </w:rPr>
      </w:pPr>
      <w:r w:rsidRPr="00810CA0">
        <w:rPr>
          <w:rFonts w:ascii="Times New Roman" w:eastAsia="Times New Roman" w:hAnsi="Times New Roman" w:cs="Times New Roman"/>
          <w:color w:val="0F0F0F"/>
          <w:spacing w:val="2"/>
          <w:sz w:val="28"/>
          <w:szCs w:val="28"/>
          <w:shd w:val="clear" w:color="auto" w:fill="FFFFFF"/>
          <w:lang w:eastAsia="ru-RU"/>
        </w:rPr>
        <w:t xml:space="preserve">– политические решения должны приниматься </w:t>
      </w:r>
      <w:proofErr w:type="gramStart"/>
      <w:r w:rsidRPr="00810CA0">
        <w:rPr>
          <w:rFonts w:ascii="Times New Roman" w:eastAsia="Times New Roman" w:hAnsi="Times New Roman" w:cs="Times New Roman"/>
          <w:color w:val="0F0F0F"/>
          <w:spacing w:val="2"/>
          <w:sz w:val="28"/>
          <w:szCs w:val="28"/>
          <w:shd w:val="clear" w:color="auto" w:fill="FFFFFF"/>
          <w:lang w:eastAsia="ru-RU"/>
        </w:rPr>
        <w:t>правительствами  стран</w:t>
      </w:r>
      <w:proofErr w:type="gramEnd"/>
      <w:r w:rsidRPr="00810CA0">
        <w:rPr>
          <w:rFonts w:ascii="Times New Roman" w:eastAsia="Times New Roman" w:hAnsi="Times New Roman" w:cs="Times New Roman"/>
          <w:color w:val="0F0F0F"/>
          <w:spacing w:val="2"/>
          <w:sz w:val="28"/>
          <w:szCs w:val="28"/>
          <w:shd w:val="clear" w:color="auto" w:fill="FFFFFF"/>
          <w:lang w:eastAsia="ru-RU"/>
        </w:rPr>
        <w:t>-участниц;</w:t>
      </w:r>
    </w:p>
    <w:p w:rsidR="00810CA0" w:rsidRPr="00810CA0" w:rsidRDefault="00810CA0" w:rsidP="00810CA0">
      <w:pPr>
        <w:spacing w:after="0" w:line="240" w:lineRule="auto"/>
        <w:ind w:right="-1" w:firstLine="709"/>
        <w:jc w:val="both"/>
        <w:rPr>
          <w:rFonts w:ascii="Times New Roman" w:eastAsia="Times New Roman" w:hAnsi="Times New Roman" w:cs="Times New Roman"/>
          <w:color w:val="0F0F0F"/>
          <w:spacing w:val="2"/>
          <w:sz w:val="28"/>
          <w:szCs w:val="28"/>
          <w:shd w:val="clear" w:color="auto" w:fill="FFFFFF"/>
          <w:lang w:eastAsia="ru-RU"/>
        </w:rPr>
      </w:pPr>
      <w:r w:rsidRPr="00810CA0">
        <w:rPr>
          <w:rFonts w:ascii="Times New Roman" w:eastAsia="Times New Roman" w:hAnsi="Times New Roman" w:cs="Times New Roman"/>
          <w:color w:val="0F0F0F"/>
          <w:spacing w:val="2"/>
          <w:sz w:val="28"/>
          <w:szCs w:val="28"/>
          <w:shd w:val="clear" w:color="auto" w:fill="FFFFFF"/>
          <w:lang w:eastAsia="ru-RU"/>
        </w:rPr>
        <w:t>– необходимо наличие страны-лидера в формируемом объединения.</w:t>
      </w:r>
    </w:p>
    <w:p w:rsidR="00810CA0" w:rsidRPr="00810CA0" w:rsidRDefault="00810CA0" w:rsidP="00810CA0">
      <w:pPr>
        <w:spacing w:after="0" w:line="240" w:lineRule="auto"/>
        <w:ind w:right="-1" w:firstLine="708"/>
        <w:jc w:val="both"/>
        <w:rPr>
          <w:rFonts w:ascii="Times New Roman" w:eastAsia="Times New Roman" w:hAnsi="Times New Roman" w:cs="Times New Roman"/>
          <w:color w:val="0F0F0F"/>
          <w:spacing w:val="2"/>
          <w:sz w:val="28"/>
          <w:szCs w:val="28"/>
          <w:shd w:val="clear" w:color="auto" w:fill="FFFFFF"/>
          <w:lang w:eastAsia="ru-RU"/>
        </w:rPr>
      </w:pPr>
      <w:r w:rsidRPr="00810CA0">
        <w:rPr>
          <w:rFonts w:ascii="Times New Roman" w:eastAsia="Times New Roman" w:hAnsi="Times New Roman" w:cs="Times New Roman"/>
          <w:color w:val="0F0F0F"/>
          <w:spacing w:val="2"/>
          <w:sz w:val="28"/>
          <w:szCs w:val="28"/>
          <w:shd w:val="clear" w:color="auto" w:fill="FFFFFF"/>
          <w:lang w:eastAsia="ru-RU"/>
        </w:rPr>
        <w:t>Самым известным примером экономической интеграции является Европейский Союз, который был сформирован на основе целого ряда договоров и соглашений. В рамках этого объединения были отменены барьеры на пути движения товаров, услуг, капитала и рабочей силы, а также создается экономический, валютный и политический союз.</w:t>
      </w:r>
    </w:p>
    <w:p w:rsidR="00810CA0" w:rsidRPr="00810CA0" w:rsidRDefault="00810CA0" w:rsidP="00810CA0">
      <w:pPr>
        <w:spacing w:after="0" w:line="240" w:lineRule="auto"/>
        <w:ind w:right="-1" w:firstLine="709"/>
        <w:jc w:val="both"/>
        <w:rPr>
          <w:rFonts w:ascii="Times New Roman" w:eastAsia="Times New Roman" w:hAnsi="Times New Roman" w:cs="Times New Roman"/>
          <w:sz w:val="28"/>
          <w:szCs w:val="24"/>
          <w:lang w:eastAsia="ru-RU"/>
        </w:rPr>
      </w:pPr>
      <w:r w:rsidRPr="00810CA0">
        <w:rPr>
          <w:rFonts w:ascii="Times New Roman" w:eastAsia="Times New Roman" w:hAnsi="Times New Roman" w:cs="Times New Roman"/>
          <w:sz w:val="28"/>
          <w:szCs w:val="24"/>
          <w:lang w:eastAsia="ru-RU"/>
        </w:rPr>
        <w:t xml:space="preserve">Объяснение эффективности свободного передвижения товаров следует из теории сравнительного преимущества. Производственные ресурсы сконцентрированы </w:t>
      </w:r>
      <w:proofErr w:type="gramStart"/>
      <w:r w:rsidRPr="00810CA0">
        <w:rPr>
          <w:rFonts w:ascii="Times New Roman" w:eastAsia="Times New Roman" w:hAnsi="Times New Roman" w:cs="Times New Roman"/>
          <w:sz w:val="28"/>
          <w:szCs w:val="24"/>
          <w:lang w:eastAsia="ru-RU"/>
        </w:rPr>
        <w:t>в  отраслях</w:t>
      </w:r>
      <w:proofErr w:type="gramEnd"/>
      <w:r w:rsidRPr="00810CA0">
        <w:rPr>
          <w:rFonts w:ascii="Times New Roman" w:eastAsia="Times New Roman" w:hAnsi="Times New Roman" w:cs="Times New Roman"/>
          <w:sz w:val="28"/>
          <w:szCs w:val="24"/>
          <w:lang w:eastAsia="ru-RU"/>
        </w:rPr>
        <w:t>, которые имеют преимущество по сравнению с другими странами, что позволяет экспортировать больше товаров. Благодаря полученным средствам от экспорта товаров импортировать больше тех товаров, которые не производятся в этом государстве. Это позволит увеличить мировое производство без увеличения таких производственных факторов, как «труд» и «капитал».</w:t>
      </w:r>
    </w:p>
    <w:p w:rsidR="00810CA0" w:rsidRPr="00810CA0" w:rsidRDefault="00810CA0" w:rsidP="00810CA0">
      <w:pPr>
        <w:spacing w:after="0" w:line="240" w:lineRule="auto"/>
        <w:ind w:right="-1" w:firstLine="709"/>
        <w:jc w:val="both"/>
        <w:rPr>
          <w:rFonts w:ascii="Times New Roman" w:eastAsia="Times New Roman" w:hAnsi="Times New Roman" w:cs="Times New Roman"/>
          <w:sz w:val="28"/>
          <w:szCs w:val="24"/>
          <w:lang w:eastAsia="ru-RU"/>
        </w:rPr>
      </w:pPr>
      <w:r w:rsidRPr="00810CA0">
        <w:rPr>
          <w:rFonts w:ascii="Times New Roman" w:eastAsia="Times New Roman" w:hAnsi="Times New Roman" w:cs="Times New Roman"/>
          <w:sz w:val="28"/>
          <w:szCs w:val="24"/>
          <w:lang w:eastAsia="ru-RU"/>
        </w:rPr>
        <w:t xml:space="preserve">Передвижение рабочей силы </w:t>
      </w:r>
      <w:proofErr w:type="gramStart"/>
      <w:r w:rsidRPr="00810CA0">
        <w:rPr>
          <w:rFonts w:ascii="Times New Roman" w:eastAsia="Times New Roman" w:hAnsi="Times New Roman" w:cs="Times New Roman"/>
          <w:sz w:val="28"/>
          <w:szCs w:val="24"/>
          <w:lang w:eastAsia="ru-RU"/>
        </w:rPr>
        <w:t>происходит  из</w:t>
      </w:r>
      <w:proofErr w:type="gramEnd"/>
      <w:r w:rsidRPr="00810CA0">
        <w:rPr>
          <w:rFonts w:ascii="Times New Roman" w:eastAsia="Times New Roman" w:hAnsi="Times New Roman" w:cs="Times New Roman"/>
          <w:sz w:val="28"/>
          <w:szCs w:val="24"/>
          <w:lang w:eastAsia="ru-RU"/>
        </w:rPr>
        <w:t xml:space="preserve"> стран, где рабочей силы относительно большое количество дешевой рабочей силы, в страны, где в ней есть потребность, и, соответственно, где уровень заработной платы выше. Это позволяет не только выровнять </w:t>
      </w:r>
      <w:proofErr w:type="gramStart"/>
      <w:r w:rsidRPr="00810CA0">
        <w:rPr>
          <w:rFonts w:ascii="Times New Roman" w:eastAsia="Times New Roman" w:hAnsi="Times New Roman" w:cs="Times New Roman"/>
          <w:sz w:val="28"/>
          <w:szCs w:val="24"/>
          <w:lang w:eastAsia="ru-RU"/>
        </w:rPr>
        <w:t>доходы,  но</w:t>
      </w:r>
      <w:proofErr w:type="gramEnd"/>
      <w:r w:rsidRPr="00810CA0">
        <w:rPr>
          <w:rFonts w:ascii="Times New Roman" w:eastAsia="Times New Roman" w:hAnsi="Times New Roman" w:cs="Times New Roman"/>
          <w:sz w:val="28"/>
          <w:szCs w:val="24"/>
          <w:lang w:eastAsia="ru-RU"/>
        </w:rPr>
        <w:t xml:space="preserve"> и уровень жизни других государств. В результате передвижения рабочей силы все граждане могут жить в любом государстве-члене объединения. Это будет способствовать </w:t>
      </w:r>
      <w:r w:rsidRPr="00810CA0">
        <w:rPr>
          <w:rFonts w:ascii="Times New Roman" w:eastAsia="Times New Roman" w:hAnsi="Times New Roman" w:cs="Times New Roman"/>
          <w:sz w:val="28"/>
          <w:szCs w:val="24"/>
          <w:lang w:eastAsia="ru-RU"/>
        </w:rPr>
        <w:lastRenderedPageBreak/>
        <w:t>свободной конкуренции и экономическому сближению между государствами в рамках объединения.</w:t>
      </w:r>
    </w:p>
    <w:p w:rsidR="00810CA0" w:rsidRPr="00810CA0" w:rsidRDefault="00810CA0" w:rsidP="00810CA0">
      <w:pPr>
        <w:spacing w:after="0" w:line="240" w:lineRule="auto"/>
        <w:ind w:right="-1" w:firstLine="709"/>
        <w:jc w:val="both"/>
        <w:rPr>
          <w:rFonts w:ascii="Times New Roman" w:eastAsia="Times New Roman" w:hAnsi="Times New Roman" w:cs="Times New Roman"/>
          <w:sz w:val="28"/>
          <w:szCs w:val="24"/>
          <w:lang w:eastAsia="ru-RU"/>
        </w:rPr>
      </w:pPr>
      <w:r w:rsidRPr="00810CA0">
        <w:rPr>
          <w:rFonts w:ascii="Times New Roman" w:eastAsia="Times New Roman" w:hAnsi="Times New Roman" w:cs="Times New Roman"/>
          <w:sz w:val="28"/>
          <w:szCs w:val="24"/>
          <w:lang w:eastAsia="ru-RU"/>
        </w:rPr>
        <w:t xml:space="preserve">Свободное движение капитала позволяет без ограничений инвестировать и брать в долг между государствами-членами. Это позволяет не только использовать капитал более эффективно, но и приводит к повышению общего благосостояния. В странах с высоким уровнем капитала инвестирование только в свою страну снижает его рентабельность, что в результате, приводит к уменьшению количества инвестиционных проектов. В странах, с относительно небольшим количеством капитала, есть возможность заработать больше от инвестиций. В результате этого, капитал будет перемещаться из стран, где рентабельность капитала низкая в страны, в которых рентабельность капитала выше, а также будет способствовать созданию рабочих мест [2]. </w:t>
      </w:r>
    </w:p>
    <w:p w:rsidR="00810CA0" w:rsidRPr="00810CA0" w:rsidRDefault="00810CA0" w:rsidP="00810CA0">
      <w:pPr>
        <w:spacing w:after="0" w:line="240" w:lineRule="auto"/>
        <w:ind w:right="-1" w:firstLine="708"/>
        <w:jc w:val="both"/>
        <w:rPr>
          <w:rFonts w:ascii="Times New Roman" w:eastAsia="Times New Roman" w:hAnsi="Times New Roman" w:cs="Times New Roman"/>
          <w:sz w:val="28"/>
          <w:szCs w:val="24"/>
          <w:lang w:eastAsia="ru-RU"/>
        </w:rPr>
      </w:pPr>
      <w:r w:rsidRPr="00810CA0">
        <w:rPr>
          <w:rFonts w:ascii="Times New Roman" w:eastAsia="Times New Roman" w:hAnsi="Times New Roman" w:cs="Times New Roman"/>
          <w:sz w:val="28"/>
          <w:szCs w:val="24"/>
          <w:lang w:eastAsia="ru-RU"/>
        </w:rPr>
        <w:t>На данный момент, самыми влиятельными объединениями по праву считаются ЕС (Европейский союз) и БРИКС (объединение России, Бразилии, ЮАР, Китая и Индии). За последние годы страны БРИКС навязали серьёзную конкуренцию Европейскому союзу. По мнению ведущих мировых экспертов, причина этого – особенности условий экономической деятельности стран БРИКС, в частности – дешевая рабочая сила, небольшие социальные расходы. Это способствует экспорту продукции национального производства, а также позволяет избегать большого дефицита государственных бюджетов.</w:t>
      </w:r>
    </w:p>
    <w:p w:rsidR="00810CA0" w:rsidRPr="00810CA0" w:rsidRDefault="00810CA0" w:rsidP="00810CA0">
      <w:pPr>
        <w:spacing w:after="0" w:line="240" w:lineRule="auto"/>
        <w:ind w:right="-1" w:firstLine="708"/>
        <w:jc w:val="both"/>
        <w:rPr>
          <w:rFonts w:ascii="Times New Roman" w:eastAsia="Times New Roman" w:hAnsi="Times New Roman" w:cs="Times New Roman"/>
          <w:sz w:val="28"/>
          <w:szCs w:val="24"/>
          <w:lang w:eastAsia="ru-RU"/>
        </w:rPr>
      </w:pPr>
      <w:r w:rsidRPr="00810CA0">
        <w:rPr>
          <w:rFonts w:ascii="Times New Roman" w:eastAsia="Times New Roman" w:hAnsi="Times New Roman" w:cs="Times New Roman"/>
          <w:sz w:val="28"/>
          <w:szCs w:val="24"/>
          <w:lang w:eastAsia="ru-RU"/>
        </w:rPr>
        <w:t>Анализируя темпы роста ВВП стран БРИКС, можно выделить, что каждая из этих стран имеет свои характерные особенности (рис. 1) [3].</w:t>
      </w:r>
    </w:p>
    <w:p w:rsidR="00810CA0" w:rsidRPr="00810CA0" w:rsidRDefault="00810CA0" w:rsidP="00810CA0">
      <w:pPr>
        <w:spacing w:after="0" w:line="240" w:lineRule="auto"/>
        <w:ind w:right="-1" w:firstLine="28"/>
        <w:jc w:val="center"/>
        <w:rPr>
          <w:rFonts w:ascii="Times New Roman" w:eastAsia="Times New Roman" w:hAnsi="Times New Roman" w:cs="Times New Roman"/>
          <w:b/>
          <w:sz w:val="28"/>
          <w:szCs w:val="24"/>
          <w:lang w:eastAsia="ru-RU"/>
        </w:rPr>
      </w:pPr>
      <w:r w:rsidRPr="00810CA0">
        <w:rPr>
          <w:rFonts w:ascii="Times New Roman" w:eastAsia="Times New Roman" w:hAnsi="Times New Roman" w:cs="Times New Roman"/>
          <w:noProof/>
          <w:sz w:val="28"/>
          <w:szCs w:val="24"/>
          <w:lang w:eastAsia="ru-RU"/>
        </w:rPr>
        <w:drawing>
          <wp:inline distT="0" distB="0" distL="0" distR="0" wp14:anchorId="0952E4F6" wp14:editId="4C265675">
            <wp:extent cx="6372225" cy="2174240"/>
            <wp:effectExtent l="0" t="0" r="0" b="0"/>
            <wp:docPr id="8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0CA0" w:rsidRPr="00810CA0" w:rsidRDefault="00810CA0" w:rsidP="00810CA0">
      <w:pPr>
        <w:spacing w:after="0" w:line="240" w:lineRule="auto"/>
        <w:ind w:right="-1" w:firstLine="709"/>
        <w:jc w:val="center"/>
        <w:rPr>
          <w:rFonts w:ascii="Times New Roman" w:eastAsia="Times New Roman" w:hAnsi="Times New Roman" w:cs="Times New Roman"/>
          <w:sz w:val="28"/>
          <w:szCs w:val="24"/>
          <w:lang w:eastAsia="ru-RU"/>
        </w:rPr>
      </w:pPr>
      <w:r w:rsidRPr="00810CA0">
        <w:rPr>
          <w:rFonts w:ascii="Times New Roman" w:eastAsia="Times New Roman" w:hAnsi="Times New Roman" w:cs="Times New Roman"/>
          <w:sz w:val="28"/>
          <w:szCs w:val="24"/>
          <w:lang w:eastAsia="ru-RU"/>
        </w:rPr>
        <w:t xml:space="preserve">Рис. 1. Темпы роста ВВП стран БРИКС, 2007 – 2017 </w:t>
      </w:r>
      <w:proofErr w:type="gramStart"/>
      <w:r w:rsidRPr="00810CA0">
        <w:rPr>
          <w:rFonts w:ascii="Times New Roman" w:eastAsia="Times New Roman" w:hAnsi="Times New Roman" w:cs="Times New Roman"/>
          <w:sz w:val="28"/>
          <w:szCs w:val="24"/>
          <w:lang w:eastAsia="ru-RU"/>
        </w:rPr>
        <w:t>гг.,%</w:t>
      </w:r>
      <w:proofErr w:type="gramEnd"/>
    </w:p>
    <w:p w:rsidR="00810CA0" w:rsidRPr="00810CA0" w:rsidRDefault="00810CA0" w:rsidP="00810CA0">
      <w:pPr>
        <w:spacing w:after="0" w:line="240" w:lineRule="auto"/>
        <w:ind w:right="-1" w:firstLine="708"/>
        <w:jc w:val="both"/>
        <w:rPr>
          <w:rFonts w:ascii="Times New Roman" w:eastAsia="Times New Roman" w:hAnsi="Times New Roman" w:cs="Times New Roman"/>
          <w:sz w:val="28"/>
          <w:szCs w:val="24"/>
          <w:lang w:eastAsia="ru-RU"/>
        </w:rPr>
      </w:pPr>
    </w:p>
    <w:p w:rsidR="00810CA0" w:rsidRPr="00810CA0" w:rsidRDefault="00810CA0" w:rsidP="00810CA0">
      <w:pPr>
        <w:spacing w:after="0" w:line="240" w:lineRule="auto"/>
        <w:ind w:right="-1" w:firstLine="709"/>
        <w:jc w:val="both"/>
        <w:rPr>
          <w:rFonts w:ascii="Times New Roman" w:eastAsia="Times New Roman" w:hAnsi="Times New Roman" w:cs="Times New Roman"/>
          <w:sz w:val="28"/>
          <w:szCs w:val="24"/>
          <w:lang w:eastAsia="ru-RU"/>
        </w:rPr>
      </w:pPr>
      <w:r w:rsidRPr="00810CA0">
        <w:rPr>
          <w:rFonts w:ascii="Times New Roman" w:eastAsia="Times New Roman" w:hAnsi="Times New Roman" w:cs="Times New Roman"/>
          <w:sz w:val="28"/>
          <w:szCs w:val="24"/>
          <w:lang w:eastAsia="ru-RU"/>
        </w:rPr>
        <w:t xml:space="preserve">Китайская народная республика (КНР) – это лидер объединения БРИКС с экономикой, имеющий сравнительно высокий темп роста ВВП. По заключению экспертов консалтинговой компании </w:t>
      </w:r>
      <w:proofErr w:type="spellStart"/>
      <w:r w:rsidRPr="00810CA0">
        <w:rPr>
          <w:rFonts w:ascii="Times New Roman" w:eastAsia="Times New Roman" w:hAnsi="Times New Roman" w:cs="Times New Roman"/>
          <w:sz w:val="28"/>
          <w:szCs w:val="24"/>
          <w:lang w:val="en-US" w:eastAsia="ru-RU"/>
        </w:rPr>
        <w:t>Pricewaterhouse</w:t>
      </w:r>
      <w:proofErr w:type="spellEnd"/>
      <w:r w:rsidRPr="00810CA0">
        <w:rPr>
          <w:rFonts w:ascii="Times New Roman" w:eastAsia="Times New Roman" w:hAnsi="Times New Roman" w:cs="Times New Roman"/>
          <w:sz w:val="28"/>
          <w:szCs w:val="24"/>
          <w:lang w:eastAsia="ru-RU"/>
        </w:rPr>
        <w:t xml:space="preserve"> </w:t>
      </w:r>
      <w:r w:rsidRPr="00810CA0">
        <w:rPr>
          <w:rFonts w:ascii="Times New Roman" w:eastAsia="Times New Roman" w:hAnsi="Times New Roman" w:cs="Times New Roman"/>
          <w:sz w:val="28"/>
          <w:szCs w:val="24"/>
          <w:lang w:val="en-US" w:eastAsia="ru-RU"/>
        </w:rPr>
        <w:t>Coopers</w:t>
      </w:r>
      <w:r w:rsidRPr="00810CA0">
        <w:rPr>
          <w:rFonts w:ascii="Times New Roman" w:eastAsia="Times New Roman" w:hAnsi="Times New Roman" w:cs="Times New Roman"/>
          <w:sz w:val="28"/>
          <w:szCs w:val="24"/>
          <w:lang w:eastAsia="ru-RU"/>
        </w:rPr>
        <w:t xml:space="preserve"> КНР обладает достаточным экономическим потенциалом, чтобы уже последующие четыре года опередить США с ВВП по паритетной покупательской способности 20 трлн. долл. США, а к 2030 г. Этот показатель превысит отметку в 30,6 трлн. долл. США. Однако следует отметить, что экономическое состояние Китая напрямую зависит от ситуации на внешних рынках. Качество китайской продукции и технологии, используемые при её </w:t>
      </w:r>
      <w:r w:rsidRPr="00810CA0">
        <w:rPr>
          <w:rFonts w:ascii="Times New Roman" w:eastAsia="Times New Roman" w:hAnsi="Times New Roman" w:cs="Times New Roman"/>
          <w:sz w:val="28"/>
          <w:szCs w:val="24"/>
          <w:lang w:eastAsia="ru-RU"/>
        </w:rPr>
        <w:lastRenderedPageBreak/>
        <w:t>производстве, уступают западным лидерам (Германия, Франция, США и т.д.). Это подтверждается графиком темпа роста ВВП КНР.</w:t>
      </w:r>
    </w:p>
    <w:p w:rsidR="00810CA0" w:rsidRPr="00810CA0" w:rsidRDefault="00810CA0" w:rsidP="00810CA0">
      <w:pPr>
        <w:spacing w:after="0" w:line="240" w:lineRule="auto"/>
        <w:ind w:right="-1" w:firstLine="709"/>
        <w:jc w:val="both"/>
        <w:rPr>
          <w:rFonts w:ascii="Times New Roman" w:eastAsia="Times New Roman" w:hAnsi="Times New Roman" w:cs="Times New Roman"/>
          <w:sz w:val="28"/>
          <w:szCs w:val="24"/>
          <w:lang w:eastAsia="ru-RU"/>
        </w:rPr>
      </w:pPr>
      <w:r w:rsidRPr="00810CA0">
        <w:rPr>
          <w:rFonts w:ascii="Times New Roman" w:eastAsia="Times New Roman" w:hAnsi="Times New Roman" w:cs="Times New Roman"/>
          <w:sz w:val="28"/>
          <w:szCs w:val="24"/>
          <w:lang w:eastAsia="ru-RU"/>
        </w:rPr>
        <w:t>Индия – страна со стабильной экономикой, имеющую позитивную динамику развития и высокие инвестиционные возможности. По данным Министерства финансов Индии, в 2012 году доля накопленных инвестиций составила 30% от ВВП. Эксперты прогнозируют, что к 2030 году Индия выйдет на третье место, после США и КНР, по объему ВВП (он будет составлять 14 трлн. долл. США). Однако темпы экономического развития Индии тормозятся неэффективностью проведения экономических реформ, что проявляется в бюрократичности системы государственного управления, отсутствии высококвалифицированных кадров неэффективностью индийского законодательства в сфере инвестиций. Несмотря на это, правительство улучшает инвестиционный климат страны путем получения доступа к передовым технологиям, а также проведения совместных проектов с ведущими западными странами.</w:t>
      </w:r>
    </w:p>
    <w:p w:rsidR="00810CA0" w:rsidRPr="00810CA0" w:rsidRDefault="00810CA0" w:rsidP="00810CA0">
      <w:pPr>
        <w:spacing w:after="0" w:line="240" w:lineRule="auto"/>
        <w:ind w:right="-1" w:firstLine="709"/>
        <w:jc w:val="both"/>
        <w:rPr>
          <w:rFonts w:ascii="Times New Roman" w:eastAsia="Times New Roman" w:hAnsi="Times New Roman" w:cs="Times New Roman"/>
          <w:sz w:val="28"/>
          <w:szCs w:val="24"/>
          <w:lang w:eastAsia="ru-RU"/>
        </w:rPr>
      </w:pPr>
      <w:r w:rsidRPr="00810CA0">
        <w:rPr>
          <w:rFonts w:ascii="Times New Roman" w:eastAsia="Times New Roman" w:hAnsi="Times New Roman" w:cs="Times New Roman"/>
          <w:sz w:val="28"/>
          <w:szCs w:val="24"/>
          <w:lang w:eastAsia="ru-RU"/>
        </w:rPr>
        <w:t xml:space="preserve">ЮАР имеет большой экономический потенциал, однако пребывает в трудном положении из-за негативного влияния как внешних, так и внутренних факторов. Основной проблемой экономики ЮАР является снижение внешнего спроса на продукцию, имеющую, сырьевой характер (продукция черной металлургии). В результате темпы роста ВВП страны упали с 3,1 % в 2011 году до 2,5 % в 2012 году. Кроме того, наблюдается увеличение дефицита государственного бюджета страны и государственного долга (до 50 % от ВВП). Существенные также негативные факторы ЮАР – неэффективность государственной системы управления экономикой (чрезмерное количество управляющих структур, коррумпированность и непрозрачность работы органов власти), обострение противоречий между разными политическими силами в парламенте и правительстве страны, недостаток квалифицированных кадров, слабое развитие транспортной и энергетической инфраструктуры. </w:t>
      </w:r>
      <w:r w:rsidRPr="00810CA0">
        <w:rPr>
          <w:rFonts w:ascii="Times New Roman" w:eastAsia="Times New Roman" w:hAnsi="Times New Roman" w:cs="Times New Roman"/>
          <w:color w:val="000000"/>
          <w:sz w:val="28"/>
          <w:szCs w:val="21"/>
          <w:lang w:eastAsia="ru-RU"/>
        </w:rPr>
        <w:t>Для решения этих проблем правительство ЮАР оказывает поддержку частному бизнесу, привлекая иностранные </w:t>
      </w:r>
      <w:r w:rsidRPr="00810CA0">
        <w:rPr>
          <w:rFonts w:ascii="Times New Roman" w:eastAsia="Times New Roman" w:hAnsi="Times New Roman" w:cs="Times New Roman"/>
          <w:sz w:val="28"/>
          <w:szCs w:val="21"/>
          <w:lang w:eastAsia="ru-RU"/>
        </w:rPr>
        <w:t>инвестиции</w:t>
      </w:r>
      <w:r w:rsidRPr="00810CA0">
        <w:rPr>
          <w:rFonts w:ascii="Times New Roman" w:eastAsia="Times New Roman" w:hAnsi="Times New Roman" w:cs="Times New Roman"/>
          <w:color w:val="000000"/>
          <w:sz w:val="28"/>
          <w:szCs w:val="21"/>
          <w:lang w:eastAsia="ru-RU"/>
        </w:rPr>
        <w:t>.</w:t>
      </w:r>
    </w:p>
    <w:p w:rsidR="00810CA0" w:rsidRPr="00810CA0" w:rsidRDefault="00810CA0" w:rsidP="00810CA0">
      <w:pPr>
        <w:spacing w:after="0" w:line="240" w:lineRule="auto"/>
        <w:ind w:right="-1" w:firstLine="709"/>
        <w:jc w:val="both"/>
        <w:rPr>
          <w:rFonts w:ascii="Times New Roman" w:eastAsia="Times New Roman" w:hAnsi="Times New Roman" w:cs="Times New Roman"/>
          <w:sz w:val="40"/>
          <w:szCs w:val="24"/>
          <w:lang w:eastAsia="ru-RU"/>
        </w:rPr>
      </w:pPr>
      <w:r w:rsidRPr="00810CA0">
        <w:rPr>
          <w:rFonts w:ascii="Times New Roman" w:eastAsia="Times New Roman" w:hAnsi="Times New Roman" w:cs="Times New Roman"/>
          <w:sz w:val="28"/>
          <w:szCs w:val="24"/>
          <w:lang w:eastAsia="ru-RU"/>
        </w:rPr>
        <w:t xml:space="preserve">В свою очередь, Бразилия </w:t>
      </w:r>
      <w:r w:rsidRPr="00810CA0">
        <w:rPr>
          <w:rFonts w:ascii="Times New Roman" w:eastAsia="Times New Roman" w:hAnsi="Times New Roman" w:cs="Times New Roman"/>
          <w:bCs/>
          <w:color w:val="000000"/>
          <w:sz w:val="28"/>
          <w:szCs w:val="21"/>
          <w:lang w:eastAsia="ru-RU"/>
        </w:rPr>
        <w:t>сохраняет положительную динамику в развитии национальной экономики, однако имеет существенные проблемы из-за негативного внешнего влияния.</w:t>
      </w:r>
      <w:r w:rsidRPr="00810CA0">
        <w:rPr>
          <w:rFonts w:ascii="Times New Roman" w:eastAsia="Times New Roman" w:hAnsi="Times New Roman" w:cs="Times New Roman"/>
          <w:sz w:val="40"/>
          <w:szCs w:val="24"/>
          <w:lang w:eastAsia="ru-RU"/>
        </w:rPr>
        <w:t xml:space="preserve"> </w:t>
      </w:r>
      <w:r w:rsidRPr="00810CA0">
        <w:rPr>
          <w:rFonts w:ascii="Times New Roman" w:eastAsia="Times New Roman" w:hAnsi="Times New Roman" w:cs="Times New Roman"/>
          <w:sz w:val="28"/>
          <w:szCs w:val="24"/>
          <w:lang w:eastAsia="ru-RU"/>
        </w:rPr>
        <w:t>В первую очередь, это касается снижения объемов импорта бразильских товаров Аргентиной и КНР, которые являются основными торговыми партнерами Бразилии. Из-за этого в течение последних лет темпы роста ВВП страны снизились с 2,7 % в 2011 году до приблизительно 2 % в 2012 году. В такой ситуации правительство страны было вынуждено тратить золотовалютные резервы страны для поддержки национальной экономики, что в конечном итоге помогло избежать еще больших экономических проблем.</w:t>
      </w:r>
      <w:r w:rsidRPr="00810CA0">
        <w:rPr>
          <w:rFonts w:ascii="Times New Roman" w:eastAsia="Times New Roman" w:hAnsi="Times New Roman" w:cs="Times New Roman"/>
          <w:sz w:val="40"/>
          <w:szCs w:val="24"/>
          <w:lang w:eastAsia="ru-RU"/>
        </w:rPr>
        <w:t xml:space="preserve"> </w:t>
      </w:r>
      <w:r w:rsidRPr="00810CA0">
        <w:rPr>
          <w:rFonts w:ascii="Times New Roman" w:eastAsia="Times New Roman" w:hAnsi="Times New Roman" w:cs="Times New Roman"/>
          <w:sz w:val="28"/>
          <w:szCs w:val="24"/>
          <w:lang w:eastAsia="ru-RU"/>
        </w:rPr>
        <w:t>Для стабилизации экономики руководство Бразилии проводит менее жесткую денежно-кредитную политику, путем снижения ставок на кредиты, реализует планы государственных закупок, поддерживая национальную промышленность, а также привлекает частные средства в развитие транспортной инфраструктуры.</w:t>
      </w:r>
    </w:p>
    <w:p w:rsidR="00810CA0" w:rsidRPr="00810CA0" w:rsidRDefault="00810CA0" w:rsidP="00810CA0">
      <w:pPr>
        <w:spacing w:after="0" w:line="240" w:lineRule="auto"/>
        <w:ind w:right="-1" w:firstLine="708"/>
        <w:jc w:val="both"/>
        <w:rPr>
          <w:rFonts w:ascii="Times New Roman" w:eastAsia="Times New Roman" w:hAnsi="Times New Roman" w:cs="Times New Roman"/>
          <w:sz w:val="28"/>
          <w:szCs w:val="24"/>
          <w:lang w:eastAsia="ru-RU"/>
        </w:rPr>
      </w:pPr>
      <w:r w:rsidRPr="00810CA0">
        <w:rPr>
          <w:rFonts w:ascii="Times New Roman" w:eastAsia="Times New Roman" w:hAnsi="Times New Roman" w:cs="Times New Roman"/>
          <w:sz w:val="28"/>
          <w:szCs w:val="24"/>
          <w:lang w:eastAsia="ru-RU"/>
        </w:rPr>
        <w:lastRenderedPageBreak/>
        <w:t xml:space="preserve">Российская экономика является шестой по величине экономикой мира по объему ВВП. В 2013 г. Номинальный объём ВВП составил 66,7 трлн. рублей, физический объём ВВП вырос на 1,3% по сравнению с предыдущим годом, а индекс-дефлятор ВВП составил106,5% по отношению к ценам 2012 года. За первый квартал 2014 года, по оценкам Министерства экономического развития РФ, рост ВВП в первые три месяца </w:t>
      </w:r>
      <w:proofErr w:type="gramStart"/>
      <w:r w:rsidRPr="00810CA0">
        <w:rPr>
          <w:rFonts w:ascii="Times New Roman" w:eastAsia="Times New Roman" w:hAnsi="Times New Roman" w:cs="Times New Roman"/>
          <w:sz w:val="28"/>
          <w:szCs w:val="24"/>
          <w:lang w:eastAsia="ru-RU"/>
        </w:rPr>
        <w:t>2013  г.</w:t>
      </w:r>
      <w:proofErr w:type="gramEnd"/>
      <w:r w:rsidRPr="00810CA0">
        <w:rPr>
          <w:rFonts w:ascii="Times New Roman" w:eastAsia="Times New Roman" w:hAnsi="Times New Roman" w:cs="Times New Roman"/>
          <w:sz w:val="28"/>
          <w:szCs w:val="24"/>
          <w:lang w:eastAsia="ru-RU"/>
        </w:rPr>
        <w:t xml:space="preserve"> составил 0,9%. В российской экономике государство играет значительную роль и за последнее время его доля значительно увеличилась. Если несколько лет назад доля государственного сектора в ВВП страны составляла 34%, то на данный момент этот показатель вырос до 50%. При этом, по оценкам экспертов, в ближайшее время присутствие государства в экономике РФ будет только увеличиваться [4].</w:t>
      </w:r>
    </w:p>
    <w:p w:rsidR="00810CA0" w:rsidRPr="00810CA0" w:rsidRDefault="00810CA0" w:rsidP="00810CA0">
      <w:pPr>
        <w:spacing w:after="0" w:line="240" w:lineRule="auto"/>
        <w:ind w:right="-1" w:firstLine="708"/>
        <w:jc w:val="both"/>
        <w:rPr>
          <w:rFonts w:ascii="Times New Roman" w:eastAsia="Times New Roman" w:hAnsi="Times New Roman" w:cs="Times New Roman"/>
          <w:sz w:val="28"/>
          <w:szCs w:val="24"/>
          <w:lang w:eastAsia="ru-RU"/>
        </w:rPr>
      </w:pPr>
      <w:r w:rsidRPr="00810CA0">
        <w:rPr>
          <w:rFonts w:ascii="Times New Roman" w:eastAsia="Times New Roman" w:hAnsi="Times New Roman" w:cs="Times New Roman"/>
          <w:sz w:val="28"/>
          <w:szCs w:val="24"/>
          <w:lang w:eastAsia="ru-RU"/>
        </w:rPr>
        <w:t>Для цели исследования целесообразно проанализировать средние тенденции изменений темпов роста ВВП блоков стран БРИКС и ЕС (рис. 2).</w:t>
      </w:r>
    </w:p>
    <w:p w:rsidR="00810CA0" w:rsidRPr="00810CA0" w:rsidRDefault="00810CA0" w:rsidP="00810CA0">
      <w:pPr>
        <w:spacing w:after="0" w:line="240" w:lineRule="auto"/>
        <w:ind w:right="-1" w:firstLine="708"/>
        <w:jc w:val="both"/>
        <w:rPr>
          <w:rFonts w:ascii="Times New Roman" w:eastAsia="Times New Roman" w:hAnsi="Times New Roman" w:cs="Times New Roman"/>
          <w:sz w:val="28"/>
          <w:szCs w:val="24"/>
          <w:lang w:eastAsia="ru-RU"/>
        </w:rPr>
      </w:pPr>
    </w:p>
    <w:p w:rsidR="00810CA0" w:rsidRPr="00810CA0" w:rsidRDefault="00810CA0" w:rsidP="00810CA0">
      <w:pPr>
        <w:spacing w:after="0" w:line="240" w:lineRule="auto"/>
        <w:ind w:right="-1" w:firstLine="709"/>
        <w:jc w:val="center"/>
        <w:rPr>
          <w:rFonts w:ascii="Times New Roman" w:eastAsia="Times New Roman" w:hAnsi="Times New Roman" w:cs="Times New Roman"/>
          <w:sz w:val="28"/>
          <w:szCs w:val="24"/>
          <w:lang w:eastAsia="ru-RU"/>
        </w:rPr>
      </w:pPr>
      <w:r w:rsidRPr="00810CA0">
        <w:rPr>
          <w:rFonts w:ascii="Times New Roman" w:eastAsia="Times New Roman" w:hAnsi="Times New Roman" w:cs="Times New Roman"/>
          <w:noProof/>
          <w:sz w:val="28"/>
          <w:szCs w:val="24"/>
          <w:lang w:eastAsia="ru-RU"/>
        </w:rPr>
        <w:drawing>
          <wp:inline distT="0" distB="0" distL="0" distR="0" wp14:anchorId="75CF9CF8" wp14:editId="38C5C776">
            <wp:extent cx="5724525" cy="2419350"/>
            <wp:effectExtent l="19050" t="0" r="9525" b="0"/>
            <wp:docPr id="8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0CA0" w:rsidRPr="00810CA0" w:rsidRDefault="00810CA0" w:rsidP="00810CA0">
      <w:pPr>
        <w:spacing w:after="0" w:line="240" w:lineRule="auto"/>
        <w:ind w:right="-1" w:firstLine="709"/>
        <w:jc w:val="center"/>
        <w:rPr>
          <w:rFonts w:ascii="Times New Roman" w:eastAsia="Times New Roman" w:hAnsi="Times New Roman" w:cs="Times New Roman"/>
          <w:sz w:val="28"/>
          <w:szCs w:val="24"/>
          <w:lang w:eastAsia="ru-RU"/>
        </w:rPr>
      </w:pPr>
      <w:r w:rsidRPr="00810CA0">
        <w:rPr>
          <w:rFonts w:ascii="Times New Roman" w:eastAsia="Times New Roman" w:hAnsi="Times New Roman" w:cs="Times New Roman"/>
          <w:sz w:val="28"/>
          <w:szCs w:val="24"/>
          <w:lang w:eastAsia="ru-RU"/>
        </w:rPr>
        <w:t>Рис. 2. Темпы роста ВВП блока БРИКС в сравнении с ЕС, 2007 – 2017 гг., %</w:t>
      </w:r>
    </w:p>
    <w:p w:rsidR="00810CA0" w:rsidRPr="00810CA0" w:rsidRDefault="00810CA0" w:rsidP="00810CA0">
      <w:pPr>
        <w:spacing w:after="0" w:line="240" w:lineRule="auto"/>
        <w:ind w:right="-1" w:firstLine="709"/>
        <w:jc w:val="center"/>
        <w:rPr>
          <w:rFonts w:ascii="Times New Roman" w:eastAsia="Times New Roman" w:hAnsi="Times New Roman" w:cs="Times New Roman"/>
          <w:sz w:val="28"/>
          <w:szCs w:val="24"/>
          <w:lang w:eastAsia="ru-RU"/>
        </w:rPr>
      </w:pPr>
    </w:p>
    <w:p w:rsidR="00810CA0" w:rsidRPr="00810CA0" w:rsidRDefault="00810CA0" w:rsidP="00810CA0">
      <w:pPr>
        <w:spacing w:after="0" w:line="240" w:lineRule="auto"/>
        <w:ind w:right="-1" w:firstLine="708"/>
        <w:jc w:val="both"/>
        <w:rPr>
          <w:rFonts w:ascii="Times New Roman" w:eastAsia="Times New Roman" w:hAnsi="Times New Roman" w:cs="Times New Roman"/>
          <w:sz w:val="28"/>
          <w:szCs w:val="24"/>
          <w:lang w:eastAsia="ru-RU"/>
        </w:rPr>
      </w:pPr>
      <w:r w:rsidRPr="00810CA0">
        <w:rPr>
          <w:rFonts w:ascii="Times New Roman" w:eastAsia="Times New Roman" w:hAnsi="Times New Roman" w:cs="Times New Roman"/>
          <w:sz w:val="28"/>
          <w:szCs w:val="24"/>
          <w:lang w:eastAsia="ru-RU"/>
        </w:rPr>
        <w:t xml:space="preserve">Сравнивая страны Евросоюза и БРИКС, можно сделать вывод, что в итоге высоких темпов роста, которые показали страны БРИКС с 2009 гг., разрыв между БРИКС и Евросоюзом существенно сократился к 2012 году. За последние 10 лет доля БРИКС в мировом ВВП по ППС возросла с 18 до 27%. При этом произошло сокращение сокращении доли G-7 (Канады, Франции, Германии, Японии, Италии, Великобритании и США) с 48 до 38%. Несмотря на вышесказанное, до 2009 г. экономика стран БРИКС претерпевала небольшой спад, что видно из диаграмм, однако после 2009 г. в каждой из стран произошел значительный скачок роста ВВП. </w:t>
      </w:r>
    </w:p>
    <w:p w:rsidR="00810CA0" w:rsidRPr="00810CA0" w:rsidRDefault="00810CA0" w:rsidP="00810CA0">
      <w:pPr>
        <w:spacing w:after="0" w:line="240" w:lineRule="auto"/>
        <w:ind w:right="-1" w:firstLine="708"/>
        <w:jc w:val="both"/>
        <w:rPr>
          <w:rFonts w:ascii="Times New Roman" w:eastAsia="Times New Roman" w:hAnsi="Times New Roman" w:cs="Times New Roman"/>
          <w:sz w:val="28"/>
          <w:szCs w:val="24"/>
          <w:lang w:eastAsia="ru-RU"/>
        </w:rPr>
      </w:pPr>
      <w:r w:rsidRPr="00810CA0">
        <w:rPr>
          <w:rFonts w:ascii="Times New Roman" w:eastAsia="Times New Roman" w:hAnsi="Times New Roman" w:cs="Times New Roman"/>
          <w:sz w:val="28"/>
          <w:szCs w:val="24"/>
          <w:lang w:eastAsia="ru-RU"/>
        </w:rPr>
        <w:t xml:space="preserve">В связи с современными реалиями, ВВП этих стран постоянно колеблется. Это связано еще и с тем, что в отличие от ЕС (Евросоюз) блок БРИКС существует 9 лет (учитывая первый саммит стран 16 июня 2009 г.) и сейчас находится на стадии формирования. Анализируя темпы роста ВВП Европейского союза и БРИКС, необходимо отметить, что страны с </w:t>
      </w:r>
      <w:r w:rsidRPr="00810CA0">
        <w:rPr>
          <w:rFonts w:ascii="Times New Roman" w:eastAsia="Times New Roman" w:hAnsi="Times New Roman" w:cs="Times New Roman"/>
          <w:sz w:val="28"/>
          <w:szCs w:val="24"/>
          <w:lang w:eastAsia="ru-RU"/>
        </w:rPr>
        <w:lastRenderedPageBreak/>
        <w:t>«переходной» экономикой (БРИКС) значительно тяжелее переносят кризисные ситуации.</w:t>
      </w:r>
    </w:p>
    <w:p w:rsidR="00810CA0" w:rsidRPr="00810CA0" w:rsidRDefault="00810CA0" w:rsidP="00810CA0">
      <w:pPr>
        <w:spacing w:after="0" w:line="240" w:lineRule="auto"/>
        <w:ind w:right="-1" w:firstLine="708"/>
        <w:jc w:val="both"/>
        <w:rPr>
          <w:rFonts w:ascii="Times New Roman" w:eastAsia="Times New Roman" w:hAnsi="Times New Roman" w:cs="Times New Roman"/>
          <w:color w:val="000000"/>
          <w:sz w:val="28"/>
          <w:szCs w:val="21"/>
          <w:lang w:eastAsia="ru-RU"/>
        </w:rPr>
      </w:pPr>
      <w:r w:rsidRPr="00810CA0">
        <w:rPr>
          <w:rFonts w:ascii="Times New Roman" w:eastAsia="Times New Roman" w:hAnsi="Times New Roman" w:cs="Times New Roman"/>
          <w:bCs/>
          <w:color w:val="000000"/>
          <w:sz w:val="28"/>
          <w:szCs w:val="21"/>
          <w:lang w:eastAsia="ru-RU"/>
        </w:rPr>
        <w:t>При этом необходимо отметить, что ЕС и БРИКС демонстрируют две разных модели экономического развития</w:t>
      </w:r>
      <w:r w:rsidRPr="00810CA0">
        <w:rPr>
          <w:rFonts w:ascii="Times New Roman" w:eastAsia="Times New Roman" w:hAnsi="Times New Roman" w:cs="Times New Roman"/>
          <w:color w:val="000000"/>
          <w:sz w:val="28"/>
          <w:szCs w:val="21"/>
          <w:lang w:eastAsia="ru-RU"/>
        </w:rPr>
        <w:t xml:space="preserve">, первая из которых предусматривает достижение высоких результатов за счет применения передовых технологий, а вторая </w:t>
      </w:r>
      <w:r w:rsidRPr="00810CA0">
        <w:rPr>
          <w:rFonts w:ascii="Times New Roman" w:eastAsia="Times New Roman" w:hAnsi="Times New Roman" w:cs="Times New Roman"/>
          <w:sz w:val="28"/>
          <w:szCs w:val="24"/>
          <w:lang w:eastAsia="ru-RU"/>
        </w:rPr>
        <w:t>–</w:t>
      </w:r>
      <w:r w:rsidRPr="00810CA0">
        <w:rPr>
          <w:rFonts w:ascii="Times New Roman" w:eastAsia="Times New Roman" w:hAnsi="Times New Roman" w:cs="Times New Roman"/>
          <w:color w:val="000000"/>
          <w:sz w:val="28"/>
          <w:szCs w:val="21"/>
          <w:lang w:eastAsia="ru-RU"/>
        </w:rPr>
        <w:t xml:space="preserve"> эксплуатации рабочей силы и природных ресурсов.</w:t>
      </w:r>
    </w:p>
    <w:p w:rsidR="00810CA0" w:rsidRPr="00810CA0" w:rsidRDefault="00810CA0" w:rsidP="00810CA0">
      <w:pPr>
        <w:spacing w:after="0" w:line="240" w:lineRule="auto"/>
        <w:ind w:right="-1" w:firstLine="708"/>
        <w:jc w:val="both"/>
        <w:rPr>
          <w:rFonts w:ascii="Times New Roman" w:eastAsia="Times New Roman" w:hAnsi="Times New Roman" w:cs="Times New Roman"/>
          <w:sz w:val="28"/>
          <w:szCs w:val="24"/>
          <w:lang w:eastAsia="ru-RU"/>
        </w:rPr>
      </w:pPr>
      <w:r w:rsidRPr="00810CA0">
        <w:rPr>
          <w:rFonts w:ascii="Times New Roman" w:eastAsia="Times New Roman" w:hAnsi="Times New Roman" w:cs="Times New Roman"/>
          <w:b/>
          <w:sz w:val="28"/>
          <w:szCs w:val="24"/>
          <w:lang w:eastAsia="ru-RU"/>
        </w:rPr>
        <w:t xml:space="preserve">Выводы. </w:t>
      </w:r>
      <w:r w:rsidRPr="00810CA0">
        <w:rPr>
          <w:rFonts w:ascii="Times New Roman" w:eastAsia="Times New Roman" w:hAnsi="Times New Roman" w:cs="Times New Roman"/>
          <w:sz w:val="28"/>
          <w:szCs w:val="24"/>
          <w:lang w:eastAsia="ru-RU"/>
        </w:rPr>
        <w:t xml:space="preserve">Международная экономическая интеграция положительно влияет на государства с малым и средним уровнями капитала, для которых положительный эффект от этого процесса будет заметен только в долгосрочной перспективе. В краткосрочной перспективе интеграция приводит к затратам, которые в долгосрочной перспективе будут возмещены полученной от интеграции выгодой. </w:t>
      </w:r>
    </w:p>
    <w:p w:rsidR="00810CA0" w:rsidRPr="00810CA0" w:rsidRDefault="00810CA0" w:rsidP="00810CA0">
      <w:pPr>
        <w:spacing w:after="0" w:line="240" w:lineRule="auto"/>
        <w:ind w:right="-1" w:firstLine="708"/>
        <w:jc w:val="both"/>
        <w:rPr>
          <w:rFonts w:ascii="Times New Roman" w:eastAsia="Times New Roman" w:hAnsi="Times New Roman" w:cs="Times New Roman"/>
          <w:sz w:val="28"/>
          <w:szCs w:val="24"/>
          <w:lang w:eastAsia="ru-RU"/>
        </w:rPr>
      </w:pPr>
      <w:r w:rsidRPr="00810CA0">
        <w:rPr>
          <w:rFonts w:ascii="Times New Roman" w:eastAsia="Times New Roman" w:hAnsi="Times New Roman" w:cs="Times New Roman"/>
          <w:sz w:val="28"/>
          <w:szCs w:val="24"/>
          <w:lang w:eastAsia="ru-RU"/>
        </w:rPr>
        <w:t>В целом, международная экономическая интеграция – это характерная особенность современного этапа мировой экономики. В конце прошлого столетия она стала основным инструментом быстрого и гармоничного развития региональных экономик, что позволило повысить конкурентоспособность стран участниц интеграционных объединений на мировом рынке.</w:t>
      </w:r>
    </w:p>
    <w:p w:rsidR="00810CA0" w:rsidRPr="00810CA0" w:rsidRDefault="00810CA0" w:rsidP="00810CA0">
      <w:pPr>
        <w:spacing w:after="0" w:line="240" w:lineRule="auto"/>
        <w:ind w:right="-1" w:firstLine="708"/>
        <w:jc w:val="both"/>
        <w:rPr>
          <w:rFonts w:ascii="Times New Roman" w:eastAsia="Times New Roman" w:hAnsi="Times New Roman" w:cs="Times New Roman"/>
          <w:b/>
          <w:sz w:val="24"/>
          <w:szCs w:val="24"/>
          <w:lang w:eastAsia="ru-RU"/>
        </w:rPr>
      </w:pPr>
    </w:p>
    <w:p w:rsidR="00810CA0" w:rsidRPr="00810CA0" w:rsidRDefault="00810CA0" w:rsidP="00810CA0">
      <w:pPr>
        <w:spacing w:after="0" w:line="240" w:lineRule="auto"/>
        <w:ind w:right="-1" w:firstLine="709"/>
        <w:jc w:val="center"/>
        <w:rPr>
          <w:rFonts w:ascii="Times New Roman" w:eastAsia="Times New Roman" w:hAnsi="Times New Roman" w:cs="Times New Roman"/>
          <w:b/>
          <w:sz w:val="28"/>
          <w:szCs w:val="28"/>
          <w:lang w:eastAsia="ru-RU"/>
        </w:rPr>
      </w:pPr>
      <w:r w:rsidRPr="00810CA0">
        <w:rPr>
          <w:rFonts w:ascii="Times New Roman" w:eastAsia="Times New Roman" w:hAnsi="Times New Roman" w:cs="Times New Roman"/>
          <w:b/>
          <w:sz w:val="28"/>
          <w:szCs w:val="28"/>
          <w:lang w:eastAsia="ru-RU"/>
        </w:rPr>
        <w:t>Список литературы</w:t>
      </w:r>
    </w:p>
    <w:tbl>
      <w:tblPr>
        <w:tblW w:w="9639" w:type="dxa"/>
        <w:tblInd w:w="108" w:type="dxa"/>
        <w:tblLook w:val="04A0" w:firstRow="1" w:lastRow="0" w:firstColumn="1" w:lastColumn="0" w:noHBand="0" w:noVBand="1"/>
      </w:tblPr>
      <w:tblGrid>
        <w:gridCol w:w="426"/>
        <w:gridCol w:w="9213"/>
      </w:tblGrid>
      <w:tr w:rsidR="00810CA0" w:rsidRPr="00810CA0" w:rsidTr="00272896">
        <w:tc>
          <w:tcPr>
            <w:tcW w:w="426" w:type="dxa"/>
          </w:tcPr>
          <w:p w:rsidR="00810CA0" w:rsidRPr="00810CA0" w:rsidRDefault="00810CA0" w:rsidP="00810CA0">
            <w:pPr>
              <w:numPr>
                <w:ilvl w:val="0"/>
                <w:numId w:val="1"/>
              </w:numPr>
              <w:spacing w:after="0" w:line="240" w:lineRule="auto"/>
              <w:contextualSpacing/>
              <w:jc w:val="both"/>
              <w:rPr>
                <w:rFonts w:ascii="Times New Roman" w:eastAsia="Calibri" w:hAnsi="Times New Roman" w:cs="Times New Roman"/>
                <w:sz w:val="24"/>
                <w:szCs w:val="24"/>
                <w:lang w:eastAsia="ru-RU"/>
              </w:rPr>
            </w:pPr>
          </w:p>
        </w:tc>
        <w:tc>
          <w:tcPr>
            <w:tcW w:w="9213" w:type="dxa"/>
          </w:tcPr>
          <w:p w:rsidR="00810CA0" w:rsidRPr="00810CA0" w:rsidRDefault="00810CA0" w:rsidP="00810CA0">
            <w:pPr>
              <w:pStyle w:val="a4"/>
              <w:numPr>
                <w:ilvl w:val="0"/>
                <w:numId w:val="2"/>
              </w:numPr>
              <w:spacing w:after="0" w:line="240" w:lineRule="auto"/>
              <w:jc w:val="both"/>
              <w:rPr>
                <w:rFonts w:ascii="Times New Roman" w:eastAsia="Calibri" w:hAnsi="Times New Roman" w:cs="Times New Roman"/>
                <w:sz w:val="24"/>
                <w:szCs w:val="24"/>
                <w:lang w:eastAsia="ru-RU"/>
              </w:rPr>
            </w:pPr>
            <w:r w:rsidRPr="00810CA0">
              <w:rPr>
                <w:rFonts w:ascii="Times New Roman" w:eastAsia="Times New Roman" w:hAnsi="Times New Roman" w:cs="Times New Roman"/>
                <w:sz w:val="24"/>
                <w:szCs w:val="24"/>
                <w:lang w:eastAsia="ru-RU"/>
              </w:rPr>
              <w:t xml:space="preserve">Что такое интеграция? Международная экономическая интеграция. – Режим доступа: </w:t>
            </w:r>
            <w:hyperlink r:id="rId7" w:history="1">
              <w:r w:rsidRPr="00810CA0">
                <w:rPr>
                  <w:rFonts w:ascii="Times New Roman" w:eastAsia="Calibri" w:hAnsi="Times New Roman" w:cs="Times New Roman"/>
                  <w:color w:val="0000FF"/>
                  <w:sz w:val="24"/>
                  <w:szCs w:val="24"/>
                  <w:u w:val="single"/>
                  <w:lang w:val="en-US" w:eastAsia="ru-RU"/>
                </w:rPr>
                <w:t>https</w:t>
              </w:r>
              <w:r w:rsidRPr="00810CA0">
                <w:rPr>
                  <w:rFonts w:ascii="Times New Roman" w:eastAsia="Calibri" w:hAnsi="Times New Roman" w:cs="Times New Roman"/>
                  <w:color w:val="0000FF"/>
                  <w:sz w:val="24"/>
                  <w:szCs w:val="24"/>
                  <w:u w:val="single"/>
                  <w:lang w:eastAsia="ru-RU"/>
                </w:rPr>
                <w:t>://</w:t>
              </w:r>
              <w:r w:rsidRPr="00810CA0">
                <w:rPr>
                  <w:rFonts w:ascii="Times New Roman" w:eastAsia="Calibri" w:hAnsi="Times New Roman" w:cs="Times New Roman"/>
                  <w:color w:val="0000FF"/>
                  <w:sz w:val="24"/>
                  <w:szCs w:val="24"/>
                  <w:u w:val="single"/>
                  <w:lang w:val="en-US" w:eastAsia="ru-RU"/>
                </w:rPr>
                <w:t>businessman</w:t>
              </w:r>
              <w:r w:rsidRPr="00810CA0">
                <w:rPr>
                  <w:rFonts w:ascii="Times New Roman" w:eastAsia="Calibri" w:hAnsi="Times New Roman" w:cs="Times New Roman"/>
                  <w:color w:val="0000FF"/>
                  <w:sz w:val="24"/>
                  <w:szCs w:val="24"/>
                  <w:u w:val="single"/>
                  <w:lang w:eastAsia="ru-RU"/>
                </w:rPr>
                <w:t>.</w:t>
              </w:r>
              <w:proofErr w:type="spellStart"/>
              <w:r w:rsidRPr="00810CA0">
                <w:rPr>
                  <w:rFonts w:ascii="Times New Roman" w:eastAsia="Calibri" w:hAnsi="Times New Roman" w:cs="Times New Roman"/>
                  <w:color w:val="0000FF"/>
                  <w:sz w:val="24"/>
                  <w:szCs w:val="24"/>
                  <w:u w:val="single"/>
                  <w:lang w:val="en-US" w:eastAsia="ru-RU"/>
                </w:rPr>
                <w:t>ru</w:t>
              </w:r>
              <w:proofErr w:type="spellEnd"/>
              <w:r w:rsidRPr="00810CA0">
                <w:rPr>
                  <w:rFonts w:ascii="Times New Roman" w:eastAsia="Calibri" w:hAnsi="Times New Roman" w:cs="Times New Roman"/>
                  <w:color w:val="0000FF"/>
                  <w:sz w:val="24"/>
                  <w:szCs w:val="24"/>
                  <w:u w:val="single"/>
                  <w:lang w:eastAsia="ru-RU"/>
                </w:rPr>
                <w:t>/</w:t>
              </w:r>
              <w:r w:rsidRPr="00810CA0">
                <w:rPr>
                  <w:rFonts w:ascii="Times New Roman" w:eastAsia="Calibri" w:hAnsi="Times New Roman" w:cs="Times New Roman"/>
                  <w:color w:val="0000FF"/>
                  <w:sz w:val="24"/>
                  <w:szCs w:val="24"/>
                  <w:u w:val="single"/>
                  <w:lang w:val="en-US" w:eastAsia="ru-RU"/>
                </w:rPr>
                <w:t>new</w:t>
              </w:r>
              <w:r w:rsidRPr="00810CA0">
                <w:rPr>
                  <w:rFonts w:ascii="Times New Roman" w:eastAsia="Calibri" w:hAnsi="Times New Roman" w:cs="Times New Roman"/>
                  <w:color w:val="0000FF"/>
                  <w:sz w:val="24"/>
                  <w:szCs w:val="24"/>
                  <w:u w:val="single"/>
                  <w:lang w:eastAsia="ru-RU"/>
                </w:rPr>
                <w:t>-</w:t>
              </w:r>
              <w:proofErr w:type="spellStart"/>
              <w:r w:rsidRPr="00810CA0">
                <w:rPr>
                  <w:rFonts w:ascii="Times New Roman" w:eastAsia="Calibri" w:hAnsi="Times New Roman" w:cs="Times New Roman"/>
                  <w:color w:val="0000FF"/>
                  <w:sz w:val="24"/>
                  <w:szCs w:val="24"/>
                  <w:u w:val="single"/>
                  <w:lang w:val="en-US" w:eastAsia="ru-RU"/>
                </w:rPr>
                <w:t>chto</w:t>
              </w:r>
              <w:proofErr w:type="spellEnd"/>
              <w:r w:rsidRPr="00810CA0">
                <w:rPr>
                  <w:rFonts w:ascii="Times New Roman" w:eastAsia="Calibri" w:hAnsi="Times New Roman" w:cs="Times New Roman"/>
                  <w:color w:val="0000FF"/>
                  <w:sz w:val="24"/>
                  <w:szCs w:val="24"/>
                  <w:u w:val="single"/>
                  <w:lang w:eastAsia="ru-RU"/>
                </w:rPr>
                <w:t>-</w:t>
              </w:r>
              <w:proofErr w:type="spellStart"/>
              <w:r w:rsidRPr="00810CA0">
                <w:rPr>
                  <w:rFonts w:ascii="Times New Roman" w:eastAsia="Calibri" w:hAnsi="Times New Roman" w:cs="Times New Roman"/>
                  <w:color w:val="0000FF"/>
                  <w:sz w:val="24"/>
                  <w:szCs w:val="24"/>
                  <w:u w:val="single"/>
                  <w:lang w:val="en-US" w:eastAsia="ru-RU"/>
                </w:rPr>
                <w:t>takoe</w:t>
              </w:r>
              <w:proofErr w:type="spellEnd"/>
              <w:r w:rsidRPr="00810CA0">
                <w:rPr>
                  <w:rFonts w:ascii="Times New Roman" w:eastAsia="Calibri" w:hAnsi="Times New Roman" w:cs="Times New Roman"/>
                  <w:color w:val="0000FF"/>
                  <w:sz w:val="24"/>
                  <w:szCs w:val="24"/>
                  <w:u w:val="single"/>
                  <w:lang w:eastAsia="ru-RU"/>
                </w:rPr>
                <w:t>-</w:t>
              </w:r>
              <w:proofErr w:type="spellStart"/>
              <w:r w:rsidRPr="00810CA0">
                <w:rPr>
                  <w:rFonts w:ascii="Times New Roman" w:eastAsia="Calibri" w:hAnsi="Times New Roman" w:cs="Times New Roman"/>
                  <w:color w:val="0000FF"/>
                  <w:sz w:val="24"/>
                  <w:szCs w:val="24"/>
                  <w:u w:val="single"/>
                  <w:lang w:val="en-US" w:eastAsia="ru-RU"/>
                </w:rPr>
                <w:t>integraciya</w:t>
              </w:r>
              <w:proofErr w:type="spellEnd"/>
              <w:r w:rsidRPr="00810CA0">
                <w:rPr>
                  <w:rFonts w:ascii="Times New Roman" w:eastAsia="Calibri" w:hAnsi="Times New Roman" w:cs="Times New Roman"/>
                  <w:color w:val="0000FF"/>
                  <w:sz w:val="24"/>
                  <w:szCs w:val="24"/>
                  <w:u w:val="single"/>
                  <w:lang w:eastAsia="ru-RU"/>
                </w:rPr>
                <w:t>-</w:t>
              </w:r>
              <w:proofErr w:type="spellStart"/>
              <w:r w:rsidRPr="00810CA0">
                <w:rPr>
                  <w:rFonts w:ascii="Times New Roman" w:eastAsia="Calibri" w:hAnsi="Times New Roman" w:cs="Times New Roman"/>
                  <w:color w:val="0000FF"/>
                  <w:sz w:val="24"/>
                  <w:szCs w:val="24"/>
                  <w:u w:val="single"/>
                  <w:lang w:val="en-US" w:eastAsia="ru-RU"/>
                </w:rPr>
                <w:t>mezhdunarodnaya</w:t>
              </w:r>
              <w:proofErr w:type="spellEnd"/>
              <w:r w:rsidRPr="00810CA0">
                <w:rPr>
                  <w:rFonts w:ascii="Times New Roman" w:eastAsia="Calibri" w:hAnsi="Times New Roman" w:cs="Times New Roman"/>
                  <w:color w:val="0000FF"/>
                  <w:sz w:val="24"/>
                  <w:szCs w:val="24"/>
                  <w:u w:val="single"/>
                  <w:lang w:eastAsia="ru-RU"/>
                </w:rPr>
                <w:t>-</w:t>
              </w:r>
              <w:proofErr w:type="spellStart"/>
              <w:r w:rsidRPr="00810CA0">
                <w:rPr>
                  <w:rFonts w:ascii="Times New Roman" w:eastAsia="Calibri" w:hAnsi="Times New Roman" w:cs="Times New Roman"/>
                  <w:color w:val="0000FF"/>
                  <w:sz w:val="24"/>
                  <w:szCs w:val="24"/>
                  <w:u w:val="single"/>
                  <w:lang w:val="en-US" w:eastAsia="ru-RU"/>
                </w:rPr>
                <w:t>ekonomicheskaya</w:t>
              </w:r>
              <w:proofErr w:type="spellEnd"/>
              <w:r w:rsidRPr="00810CA0">
                <w:rPr>
                  <w:rFonts w:ascii="Times New Roman" w:eastAsia="Calibri" w:hAnsi="Times New Roman" w:cs="Times New Roman"/>
                  <w:color w:val="0000FF"/>
                  <w:sz w:val="24"/>
                  <w:szCs w:val="24"/>
                  <w:u w:val="single"/>
                  <w:lang w:eastAsia="ru-RU"/>
                </w:rPr>
                <w:t>-</w:t>
              </w:r>
              <w:proofErr w:type="spellStart"/>
              <w:r w:rsidRPr="00810CA0">
                <w:rPr>
                  <w:rFonts w:ascii="Times New Roman" w:eastAsia="Calibri" w:hAnsi="Times New Roman" w:cs="Times New Roman"/>
                  <w:color w:val="0000FF"/>
                  <w:sz w:val="24"/>
                  <w:szCs w:val="24"/>
                  <w:u w:val="single"/>
                  <w:lang w:val="en-US" w:eastAsia="ru-RU"/>
                </w:rPr>
                <w:t>integraciya</w:t>
              </w:r>
              <w:proofErr w:type="spellEnd"/>
              <w:r w:rsidRPr="00810CA0">
                <w:rPr>
                  <w:rFonts w:ascii="Times New Roman" w:eastAsia="Calibri" w:hAnsi="Times New Roman" w:cs="Times New Roman"/>
                  <w:color w:val="0000FF"/>
                  <w:sz w:val="24"/>
                  <w:szCs w:val="24"/>
                  <w:u w:val="single"/>
                  <w:lang w:eastAsia="ru-RU"/>
                </w:rPr>
                <w:t>.</w:t>
              </w:r>
              <w:r w:rsidRPr="00810CA0">
                <w:rPr>
                  <w:rFonts w:ascii="Times New Roman" w:eastAsia="Calibri" w:hAnsi="Times New Roman" w:cs="Times New Roman"/>
                  <w:color w:val="0000FF"/>
                  <w:sz w:val="24"/>
                  <w:szCs w:val="24"/>
                  <w:u w:val="single"/>
                  <w:lang w:val="en-US" w:eastAsia="ru-RU"/>
                </w:rPr>
                <w:t>html</w:t>
              </w:r>
            </w:hyperlink>
          </w:p>
        </w:tc>
      </w:tr>
      <w:tr w:rsidR="00810CA0" w:rsidRPr="00810CA0" w:rsidTr="00272896">
        <w:tc>
          <w:tcPr>
            <w:tcW w:w="426" w:type="dxa"/>
          </w:tcPr>
          <w:p w:rsidR="00810CA0" w:rsidRPr="00810CA0" w:rsidRDefault="00810CA0" w:rsidP="00810CA0">
            <w:pPr>
              <w:numPr>
                <w:ilvl w:val="0"/>
                <w:numId w:val="1"/>
              </w:numPr>
              <w:spacing w:after="0" w:line="240" w:lineRule="auto"/>
              <w:contextualSpacing/>
              <w:jc w:val="both"/>
              <w:rPr>
                <w:rFonts w:ascii="Times New Roman" w:eastAsia="Calibri" w:hAnsi="Times New Roman" w:cs="Times New Roman"/>
                <w:sz w:val="24"/>
                <w:szCs w:val="24"/>
                <w:lang w:eastAsia="ru-RU"/>
              </w:rPr>
            </w:pPr>
          </w:p>
        </w:tc>
        <w:tc>
          <w:tcPr>
            <w:tcW w:w="9213" w:type="dxa"/>
          </w:tcPr>
          <w:p w:rsidR="00810CA0" w:rsidRPr="00810CA0" w:rsidRDefault="00810CA0" w:rsidP="00810CA0">
            <w:pPr>
              <w:pStyle w:val="a4"/>
              <w:numPr>
                <w:ilvl w:val="0"/>
                <w:numId w:val="2"/>
              </w:numPr>
              <w:spacing w:after="0" w:line="240" w:lineRule="auto"/>
              <w:jc w:val="both"/>
              <w:rPr>
                <w:rFonts w:ascii="Times New Roman" w:eastAsia="Calibri" w:hAnsi="Times New Roman" w:cs="Times New Roman"/>
                <w:sz w:val="24"/>
                <w:szCs w:val="24"/>
                <w:lang w:eastAsia="ru-RU"/>
              </w:rPr>
            </w:pPr>
            <w:proofErr w:type="spellStart"/>
            <w:r w:rsidRPr="00810CA0">
              <w:rPr>
                <w:rFonts w:ascii="Times New Roman" w:eastAsia="Times New Roman" w:hAnsi="Times New Roman" w:cs="Times New Roman"/>
                <w:sz w:val="24"/>
                <w:szCs w:val="24"/>
                <w:lang w:eastAsia="ru-RU"/>
              </w:rPr>
              <w:t>Вагапова</w:t>
            </w:r>
            <w:proofErr w:type="spellEnd"/>
            <w:r w:rsidRPr="00810CA0">
              <w:rPr>
                <w:rFonts w:ascii="Times New Roman" w:eastAsia="Times New Roman" w:hAnsi="Times New Roman" w:cs="Times New Roman"/>
                <w:sz w:val="24"/>
                <w:szCs w:val="24"/>
                <w:lang w:eastAsia="ru-RU"/>
              </w:rPr>
              <w:t xml:space="preserve">, Д.Ф. Проблемы и перспективы участия России в региональных интеграционных процессах / Д.Ф. </w:t>
            </w:r>
            <w:proofErr w:type="spellStart"/>
            <w:r w:rsidRPr="00810CA0">
              <w:rPr>
                <w:rFonts w:ascii="Times New Roman" w:eastAsia="Times New Roman" w:hAnsi="Times New Roman" w:cs="Times New Roman"/>
                <w:sz w:val="24"/>
                <w:szCs w:val="24"/>
                <w:lang w:eastAsia="ru-RU"/>
              </w:rPr>
              <w:t>Вагапова</w:t>
            </w:r>
            <w:proofErr w:type="spellEnd"/>
            <w:r w:rsidRPr="00810CA0">
              <w:rPr>
                <w:rFonts w:ascii="Times New Roman" w:eastAsia="Times New Roman" w:hAnsi="Times New Roman" w:cs="Times New Roman"/>
                <w:sz w:val="24"/>
                <w:szCs w:val="24"/>
                <w:lang w:eastAsia="ru-RU"/>
              </w:rPr>
              <w:t xml:space="preserve"> // Актуальные проблемы глобальной экономики : материалы XV научной конференции молодых ученых экономического факультета, 24 апреля 2013 года / Российский ун-т дружбы народов, Экономический фак. ; [отв. ред.: И. Н. Белова]. - </w:t>
            </w:r>
            <w:proofErr w:type="gramStart"/>
            <w:r w:rsidRPr="00810CA0">
              <w:rPr>
                <w:rFonts w:ascii="Times New Roman" w:eastAsia="Times New Roman" w:hAnsi="Times New Roman" w:cs="Times New Roman"/>
                <w:sz w:val="24"/>
                <w:szCs w:val="24"/>
                <w:lang w:eastAsia="ru-RU"/>
              </w:rPr>
              <w:t>Москва :</w:t>
            </w:r>
            <w:proofErr w:type="gramEnd"/>
            <w:r w:rsidRPr="00810CA0">
              <w:rPr>
                <w:rFonts w:ascii="Times New Roman" w:eastAsia="Times New Roman" w:hAnsi="Times New Roman" w:cs="Times New Roman"/>
                <w:sz w:val="24"/>
                <w:szCs w:val="24"/>
                <w:lang w:eastAsia="ru-RU"/>
              </w:rPr>
              <w:t xml:space="preserve"> </w:t>
            </w:r>
            <w:proofErr w:type="spellStart"/>
            <w:r w:rsidRPr="00810CA0">
              <w:rPr>
                <w:rFonts w:ascii="Times New Roman" w:eastAsia="Times New Roman" w:hAnsi="Times New Roman" w:cs="Times New Roman"/>
                <w:sz w:val="24"/>
                <w:szCs w:val="24"/>
                <w:lang w:eastAsia="ru-RU"/>
              </w:rPr>
              <w:t>Экон-информ</w:t>
            </w:r>
            <w:proofErr w:type="spellEnd"/>
            <w:r w:rsidRPr="00810CA0">
              <w:rPr>
                <w:rFonts w:ascii="Times New Roman" w:eastAsia="Times New Roman" w:hAnsi="Times New Roman" w:cs="Times New Roman"/>
                <w:sz w:val="24"/>
                <w:szCs w:val="24"/>
                <w:lang w:eastAsia="ru-RU"/>
              </w:rPr>
              <w:t>, 2013. - 319 с.</w:t>
            </w:r>
          </w:p>
        </w:tc>
      </w:tr>
      <w:tr w:rsidR="00810CA0" w:rsidRPr="00810CA0" w:rsidTr="00272896">
        <w:tc>
          <w:tcPr>
            <w:tcW w:w="426" w:type="dxa"/>
          </w:tcPr>
          <w:p w:rsidR="00810CA0" w:rsidRPr="00810CA0" w:rsidRDefault="00810CA0" w:rsidP="00810CA0">
            <w:pPr>
              <w:numPr>
                <w:ilvl w:val="0"/>
                <w:numId w:val="1"/>
              </w:numPr>
              <w:spacing w:after="0" w:line="240" w:lineRule="auto"/>
              <w:contextualSpacing/>
              <w:jc w:val="both"/>
              <w:rPr>
                <w:rFonts w:ascii="Times New Roman" w:eastAsia="Calibri" w:hAnsi="Times New Roman" w:cs="Times New Roman"/>
                <w:sz w:val="24"/>
                <w:szCs w:val="24"/>
                <w:lang w:eastAsia="ru-RU"/>
              </w:rPr>
            </w:pPr>
          </w:p>
        </w:tc>
        <w:tc>
          <w:tcPr>
            <w:tcW w:w="9213" w:type="dxa"/>
          </w:tcPr>
          <w:p w:rsidR="00810CA0" w:rsidRPr="00810CA0" w:rsidRDefault="00810CA0" w:rsidP="00810CA0">
            <w:pPr>
              <w:pStyle w:val="a4"/>
              <w:numPr>
                <w:ilvl w:val="0"/>
                <w:numId w:val="2"/>
              </w:numPr>
              <w:spacing w:after="0" w:line="240" w:lineRule="auto"/>
              <w:jc w:val="both"/>
              <w:rPr>
                <w:rFonts w:ascii="Times New Roman" w:eastAsia="Calibri" w:hAnsi="Times New Roman" w:cs="Times New Roman"/>
                <w:sz w:val="24"/>
                <w:szCs w:val="24"/>
                <w:lang w:eastAsia="ru-RU"/>
              </w:rPr>
            </w:pPr>
            <w:r w:rsidRPr="00810CA0">
              <w:rPr>
                <w:rFonts w:ascii="Times New Roman" w:eastAsia="Times New Roman" w:hAnsi="Times New Roman" w:cs="Times New Roman"/>
                <w:sz w:val="24"/>
                <w:szCs w:val="24"/>
                <w:lang w:eastAsia="ru-RU"/>
              </w:rPr>
              <w:t xml:space="preserve">Мировой атлас данных. – Режим доступа: </w:t>
            </w:r>
            <w:r w:rsidRPr="00810CA0">
              <w:rPr>
                <w:rFonts w:ascii="Times New Roman" w:eastAsia="Calibri" w:hAnsi="Times New Roman" w:cs="Times New Roman"/>
                <w:color w:val="0000FF"/>
                <w:sz w:val="24"/>
                <w:szCs w:val="24"/>
                <w:u w:val="single"/>
                <w:lang w:val="en-US" w:eastAsia="ru-RU"/>
              </w:rPr>
              <w:t>https</w:t>
            </w:r>
            <w:r w:rsidRPr="00810CA0">
              <w:rPr>
                <w:rFonts w:ascii="Times New Roman" w:eastAsia="Calibri" w:hAnsi="Times New Roman" w:cs="Times New Roman"/>
                <w:color w:val="0000FF"/>
                <w:sz w:val="24"/>
                <w:szCs w:val="24"/>
                <w:u w:val="single"/>
                <w:lang w:eastAsia="ru-RU"/>
              </w:rPr>
              <w:t>://</w:t>
            </w:r>
            <w:proofErr w:type="spellStart"/>
            <w:r w:rsidRPr="00810CA0">
              <w:rPr>
                <w:rFonts w:ascii="Times New Roman" w:eastAsia="Calibri" w:hAnsi="Times New Roman" w:cs="Times New Roman"/>
                <w:color w:val="0000FF"/>
                <w:sz w:val="24"/>
                <w:szCs w:val="24"/>
                <w:u w:val="single"/>
                <w:lang w:val="en-US" w:eastAsia="ru-RU"/>
              </w:rPr>
              <w:t>knoema</w:t>
            </w:r>
            <w:proofErr w:type="spellEnd"/>
            <w:r w:rsidRPr="00810CA0">
              <w:rPr>
                <w:rFonts w:ascii="Times New Roman" w:eastAsia="Calibri" w:hAnsi="Times New Roman" w:cs="Times New Roman"/>
                <w:color w:val="0000FF"/>
                <w:sz w:val="24"/>
                <w:szCs w:val="24"/>
                <w:u w:val="single"/>
                <w:lang w:eastAsia="ru-RU"/>
              </w:rPr>
              <w:t>.</w:t>
            </w:r>
            <w:proofErr w:type="spellStart"/>
            <w:r w:rsidRPr="00810CA0">
              <w:rPr>
                <w:rFonts w:ascii="Times New Roman" w:eastAsia="Calibri" w:hAnsi="Times New Roman" w:cs="Times New Roman"/>
                <w:color w:val="0000FF"/>
                <w:sz w:val="24"/>
                <w:szCs w:val="24"/>
                <w:u w:val="single"/>
                <w:lang w:val="en-US" w:eastAsia="ru-RU"/>
              </w:rPr>
              <w:t>ru</w:t>
            </w:r>
            <w:proofErr w:type="spellEnd"/>
            <w:r w:rsidRPr="00810CA0">
              <w:rPr>
                <w:rFonts w:ascii="Times New Roman" w:eastAsia="Calibri" w:hAnsi="Times New Roman" w:cs="Times New Roman"/>
                <w:color w:val="0000FF"/>
                <w:sz w:val="24"/>
                <w:szCs w:val="24"/>
                <w:u w:val="single"/>
                <w:lang w:eastAsia="ru-RU"/>
              </w:rPr>
              <w:t>/</w:t>
            </w:r>
            <w:r w:rsidRPr="00810CA0">
              <w:rPr>
                <w:rFonts w:ascii="Times New Roman" w:eastAsia="Calibri" w:hAnsi="Times New Roman" w:cs="Times New Roman"/>
                <w:color w:val="0000FF"/>
                <w:sz w:val="24"/>
                <w:szCs w:val="24"/>
                <w:u w:val="single"/>
                <w:lang w:val="en-US" w:eastAsia="ru-RU"/>
              </w:rPr>
              <w:t>atlas</w:t>
            </w:r>
          </w:p>
        </w:tc>
      </w:tr>
      <w:tr w:rsidR="00810CA0" w:rsidRPr="00810CA0" w:rsidTr="00272896">
        <w:tc>
          <w:tcPr>
            <w:tcW w:w="426" w:type="dxa"/>
          </w:tcPr>
          <w:p w:rsidR="00810CA0" w:rsidRPr="00810CA0" w:rsidRDefault="00810CA0" w:rsidP="00810CA0">
            <w:pPr>
              <w:numPr>
                <w:ilvl w:val="0"/>
                <w:numId w:val="1"/>
              </w:numPr>
              <w:spacing w:after="0" w:line="240" w:lineRule="auto"/>
              <w:contextualSpacing/>
              <w:jc w:val="both"/>
              <w:rPr>
                <w:rFonts w:ascii="Times New Roman" w:eastAsia="Calibri" w:hAnsi="Times New Roman" w:cs="Times New Roman"/>
                <w:sz w:val="24"/>
                <w:szCs w:val="24"/>
                <w:lang w:eastAsia="ru-RU"/>
              </w:rPr>
            </w:pPr>
          </w:p>
        </w:tc>
        <w:tc>
          <w:tcPr>
            <w:tcW w:w="9213" w:type="dxa"/>
          </w:tcPr>
          <w:p w:rsidR="00810CA0" w:rsidRPr="00810CA0" w:rsidRDefault="00810CA0" w:rsidP="00810CA0">
            <w:pPr>
              <w:pStyle w:val="a4"/>
              <w:numPr>
                <w:ilvl w:val="0"/>
                <w:numId w:val="2"/>
              </w:numPr>
              <w:spacing w:after="0" w:line="240" w:lineRule="auto"/>
              <w:jc w:val="both"/>
              <w:rPr>
                <w:rFonts w:ascii="Times New Roman" w:eastAsia="Calibri" w:hAnsi="Times New Roman" w:cs="Times New Roman"/>
                <w:sz w:val="24"/>
                <w:szCs w:val="24"/>
                <w:lang w:eastAsia="ru-RU"/>
              </w:rPr>
            </w:pPr>
            <w:r w:rsidRPr="00810CA0">
              <w:rPr>
                <w:rFonts w:ascii="Times New Roman" w:eastAsia="Times New Roman" w:hAnsi="Times New Roman" w:cs="Times New Roman"/>
                <w:sz w:val="24"/>
                <w:szCs w:val="24"/>
                <w:lang w:eastAsia="ru-RU"/>
              </w:rPr>
              <w:t xml:space="preserve">Мовсесян, А.Г. Мировая </w:t>
            </w:r>
            <w:proofErr w:type="gramStart"/>
            <w:r w:rsidRPr="00810CA0">
              <w:rPr>
                <w:rFonts w:ascii="Times New Roman" w:eastAsia="Times New Roman" w:hAnsi="Times New Roman" w:cs="Times New Roman"/>
                <w:sz w:val="24"/>
                <w:szCs w:val="24"/>
                <w:lang w:eastAsia="ru-RU"/>
              </w:rPr>
              <w:t>экономика :</w:t>
            </w:r>
            <w:proofErr w:type="gramEnd"/>
            <w:r w:rsidRPr="00810CA0">
              <w:rPr>
                <w:rFonts w:ascii="Times New Roman" w:eastAsia="Times New Roman" w:hAnsi="Times New Roman" w:cs="Times New Roman"/>
                <w:sz w:val="24"/>
                <w:szCs w:val="24"/>
                <w:lang w:eastAsia="ru-RU"/>
              </w:rPr>
              <w:t xml:space="preserve"> учебник / А.Г. Мовсесян, С.Б. Огнивцев. – М.: Финансы и статистика, 2013. – 345 с.</w:t>
            </w:r>
          </w:p>
        </w:tc>
      </w:tr>
    </w:tbl>
    <w:p w:rsidR="00810CA0" w:rsidRPr="00810CA0" w:rsidRDefault="00810CA0" w:rsidP="00810CA0">
      <w:pPr>
        <w:tabs>
          <w:tab w:val="left" w:pos="993"/>
          <w:tab w:val="left" w:pos="1843"/>
        </w:tabs>
        <w:spacing w:after="0" w:line="240" w:lineRule="auto"/>
        <w:ind w:left="709" w:right="-1" w:firstLine="709"/>
        <w:contextualSpacing/>
        <w:jc w:val="both"/>
        <w:rPr>
          <w:rFonts w:ascii="Times New Roman" w:eastAsia="Calibri" w:hAnsi="Times New Roman" w:cs="Times New Roman"/>
          <w:sz w:val="28"/>
          <w:szCs w:val="28"/>
        </w:rPr>
      </w:pPr>
    </w:p>
    <w:p w:rsidR="00810CA0" w:rsidRPr="00810CA0" w:rsidRDefault="00810CA0" w:rsidP="00810CA0">
      <w:pPr>
        <w:spacing w:after="0" w:line="240" w:lineRule="auto"/>
        <w:ind w:firstLine="709"/>
        <w:jc w:val="center"/>
        <w:rPr>
          <w:rFonts w:ascii="Times New Roman" w:eastAsia="Times New Roman" w:hAnsi="Times New Roman" w:cs="Times New Roman"/>
          <w:b/>
          <w:sz w:val="28"/>
          <w:szCs w:val="24"/>
          <w:shd w:val="clear" w:color="auto" w:fill="FFFFFF"/>
          <w:lang w:eastAsia="ru-RU"/>
        </w:rPr>
      </w:pPr>
      <w:bookmarkStart w:id="3" w:name="_GoBack"/>
      <w:bookmarkEnd w:id="3"/>
    </w:p>
    <w:p w:rsidR="00ED3564" w:rsidRDefault="00ED3564"/>
    <w:sectPr w:rsidR="00ED3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7293D"/>
    <w:multiLevelType w:val="hybridMultilevel"/>
    <w:tmpl w:val="A4340EB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7B2570"/>
    <w:multiLevelType w:val="hybridMultilevel"/>
    <w:tmpl w:val="CF5ED5C4"/>
    <w:lvl w:ilvl="0" w:tplc="E74A98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CA0"/>
    <w:rsid w:val="00810CA0"/>
    <w:rsid w:val="00ED3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2D934-A0F1-4A00-8E37-8CA50ABC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0CA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810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sinessman.ru/new-chto-takoe-integraciya-mezhdunarodnaya-ekonomicheskaya-integraciy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lenovo\Desktop\&#1069;&#1082;&#1086;&#1085;&#1086;&#1084;&#1080;&#1082;&#1072;\&#1050;&#1086;&#1085;&#1092;&#1077;&#1088;&#1077;&#1085;&#1094;&#1080;&#1103;%20&#1087;&#1086;%20&#1101;&#1082;&#1086;&#1085;&#1086;&#1084;&#1080;&#1082;&#1077;\&#1055;&#1086;&#1089;&#1090;&#1088;&#1086;&#1077;&#1085;&#1080;&#1077;%20&#1075;&#1088;&#1072;&#1092;&#1080;&#1082;&#1086;&#107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lenovo\Desktop\&#1050;&#1086;&#1085;&#1092;&#1077;&#1088;&#1077;&#1085;&#1094;&#1080;&#1103;%20&#1087;&#1086;%20&#1101;&#1082;&#1086;&#1085;&#1086;&#1084;&#1080;&#1082;&#1077;\&#1055;&#1086;&#1089;&#1090;&#1088;&#1086;&#1077;&#1085;&#1080;&#1077;%20&#1075;&#1088;&#1072;&#1092;&#1080;&#1082;&#1086;&#1074;.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Лист1!$B$1</c:f>
              <c:strCache>
                <c:ptCount val="1"/>
                <c:pt idx="0">
                  <c:v>Китай</c:v>
                </c:pt>
              </c:strCache>
            </c:strRef>
          </c:tx>
          <c:spPr>
            <a:ln>
              <a:solidFill>
                <a:sysClr val="windowText" lastClr="000000"/>
              </a:solidFill>
            </a:ln>
          </c:spPr>
          <c:marker>
            <c:spPr>
              <a:solidFill>
                <a:schemeClr val="tx1"/>
              </a:solidFill>
              <a:ln>
                <a:solidFill>
                  <a:sysClr val="windowText" lastClr="000000"/>
                </a:solidFill>
              </a:ln>
            </c:spPr>
          </c:marker>
          <c:xVal>
            <c:numRef>
              <c:f>Лист1!$A$2:$A$12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xVal>
          <c:yVal>
            <c:numRef>
              <c:f>Лист1!$B$2:$B$12</c:f>
              <c:numCache>
                <c:formatCode>General</c:formatCode>
                <c:ptCount val="11"/>
                <c:pt idx="0">
                  <c:v>14.2</c:v>
                </c:pt>
                <c:pt idx="1">
                  <c:v>9.6</c:v>
                </c:pt>
                <c:pt idx="2">
                  <c:v>9.2000000000000011</c:v>
                </c:pt>
                <c:pt idx="3">
                  <c:v>10.4</c:v>
                </c:pt>
                <c:pt idx="4">
                  <c:v>9.3000000000000007</c:v>
                </c:pt>
                <c:pt idx="5">
                  <c:v>7.7</c:v>
                </c:pt>
                <c:pt idx="6">
                  <c:v>7.7</c:v>
                </c:pt>
                <c:pt idx="7">
                  <c:v>7.3</c:v>
                </c:pt>
                <c:pt idx="8">
                  <c:v>6.9</c:v>
                </c:pt>
                <c:pt idx="9">
                  <c:v>6.6</c:v>
                </c:pt>
                <c:pt idx="10">
                  <c:v>6.9</c:v>
                </c:pt>
              </c:numCache>
            </c:numRef>
          </c:yVal>
          <c:smooth val="1"/>
          <c:extLst>
            <c:ext xmlns:c16="http://schemas.microsoft.com/office/drawing/2014/chart" uri="{C3380CC4-5D6E-409C-BE32-E72D297353CC}">
              <c16:uniqueId val="{00000000-AF11-4D40-A77A-3BDE5C1F3DE6}"/>
            </c:ext>
          </c:extLst>
        </c:ser>
        <c:ser>
          <c:idx val="1"/>
          <c:order val="1"/>
          <c:tx>
            <c:strRef>
              <c:f>Лист1!$C$1</c:f>
              <c:strCache>
                <c:ptCount val="1"/>
                <c:pt idx="0">
                  <c:v>Россия </c:v>
                </c:pt>
              </c:strCache>
            </c:strRef>
          </c:tx>
          <c:spPr>
            <a:ln>
              <a:solidFill>
                <a:sysClr val="windowText" lastClr="000000"/>
              </a:solidFill>
            </a:ln>
          </c:spPr>
          <c:marker>
            <c:spPr>
              <a:solidFill>
                <a:schemeClr val="tx1"/>
              </a:solidFill>
              <a:ln>
                <a:solidFill>
                  <a:sysClr val="windowText" lastClr="000000"/>
                </a:solidFill>
              </a:ln>
            </c:spPr>
          </c:marker>
          <c:xVal>
            <c:numRef>
              <c:f>Лист1!$A$2:$A$12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xVal>
          <c:yVal>
            <c:numRef>
              <c:f>Лист1!$C$2:$C$12</c:f>
              <c:numCache>
                <c:formatCode>General</c:formatCode>
                <c:ptCount val="11"/>
                <c:pt idx="0">
                  <c:v>8.5</c:v>
                </c:pt>
                <c:pt idx="1">
                  <c:v>5.2</c:v>
                </c:pt>
                <c:pt idx="2">
                  <c:v>-7.8</c:v>
                </c:pt>
                <c:pt idx="3">
                  <c:v>4.3</c:v>
                </c:pt>
                <c:pt idx="4">
                  <c:v>4.3</c:v>
                </c:pt>
                <c:pt idx="5">
                  <c:v>3.4</c:v>
                </c:pt>
                <c:pt idx="6">
                  <c:v>1.3</c:v>
                </c:pt>
                <c:pt idx="7">
                  <c:v>0.70000000000000062</c:v>
                </c:pt>
                <c:pt idx="8">
                  <c:v>-3.7</c:v>
                </c:pt>
                <c:pt idx="9">
                  <c:v>-0.8</c:v>
                </c:pt>
                <c:pt idx="10">
                  <c:v>1.5</c:v>
                </c:pt>
              </c:numCache>
            </c:numRef>
          </c:yVal>
          <c:smooth val="1"/>
          <c:extLst>
            <c:ext xmlns:c16="http://schemas.microsoft.com/office/drawing/2014/chart" uri="{C3380CC4-5D6E-409C-BE32-E72D297353CC}">
              <c16:uniqueId val="{00000001-AF11-4D40-A77A-3BDE5C1F3DE6}"/>
            </c:ext>
          </c:extLst>
        </c:ser>
        <c:ser>
          <c:idx val="2"/>
          <c:order val="2"/>
          <c:tx>
            <c:strRef>
              <c:f>Лист1!$D$1</c:f>
              <c:strCache>
                <c:ptCount val="1"/>
                <c:pt idx="0">
                  <c:v>ЮАР</c:v>
                </c:pt>
              </c:strCache>
            </c:strRef>
          </c:tx>
          <c:spPr>
            <a:ln>
              <a:solidFill>
                <a:sysClr val="windowText" lastClr="000000"/>
              </a:solidFill>
            </a:ln>
          </c:spPr>
          <c:marker>
            <c:spPr>
              <a:solidFill>
                <a:schemeClr val="tx1"/>
              </a:solidFill>
              <a:ln>
                <a:solidFill>
                  <a:sysClr val="windowText" lastClr="000000"/>
                </a:solidFill>
              </a:ln>
            </c:spPr>
          </c:marker>
          <c:xVal>
            <c:numRef>
              <c:f>Лист1!$A$2:$A$12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xVal>
          <c:yVal>
            <c:numRef>
              <c:f>Лист1!$D$2:$D$12</c:f>
              <c:numCache>
                <c:formatCode>General</c:formatCode>
                <c:ptCount val="11"/>
                <c:pt idx="0">
                  <c:v>5.6</c:v>
                </c:pt>
                <c:pt idx="1">
                  <c:v>3.6</c:v>
                </c:pt>
                <c:pt idx="2">
                  <c:v>-1.7000000000000002</c:v>
                </c:pt>
                <c:pt idx="3">
                  <c:v>2.9</c:v>
                </c:pt>
                <c:pt idx="4">
                  <c:v>3.5</c:v>
                </c:pt>
                <c:pt idx="5">
                  <c:v>2.5</c:v>
                </c:pt>
                <c:pt idx="6">
                  <c:v>2.2000000000000002</c:v>
                </c:pt>
                <c:pt idx="7">
                  <c:v>1.6</c:v>
                </c:pt>
                <c:pt idx="8">
                  <c:v>0.30000000000000032</c:v>
                </c:pt>
                <c:pt idx="9">
                  <c:v>0.1</c:v>
                </c:pt>
                <c:pt idx="10">
                  <c:v>1.3</c:v>
                </c:pt>
              </c:numCache>
            </c:numRef>
          </c:yVal>
          <c:smooth val="1"/>
          <c:extLst>
            <c:ext xmlns:c16="http://schemas.microsoft.com/office/drawing/2014/chart" uri="{C3380CC4-5D6E-409C-BE32-E72D297353CC}">
              <c16:uniqueId val="{00000002-AF11-4D40-A77A-3BDE5C1F3DE6}"/>
            </c:ext>
          </c:extLst>
        </c:ser>
        <c:ser>
          <c:idx val="3"/>
          <c:order val="3"/>
          <c:tx>
            <c:strRef>
              <c:f>Лист1!$E$1</c:f>
              <c:strCache>
                <c:ptCount val="1"/>
                <c:pt idx="0">
                  <c:v>Бразилия</c:v>
                </c:pt>
              </c:strCache>
            </c:strRef>
          </c:tx>
          <c:spPr>
            <a:ln>
              <a:solidFill>
                <a:sysClr val="windowText" lastClr="000000"/>
              </a:solidFill>
            </a:ln>
          </c:spPr>
          <c:marker>
            <c:spPr>
              <a:solidFill>
                <a:schemeClr val="tx1"/>
              </a:solidFill>
              <a:ln>
                <a:solidFill>
                  <a:sysClr val="windowText" lastClr="000000"/>
                </a:solidFill>
              </a:ln>
            </c:spPr>
          </c:marker>
          <c:xVal>
            <c:numRef>
              <c:f>Лист1!$A$2:$A$12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xVal>
          <c:yVal>
            <c:numRef>
              <c:f>Лист1!$E$2:$E$12</c:f>
              <c:numCache>
                <c:formatCode>General</c:formatCode>
                <c:ptCount val="11"/>
                <c:pt idx="0">
                  <c:v>6.1</c:v>
                </c:pt>
                <c:pt idx="1">
                  <c:v>5.2</c:v>
                </c:pt>
                <c:pt idx="2">
                  <c:v>-0.60000000000000064</c:v>
                </c:pt>
                <c:pt idx="3">
                  <c:v>7.5</c:v>
                </c:pt>
                <c:pt idx="4">
                  <c:v>2.7</c:v>
                </c:pt>
                <c:pt idx="5">
                  <c:v>1</c:v>
                </c:pt>
                <c:pt idx="6">
                  <c:v>2.7</c:v>
                </c:pt>
                <c:pt idx="7">
                  <c:v>0.1</c:v>
                </c:pt>
                <c:pt idx="8">
                  <c:v>-3.8</c:v>
                </c:pt>
                <c:pt idx="9">
                  <c:v>-3.3</c:v>
                </c:pt>
                <c:pt idx="10">
                  <c:v>0.70000000000000062</c:v>
                </c:pt>
              </c:numCache>
            </c:numRef>
          </c:yVal>
          <c:smooth val="1"/>
          <c:extLst>
            <c:ext xmlns:c16="http://schemas.microsoft.com/office/drawing/2014/chart" uri="{C3380CC4-5D6E-409C-BE32-E72D297353CC}">
              <c16:uniqueId val="{00000003-AF11-4D40-A77A-3BDE5C1F3DE6}"/>
            </c:ext>
          </c:extLst>
        </c:ser>
        <c:ser>
          <c:idx val="4"/>
          <c:order val="4"/>
          <c:tx>
            <c:strRef>
              <c:f>Лист1!$F$1</c:f>
              <c:strCache>
                <c:ptCount val="1"/>
                <c:pt idx="0">
                  <c:v>Индия</c:v>
                </c:pt>
              </c:strCache>
            </c:strRef>
          </c:tx>
          <c:spPr>
            <a:ln>
              <a:solidFill>
                <a:schemeClr val="tx1"/>
              </a:solidFill>
            </a:ln>
          </c:spPr>
          <c:marker>
            <c:spPr>
              <a:ln>
                <a:solidFill>
                  <a:schemeClr val="tx1"/>
                </a:solidFill>
              </a:ln>
            </c:spPr>
          </c:marker>
          <c:xVal>
            <c:numRef>
              <c:f>Лист1!$A$2:$A$12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xVal>
          <c:yVal>
            <c:numRef>
              <c:f>Лист1!$F$2:$F$12</c:f>
              <c:numCache>
                <c:formatCode>General</c:formatCode>
                <c:ptCount val="11"/>
                <c:pt idx="0">
                  <c:v>10</c:v>
                </c:pt>
                <c:pt idx="1">
                  <c:v>6.2</c:v>
                </c:pt>
                <c:pt idx="2">
                  <c:v>6.8</c:v>
                </c:pt>
                <c:pt idx="3">
                  <c:v>10.1</c:v>
                </c:pt>
                <c:pt idx="4">
                  <c:v>6.3</c:v>
                </c:pt>
                <c:pt idx="5">
                  <c:v>4.7</c:v>
                </c:pt>
                <c:pt idx="6">
                  <c:v>6.9</c:v>
                </c:pt>
                <c:pt idx="7">
                  <c:v>7.2</c:v>
                </c:pt>
                <c:pt idx="8">
                  <c:v>7.6</c:v>
                </c:pt>
                <c:pt idx="9">
                  <c:v>7.6</c:v>
                </c:pt>
                <c:pt idx="10">
                  <c:v>5.7</c:v>
                </c:pt>
              </c:numCache>
            </c:numRef>
          </c:yVal>
          <c:smooth val="1"/>
          <c:extLst>
            <c:ext xmlns:c16="http://schemas.microsoft.com/office/drawing/2014/chart" uri="{C3380CC4-5D6E-409C-BE32-E72D297353CC}">
              <c16:uniqueId val="{00000004-AF11-4D40-A77A-3BDE5C1F3DE6}"/>
            </c:ext>
          </c:extLst>
        </c:ser>
        <c:dLbls>
          <c:showLegendKey val="0"/>
          <c:showVal val="0"/>
          <c:showCatName val="0"/>
          <c:showSerName val="0"/>
          <c:showPercent val="0"/>
          <c:showBubbleSize val="0"/>
        </c:dLbls>
        <c:axId val="391637632"/>
        <c:axId val="398390016"/>
      </c:scatterChart>
      <c:valAx>
        <c:axId val="391637632"/>
        <c:scaling>
          <c:orientation val="minMax"/>
        </c:scaling>
        <c:delete val="0"/>
        <c:axPos val="b"/>
        <c:numFmt formatCode="General" sourceLinked="1"/>
        <c:majorTickMark val="out"/>
        <c:minorTickMark val="none"/>
        <c:tickLblPos val="nextTo"/>
        <c:crossAx val="398390016"/>
        <c:crosses val="autoZero"/>
        <c:crossBetween val="midCat"/>
      </c:valAx>
      <c:valAx>
        <c:axId val="398390016"/>
        <c:scaling>
          <c:orientation val="minMax"/>
        </c:scaling>
        <c:delete val="0"/>
        <c:axPos val="l"/>
        <c:majorGridlines/>
        <c:numFmt formatCode="General" sourceLinked="1"/>
        <c:majorTickMark val="out"/>
        <c:minorTickMark val="none"/>
        <c:tickLblPos val="nextTo"/>
        <c:crossAx val="391637632"/>
        <c:crosses val="autoZero"/>
        <c:crossBetween val="midCat"/>
      </c:valAx>
    </c:plotArea>
    <c:legend>
      <c:legendPos val="r"/>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Лист1!$H$1</c:f>
              <c:strCache>
                <c:ptCount val="1"/>
                <c:pt idx="0">
                  <c:v>БРИКС</c:v>
                </c:pt>
              </c:strCache>
            </c:strRef>
          </c:tx>
          <c:spPr>
            <a:ln>
              <a:solidFill>
                <a:schemeClr val="tx1"/>
              </a:solidFill>
            </a:ln>
          </c:spPr>
          <c:marker>
            <c:spPr>
              <a:solidFill>
                <a:schemeClr val="tx1"/>
              </a:solidFill>
              <a:ln>
                <a:solidFill>
                  <a:schemeClr val="tx1"/>
                </a:solidFill>
              </a:ln>
            </c:spPr>
          </c:marker>
          <c:xVal>
            <c:numRef>
              <c:f>Лист1!$A$2:$A$12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xVal>
          <c:yVal>
            <c:numRef>
              <c:f>Лист1!$H$2:$H$12</c:f>
              <c:numCache>
                <c:formatCode>General</c:formatCode>
                <c:ptCount val="11"/>
                <c:pt idx="0">
                  <c:v>8.8800000000000026</c:v>
                </c:pt>
                <c:pt idx="1">
                  <c:v>5.96</c:v>
                </c:pt>
                <c:pt idx="2">
                  <c:v>1.1800000000000022</c:v>
                </c:pt>
                <c:pt idx="3">
                  <c:v>7.0399999999999991</c:v>
                </c:pt>
                <c:pt idx="4">
                  <c:v>5.2200000000000006</c:v>
                </c:pt>
                <c:pt idx="5">
                  <c:v>3.8600000000000003</c:v>
                </c:pt>
                <c:pt idx="6">
                  <c:v>4.1599999999999975</c:v>
                </c:pt>
                <c:pt idx="7">
                  <c:v>3.38</c:v>
                </c:pt>
                <c:pt idx="8">
                  <c:v>1.46</c:v>
                </c:pt>
                <c:pt idx="9">
                  <c:v>2.04</c:v>
                </c:pt>
                <c:pt idx="10">
                  <c:v>3.22</c:v>
                </c:pt>
              </c:numCache>
            </c:numRef>
          </c:yVal>
          <c:smooth val="1"/>
          <c:extLst>
            <c:ext xmlns:c16="http://schemas.microsoft.com/office/drawing/2014/chart" uri="{C3380CC4-5D6E-409C-BE32-E72D297353CC}">
              <c16:uniqueId val="{00000000-73C9-494C-BD6C-1E9B3A259DB3}"/>
            </c:ext>
          </c:extLst>
        </c:ser>
        <c:ser>
          <c:idx val="1"/>
          <c:order val="1"/>
          <c:tx>
            <c:strRef>
              <c:f>Лист1!$I$1</c:f>
              <c:strCache>
                <c:ptCount val="1"/>
                <c:pt idx="0">
                  <c:v>ЕС</c:v>
                </c:pt>
              </c:strCache>
            </c:strRef>
          </c:tx>
          <c:spPr>
            <a:ln>
              <a:solidFill>
                <a:schemeClr val="tx1"/>
              </a:solidFill>
            </a:ln>
          </c:spPr>
          <c:marker>
            <c:spPr>
              <a:solidFill>
                <a:schemeClr val="tx1"/>
              </a:solidFill>
              <a:ln>
                <a:solidFill>
                  <a:schemeClr val="tx1"/>
                </a:solidFill>
              </a:ln>
            </c:spPr>
          </c:marker>
          <c:xVal>
            <c:numRef>
              <c:f>Лист1!$A$2:$A$12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xVal>
          <c:yVal>
            <c:numRef>
              <c:f>Лист1!$I$2:$I$12</c:f>
              <c:numCache>
                <c:formatCode>General</c:formatCode>
                <c:ptCount val="11"/>
                <c:pt idx="0">
                  <c:v>3</c:v>
                </c:pt>
                <c:pt idx="1">
                  <c:v>0.8</c:v>
                </c:pt>
                <c:pt idx="2">
                  <c:v>-4.0999999999999996</c:v>
                </c:pt>
                <c:pt idx="3">
                  <c:v>2.1</c:v>
                </c:pt>
                <c:pt idx="4">
                  <c:v>1.7</c:v>
                </c:pt>
                <c:pt idx="5">
                  <c:v>-0.30000000000000032</c:v>
                </c:pt>
                <c:pt idx="6">
                  <c:v>0.2</c:v>
                </c:pt>
                <c:pt idx="7">
                  <c:v>1.6</c:v>
                </c:pt>
                <c:pt idx="8">
                  <c:v>2.2999999999999998</c:v>
                </c:pt>
                <c:pt idx="9">
                  <c:v>1.9000000000000001</c:v>
                </c:pt>
                <c:pt idx="10">
                  <c:v>2.2000000000000002</c:v>
                </c:pt>
              </c:numCache>
            </c:numRef>
          </c:yVal>
          <c:smooth val="1"/>
          <c:extLst>
            <c:ext xmlns:c16="http://schemas.microsoft.com/office/drawing/2014/chart" uri="{C3380CC4-5D6E-409C-BE32-E72D297353CC}">
              <c16:uniqueId val="{00000001-73C9-494C-BD6C-1E9B3A259DB3}"/>
            </c:ext>
          </c:extLst>
        </c:ser>
        <c:dLbls>
          <c:showLegendKey val="0"/>
          <c:showVal val="0"/>
          <c:showCatName val="0"/>
          <c:showSerName val="0"/>
          <c:showPercent val="0"/>
          <c:showBubbleSize val="0"/>
        </c:dLbls>
        <c:axId val="417366784"/>
        <c:axId val="417368704"/>
      </c:scatterChart>
      <c:valAx>
        <c:axId val="417366784"/>
        <c:scaling>
          <c:orientation val="minMax"/>
        </c:scaling>
        <c:delete val="0"/>
        <c:axPos val="b"/>
        <c:numFmt formatCode="General" sourceLinked="1"/>
        <c:majorTickMark val="out"/>
        <c:minorTickMark val="none"/>
        <c:tickLblPos val="nextTo"/>
        <c:crossAx val="417368704"/>
        <c:crosses val="autoZero"/>
        <c:crossBetween val="midCat"/>
      </c:valAx>
      <c:valAx>
        <c:axId val="417368704"/>
        <c:scaling>
          <c:orientation val="minMax"/>
        </c:scaling>
        <c:delete val="0"/>
        <c:axPos val="l"/>
        <c:majorGridlines/>
        <c:numFmt formatCode="General" sourceLinked="1"/>
        <c:majorTickMark val="out"/>
        <c:minorTickMark val="none"/>
        <c:tickLblPos val="nextTo"/>
        <c:crossAx val="417366784"/>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6</Pages>
  <Words>2041</Words>
  <Characters>11640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2018-09-22T10:21:00Z</dcterms:created>
  <dcterms:modified xsi:type="dcterms:W3CDTF">2018-09-22T10:23:00Z</dcterms:modified>
</cp:coreProperties>
</file>