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F6" w:rsidRPr="00A504F6" w:rsidRDefault="00A504F6" w:rsidP="00A504F6">
      <w:pPr>
        <w:autoSpaceDE w:val="0"/>
        <w:autoSpaceDN w:val="0"/>
        <w:adjustRightInd w:val="0"/>
        <w:spacing w:after="0" w:line="240" w:lineRule="auto"/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</w:pPr>
      <w:proofErr w:type="spellStart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>Шелегеда</w:t>
      </w:r>
      <w:proofErr w:type="spellEnd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 xml:space="preserve"> Б.Г., </w:t>
      </w:r>
      <w:proofErr w:type="spellStart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>Шарнопольская</w:t>
      </w:r>
      <w:proofErr w:type="spellEnd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 xml:space="preserve"> О.Н., </w:t>
      </w:r>
      <w:proofErr w:type="spellStart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>Руссиян</w:t>
      </w:r>
      <w:proofErr w:type="spellEnd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 xml:space="preserve"> С.А., Погоржельская Н.В.,</w:t>
      </w:r>
    </w:p>
    <w:p w:rsidR="00A504F6" w:rsidRPr="00A504F6" w:rsidRDefault="00A504F6" w:rsidP="00A504F6">
      <w:pPr>
        <w:autoSpaceDE w:val="0"/>
        <w:autoSpaceDN w:val="0"/>
        <w:adjustRightInd w:val="0"/>
        <w:spacing w:after="0" w:line="240" w:lineRule="auto"/>
        <w:rPr>
          <w:rFonts w:ascii="TimesTenCyr-Upright" w:hAnsi="TimesTenCyr-Upright" w:cs="TimesTenCyr-Upright"/>
          <w:sz w:val="20"/>
          <w:szCs w:val="20"/>
          <w:highlight w:val="green"/>
        </w:rPr>
      </w:pPr>
      <w:proofErr w:type="spellStart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>Логачева</w:t>
      </w:r>
      <w:proofErr w:type="spellEnd"/>
      <w:r w:rsidRPr="00A504F6">
        <w:rPr>
          <w:rFonts w:ascii="TimesTenCyr-Inclined" w:hAnsi="TimesTenCyr-Inclined" w:cs="TimesTenCyr-Inclined"/>
          <w:i/>
          <w:iCs/>
          <w:sz w:val="20"/>
          <w:szCs w:val="20"/>
          <w:highlight w:val="green"/>
        </w:rPr>
        <w:t xml:space="preserve"> О.М</w:t>
      </w:r>
      <w:r w:rsidRPr="00A504F6">
        <w:rPr>
          <w:rFonts w:ascii="TimesTenCyr-Upright" w:hAnsi="TimesTenCyr-Upright" w:cs="TimesTenCyr-Upright"/>
          <w:sz w:val="20"/>
          <w:szCs w:val="20"/>
          <w:highlight w:val="green"/>
        </w:rPr>
        <w:t>. Особенности методики расчета интегральной оценки</w:t>
      </w:r>
    </w:p>
    <w:p w:rsidR="00A504F6" w:rsidRDefault="00A504F6" w:rsidP="00A504F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04F6">
        <w:rPr>
          <w:rFonts w:ascii="TimesTenCyr-Upright" w:hAnsi="TimesTenCyr-Upright" w:cs="TimesTenCyr-Upright"/>
          <w:sz w:val="20"/>
          <w:szCs w:val="20"/>
          <w:highlight w:val="green"/>
        </w:rPr>
        <w:t>технологических укладов на предприятиях угольной промышленности</w:t>
      </w:r>
      <w:r w:rsidRPr="00A504F6">
        <w:rPr>
          <w:rFonts w:ascii="TimesTenCyr-Upright" w:hAnsi="TimesTenCyr-Upright" w:cs="TimesTenCyr-Upright"/>
          <w:sz w:val="20"/>
          <w:szCs w:val="20"/>
          <w:highlight w:val="green"/>
        </w:rPr>
        <w:t xml:space="preserve">. </w:t>
      </w:r>
      <w:r w:rsidRPr="00A504F6">
        <w:rPr>
          <w:rFonts w:ascii="Times New Roman" w:hAnsi="Times New Roman" w:cs="Times New Roman"/>
          <w:bCs/>
          <w:sz w:val="24"/>
          <w:szCs w:val="24"/>
          <w:highlight w:val="green"/>
        </w:rPr>
        <w:t>Научный журнал «Вестник НГУЭУ»</w:t>
      </w:r>
      <w:r w:rsidRPr="00A504F6">
        <w:rPr>
          <w:rFonts w:ascii="Times New Roman" w:hAnsi="Times New Roman" w:cs="Times New Roman"/>
          <w:sz w:val="24"/>
          <w:szCs w:val="24"/>
          <w:highlight w:val="green"/>
        </w:rPr>
        <w:t xml:space="preserve"> 2017. № 2. </w:t>
      </w:r>
      <w:r w:rsidRPr="00A504F6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 С.221-235</w:t>
      </w:r>
    </w:p>
    <w:p w:rsidR="00A504F6" w:rsidRDefault="00A504F6" w:rsidP="00A504F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504F6" w:rsidRDefault="00A504F6" w:rsidP="00A504F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04F6" w:rsidRDefault="00A504F6" w:rsidP="00A504F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A96" w:rsidRPr="00C830C0" w:rsidRDefault="00A61A96" w:rsidP="00A031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0">
        <w:rPr>
          <w:rFonts w:ascii="Times New Roman" w:hAnsi="Times New Roman" w:cs="Times New Roman"/>
          <w:sz w:val="24"/>
          <w:szCs w:val="24"/>
        </w:rPr>
        <w:t>УДК</w:t>
      </w:r>
      <w:r w:rsidR="008A28D0" w:rsidRPr="00C830C0">
        <w:rPr>
          <w:rFonts w:ascii="Times New Roman" w:hAnsi="Times New Roman" w:cs="Times New Roman"/>
          <w:sz w:val="24"/>
          <w:szCs w:val="24"/>
        </w:rPr>
        <w:t xml:space="preserve"> 330.4:622.22.003.1</w:t>
      </w:r>
    </w:p>
    <w:p w:rsidR="005B6340" w:rsidRPr="00AE16F4" w:rsidRDefault="005B6340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F4">
        <w:rPr>
          <w:rFonts w:ascii="Times New Roman" w:hAnsi="Times New Roman" w:cs="Times New Roman"/>
          <w:b/>
          <w:sz w:val="24"/>
          <w:szCs w:val="24"/>
        </w:rPr>
        <w:t xml:space="preserve">ОСОБЕННОСТИ МЕТОДИКИ РАСЧЁТА ИНТЕГРАЛЬНОЙ ОЦЕНКИ ТЕХНОЛОГИЧЕСКИХ УКЛАДОВ </w:t>
      </w:r>
      <w:r w:rsidR="006E05CA" w:rsidRPr="00AE16F4">
        <w:rPr>
          <w:rFonts w:ascii="Times New Roman" w:hAnsi="Times New Roman" w:cs="Times New Roman"/>
          <w:b/>
          <w:sz w:val="24"/>
          <w:szCs w:val="24"/>
        </w:rPr>
        <w:t xml:space="preserve">НА ПРЕДПРИЯТИЯХ  </w:t>
      </w:r>
      <w:r w:rsidRPr="00AE16F4">
        <w:rPr>
          <w:rFonts w:ascii="Times New Roman" w:hAnsi="Times New Roman" w:cs="Times New Roman"/>
          <w:b/>
          <w:sz w:val="24"/>
          <w:szCs w:val="24"/>
        </w:rPr>
        <w:t>УГОЛЬНОЙ ПРОМЫШЛЕННОСТИ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0">
        <w:rPr>
          <w:rFonts w:ascii="Times New Roman" w:hAnsi="Times New Roman" w:cs="Times New Roman"/>
          <w:b/>
          <w:sz w:val="24"/>
          <w:szCs w:val="24"/>
        </w:rPr>
        <w:t>Б.Г. Шелегеда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30C0">
        <w:rPr>
          <w:rFonts w:ascii="Times New Roman" w:hAnsi="Times New Roman" w:cs="Times New Roman"/>
          <w:sz w:val="24"/>
          <w:szCs w:val="24"/>
        </w:rPr>
        <w:t>ГОУВПО «Донецкий национальный технический университет»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30C0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8A28D0" w:rsidRPr="00C83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8A28D0" w:rsidRPr="00C830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shelegeda.bg@gmail.com</w:t>
        </w:r>
      </w:hyperlink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0">
        <w:rPr>
          <w:rFonts w:ascii="Times New Roman" w:hAnsi="Times New Roman" w:cs="Times New Roman"/>
          <w:b/>
          <w:sz w:val="24"/>
          <w:szCs w:val="24"/>
        </w:rPr>
        <w:t>О.Н. Шарнопольская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30C0">
        <w:rPr>
          <w:rFonts w:ascii="Times New Roman" w:hAnsi="Times New Roman" w:cs="Times New Roman"/>
          <w:sz w:val="24"/>
          <w:szCs w:val="24"/>
        </w:rPr>
        <w:t>ГОУВПО «Донецкий национальный технический университет»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30C0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8A28D0" w:rsidRPr="00C83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8A28D0" w:rsidRPr="00C830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o.sharnopolskaya@mail.ru</w:t>
        </w:r>
      </w:hyperlink>
      <w:r w:rsidR="008A28D0" w:rsidRPr="00C83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0"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 w:rsidRPr="00C830C0">
        <w:rPr>
          <w:rFonts w:ascii="Times New Roman" w:hAnsi="Times New Roman" w:cs="Times New Roman"/>
          <w:b/>
          <w:sz w:val="24"/>
          <w:szCs w:val="24"/>
        </w:rPr>
        <w:t>Руссиян</w:t>
      </w:r>
      <w:proofErr w:type="spellEnd"/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30C0">
        <w:rPr>
          <w:rFonts w:ascii="Times New Roman" w:hAnsi="Times New Roman" w:cs="Times New Roman"/>
          <w:sz w:val="24"/>
          <w:szCs w:val="24"/>
        </w:rPr>
        <w:t>ГОУВПО «Донецкий национальный технический университет»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30C0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8A28D0" w:rsidRPr="00C83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="008A28D0" w:rsidRPr="00C830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st_russ@mail.ru</w:t>
        </w:r>
      </w:hyperlink>
      <w:r w:rsidR="008A28D0" w:rsidRPr="00C83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28D0" w:rsidRPr="00C830C0" w:rsidRDefault="00F15C01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0">
        <w:rPr>
          <w:rFonts w:ascii="Times New Roman" w:hAnsi="Times New Roman" w:cs="Times New Roman"/>
          <w:b/>
          <w:sz w:val="24"/>
          <w:szCs w:val="24"/>
        </w:rPr>
        <w:t xml:space="preserve">О.М. </w:t>
      </w:r>
      <w:proofErr w:type="spellStart"/>
      <w:r w:rsidRPr="00C830C0">
        <w:rPr>
          <w:rFonts w:ascii="Times New Roman" w:hAnsi="Times New Roman" w:cs="Times New Roman"/>
          <w:b/>
          <w:sz w:val="24"/>
          <w:szCs w:val="24"/>
        </w:rPr>
        <w:t>Логачёва</w:t>
      </w:r>
      <w:proofErr w:type="spellEnd"/>
    </w:p>
    <w:p w:rsidR="00F15C01" w:rsidRPr="00C830C0" w:rsidRDefault="00F15C01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30C0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C830C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830C0">
        <w:rPr>
          <w:rFonts w:ascii="Times New Roman" w:hAnsi="Times New Roman" w:cs="Times New Roman"/>
          <w:sz w:val="24"/>
          <w:szCs w:val="24"/>
        </w:rPr>
        <w:t xml:space="preserve"> «Новосибирский государственный университет экономики и управления»</w:t>
      </w:r>
    </w:p>
    <w:p w:rsidR="008A28D0" w:rsidRPr="00E41C2F" w:rsidRDefault="00F15C01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30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2415">
        <w:rPr>
          <w:rFonts w:ascii="Times New Roman" w:hAnsi="Times New Roman" w:cs="Times New Roman"/>
          <w:sz w:val="24"/>
          <w:szCs w:val="24"/>
        </w:rPr>
        <w:t>-</w:t>
      </w:r>
      <w:r w:rsidRPr="00C830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52415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E41C2F" w:rsidRPr="004811B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omboldovskaya</w:t>
        </w:r>
        <w:r w:rsidR="00E41C2F" w:rsidRPr="00A504F6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E41C2F" w:rsidRPr="004811B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41C2F" w:rsidRPr="00A504F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1C2F" w:rsidRPr="004811B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41C2F" w:rsidRPr="00A50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AB7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0">
        <w:rPr>
          <w:rFonts w:ascii="Times New Roman" w:hAnsi="Times New Roman" w:cs="Times New Roman"/>
          <w:b/>
          <w:sz w:val="24"/>
          <w:szCs w:val="24"/>
        </w:rPr>
        <w:t xml:space="preserve">Н.В. Погоржельская 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30C0">
        <w:rPr>
          <w:rFonts w:ascii="Times New Roman" w:hAnsi="Times New Roman" w:cs="Times New Roman"/>
          <w:sz w:val="24"/>
          <w:szCs w:val="24"/>
        </w:rPr>
        <w:t>ГОУВПО «Донецкий национальный технический университет»</w:t>
      </w:r>
    </w:p>
    <w:p w:rsidR="00A61A96" w:rsidRPr="00C830C0" w:rsidRDefault="00A61A96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30C0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F15C01" w:rsidRPr="00C83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F15C01" w:rsidRPr="00C830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miraj-ognya@mail.ru</w:t>
        </w:r>
      </w:hyperlink>
    </w:p>
    <w:p w:rsidR="00A61A96" w:rsidRPr="00F15C01" w:rsidRDefault="00A61A96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457B" w:rsidRPr="00AD2D49" w:rsidRDefault="00C830C0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D49">
        <w:rPr>
          <w:rFonts w:ascii="Times New Roman" w:hAnsi="Times New Roman" w:cs="Times New Roman"/>
          <w:sz w:val="20"/>
          <w:szCs w:val="20"/>
        </w:rPr>
        <w:t>В статье рассмотрены особенности расчёта интегральной оценки технологических укладов в угольной промышленности с использованием экономико-математических методов и эмпирических данных на действующих предприятиях угольной промышленности. Установлены тенденции инновационного технико-экономического развития, которые в настоящее время характеризуются технологической неоднородностью отрасли, моральным и физическим износом оборудования, высоким уровнем использования в производственном процессе устаревших технологий</w:t>
      </w:r>
      <w:r w:rsidR="00E41C2F">
        <w:rPr>
          <w:rFonts w:ascii="Times New Roman" w:hAnsi="Times New Roman" w:cs="Times New Roman"/>
          <w:sz w:val="20"/>
          <w:szCs w:val="20"/>
        </w:rPr>
        <w:t>.</w:t>
      </w:r>
      <w:r w:rsidR="00776DAB" w:rsidRPr="00AD2D49">
        <w:rPr>
          <w:rFonts w:ascii="Times New Roman" w:hAnsi="Times New Roman" w:cs="Times New Roman"/>
          <w:sz w:val="20"/>
          <w:szCs w:val="20"/>
        </w:rPr>
        <w:t xml:space="preserve"> </w:t>
      </w:r>
      <w:r w:rsidR="0057640A" w:rsidRPr="00AD2D49">
        <w:rPr>
          <w:rFonts w:ascii="Times New Roman" w:hAnsi="Times New Roman" w:cs="Times New Roman"/>
          <w:sz w:val="20"/>
          <w:szCs w:val="20"/>
        </w:rPr>
        <w:t xml:space="preserve">С учётом разного рода неопределённости, </w:t>
      </w:r>
      <w:proofErr w:type="spellStart"/>
      <w:r w:rsidR="0057640A" w:rsidRPr="00AD2D49">
        <w:rPr>
          <w:rFonts w:ascii="Times New Roman" w:hAnsi="Times New Roman" w:cs="Times New Roman"/>
          <w:sz w:val="20"/>
          <w:szCs w:val="20"/>
        </w:rPr>
        <w:t>неконтрастности</w:t>
      </w:r>
      <w:proofErr w:type="spellEnd"/>
      <w:r w:rsidR="0057640A" w:rsidRPr="00AD2D49">
        <w:rPr>
          <w:rFonts w:ascii="Times New Roman" w:hAnsi="Times New Roman" w:cs="Times New Roman"/>
          <w:sz w:val="20"/>
          <w:szCs w:val="20"/>
        </w:rPr>
        <w:t xml:space="preserve">, неполноты и неточности экзогенных параметров функционирования отрасли для оценки технологических укладов использован математический аппарат теории нечётких множеств. </w:t>
      </w:r>
    </w:p>
    <w:p w:rsidR="0090457B" w:rsidRPr="00AD2D49" w:rsidRDefault="0090457B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D49">
        <w:rPr>
          <w:rFonts w:ascii="Times New Roman" w:hAnsi="Times New Roman" w:cs="Times New Roman"/>
          <w:i/>
          <w:sz w:val="20"/>
          <w:szCs w:val="20"/>
        </w:rPr>
        <w:t>Ключевые слова</w:t>
      </w:r>
      <w:r w:rsidRPr="00AD2D49">
        <w:rPr>
          <w:rFonts w:ascii="Times New Roman" w:hAnsi="Times New Roman" w:cs="Times New Roman"/>
          <w:sz w:val="20"/>
          <w:szCs w:val="20"/>
        </w:rPr>
        <w:t>:</w:t>
      </w:r>
      <w:r w:rsidR="008D4F58" w:rsidRPr="00AD2D49">
        <w:rPr>
          <w:rFonts w:ascii="Times New Roman" w:hAnsi="Times New Roman" w:cs="Times New Roman"/>
          <w:sz w:val="20"/>
          <w:szCs w:val="20"/>
        </w:rPr>
        <w:t xml:space="preserve"> научно-технический прогресс, инновационное </w:t>
      </w:r>
      <w:r w:rsidR="00746BED" w:rsidRPr="00AD2D49">
        <w:rPr>
          <w:rFonts w:ascii="Times New Roman" w:hAnsi="Times New Roman" w:cs="Times New Roman"/>
          <w:sz w:val="20"/>
          <w:szCs w:val="20"/>
        </w:rPr>
        <w:t xml:space="preserve">технико-экономическое </w:t>
      </w:r>
      <w:r w:rsidR="008D4F58" w:rsidRPr="00AD2D49">
        <w:rPr>
          <w:rFonts w:ascii="Times New Roman" w:hAnsi="Times New Roman" w:cs="Times New Roman"/>
          <w:sz w:val="20"/>
          <w:szCs w:val="20"/>
        </w:rPr>
        <w:t>развитие, горнодобывающая промыш</w:t>
      </w:r>
      <w:r w:rsidR="00776DAB" w:rsidRPr="00AD2D49">
        <w:rPr>
          <w:rFonts w:ascii="Times New Roman" w:hAnsi="Times New Roman" w:cs="Times New Roman"/>
          <w:sz w:val="20"/>
          <w:szCs w:val="20"/>
        </w:rPr>
        <w:t>ленность, технологический уклад</w:t>
      </w:r>
      <w:r w:rsidR="00746BED" w:rsidRPr="00AD2D49">
        <w:rPr>
          <w:rFonts w:ascii="Times New Roman" w:hAnsi="Times New Roman" w:cs="Times New Roman"/>
          <w:sz w:val="20"/>
          <w:szCs w:val="20"/>
        </w:rPr>
        <w:t xml:space="preserve">, интегральный показатель, теория нечётких множеств. </w:t>
      </w:r>
    </w:p>
    <w:p w:rsidR="00A61A96" w:rsidRDefault="00A61A96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5CA" w:rsidRPr="00AE16F4" w:rsidRDefault="004071CF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71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6E05CA" w:rsidRPr="00AE16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FEATURES OF </w:t>
      </w:r>
      <w:r w:rsidRPr="004071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6E05CA" w:rsidRPr="00AE16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CALCULATION METHODS OF </w:t>
      </w:r>
      <w:r w:rsidRPr="004071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6E05CA" w:rsidRPr="00AE16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INTEGRAL ASSESSMENT TECHNOLOGICAL WAY </w:t>
      </w:r>
      <w:r w:rsidR="00214D41" w:rsidRPr="00214D41">
        <w:rPr>
          <w:rFonts w:ascii="Times New Roman" w:hAnsi="Times New Roman" w:cs="Times New Roman"/>
          <w:b/>
          <w:sz w:val="24"/>
          <w:szCs w:val="24"/>
          <w:lang w:val="en-US"/>
        </w:rPr>
        <w:t>AT THE ENTERPRISES OF COAL INDUSTRY</w:t>
      </w:r>
    </w:p>
    <w:p w:rsidR="006E05CA" w:rsidRPr="00652415" w:rsidRDefault="006E05CA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71CF" w:rsidRPr="004071CF" w:rsidRDefault="004071CF" w:rsidP="004071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71CF">
        <w:rPr>
          <w:rFonts w:ascii="Times New Roman" w:hAnsi="Times New Roman" w:cs="Times New Roman"/>
          <w:sz w:val="20"/>
          <w:szCs w:val="20"/>
          <w:lang w:val="en-US"/>
        </w:rPr>
        <w:t>The article describes the features of the calculation of the integral evaluation of technological structures in the coal industry with the use of economic-mathematical methods and empirical data on the working coal industry enterprises.</w:t>
      </w:r>
      <w:r w:rsidR="00425D4F" w:rsidRPr="00425D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71CF">
        <w:rPr>
          <w:rFonts w:ascii="Times New Roman" w:hAnsi="Times New Roman" w:cs="Times New Roman"/>
          <w:sz w:val="20"/>
          <w:szCs w:val="20"/>
          <w:lang w:val="en-US"/>
        </w:rPr>
        <w:t>The tendencies of innovative technical and economic development, which are currently characterized by technological heterogeneity of the sector, moral and physical deterioration of equipment, a high level of use in the production process of outdated technologies have been determined.</w:t>
      </w:r>
      <w:r w:rsidR="00425D4F" w:rsidRPr="00425D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71CF">
        <w:rPr>
          <w:rFonts w:ascii="Times New Roman" w:hAnsi="Times New Roman" w:cs="Times New Roman"/>
          <w:sz w:val="20"/>
          <w:szCs w:val="20"/>
          <w:lang w:val="en-US"/>
        </w:rPr>
        <w:t>Taking into account all sorts of uncertainty, low-contrast, incompleteness and inaccuracy of exogenous industry operating parameters for the assessment of technological structures. The mathematical apparatus of fuzzy factors theory has been.</w:t>
      </w:r>
    </w:p>
    <w:p w:rsidR="009208AB" w:rsidRPr="00AD2D49" w:rsidRDefault="009208AB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D2D49">
        <w:rPr>
          <w:rFonts w:ascii="Times New Roman" w:hAnsi="Times New Roman" w:cs="Times New Roman"/>
          <w:i/>
          <w:sz w:val="20"/>
          <w:szCs w:val="20"/>
          <w:lang w:val="en-US"/>
        </w:rPr>
        <w:t>Keywords</w:t>
      </w:r>
      <w:r w:rsidRPr="00AD2D49">
        <w:rPr>
          <w:rFonts w:ascii="Times New Roman" w:hAnsi="Times New Roman" w:cs="Times New Roman"/>
          <w:sz w:val="20"/>
          <w:szCs w:val="20"/>
          <w:lang w:val="en-US"/>
        </w:rPr>
        <w:t>: scientific and technological progress, an innovative techno-economic development, mining, technological way, integral index, theory of fuzzy sets.</w:t>
      </w:r>
    </w:p>
    <w:p w:rsidR="009208AB" w:rsidRPr="009208AB" w:rsidRDefault="009208AB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3AEC" w:rsidRPr="00AD2D49" w:rsidRDefault="000A634F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Мировые тенденции социально-экономичес</w:t>
      </w:r>
      <w:r w:rsidR="00652415" w:rsidRPr="00AD2D49">
        <w:rPr>
          <w:rFonts w:ascii="Times New Roman" w:hAnsi="Times New Roman" w:cs="Times New Roman"/>
          <w:sz w:val="24"/>
          <w:szCs w:val="24"/>
        </w:rPr>
        <w:t>кого развития свидетельствуют о</w:t>
      </w:r>
      <w:r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652415" w:rsidRPr="00AD2D49">
        <w:rPr>
          <w:rFonts w:ascii="Times New Roman" w:hAnsi="Times New Roman" w:cs="Times New Roman"/>
          <w:sz w:val="24"/>
          <w:szCs w:val="24"/>
        </w:rPr>
        <w:t xml:space="preserve">необходимости перехода от </w:t>
      </w:r>
      <w:r w:rsidRPr="00AD2D49">
        <w:rPr>
          <w:rFonts w:ascii="Times New Roman" w:hAnsi="Times New Roman" w:cs="Times New Roman"/>
          <w:sz w:val="24"/>
          <w:szCs w:val="24"/>
        </w:rPr>
        <w:t>экстенсивных факторов роста к интенсивным</w:t>
      </w:r>
      <w:r w:rsidR="00D04621" w:rsidRPr="00AD2D49">
        <w:rPr>
          <w:rFonts w:ascii="Times New Roman" w:hAnsi="Times New Roman" w:cs="Times New Roman"/>
          <w:sz w:val="24"/>
          <w:szCs w:val="24"/>
        </w:rPr>
        <w:t xml:space="preserve"> детерминантам</w:t>
      </w:r>
      <w:r w:rsidR="007C77A6" w:rsidRPr="00AD2D49">
        <w:rPr>
          <w:rFonts w:ascii="Times New Roman" w:hAnsi="Times New Roman" w:cs="Times New Roman"/>
          <w:sz w:val="24"/>
          <w:szCs w:val="24"/>
        </w:rPr>
        <w:t xml:space="preserve"> на </w:t>
      </w:r>
      <w:r w:rsidR="00652415" w:rsidRPr="00AD2D49">
        <w:rPr>
          <w:rFonts w:ascii="Times New Roman" w:hAnsi="Times New Roman" w:cs="Times New Roman"/>
          <w:sz w:val="24"/>
          <w:szCs w:val="24"/>
        </w:rPr>
        <w:lastRenderedPageBreak/>
        <w:t xml:space="preserve">основе </w:t>
      </w:r>
      <w:r w:rsidR="007C77A6" w:rsidRPr="00AD2D49">
        <w:rPr>
          <w:rFonts w:ascii="Times New Roman" w:hAnsi="Times New Roman" w:cs="Times New Roman"/>
          <w:sz w:val="24"/>
          <w:szCs w:val="24"/>
        </w:rPr>
        <w:t>инновационной</w:t>
      </w:r>
      <w:r w:rsidR="00652415" w:rsidRPr="00AD2D49">
        <w:rPr>
          <w:rFonts w:ascii="Times New Roman" w:hAnsi="Times New Roman" w:cs="Times New Roman"/>
          <w:sz w:val="24"/>
          <w:szCs w:val="24"/>
        </w:rPr>
        <w:t xml:space="preserve"> модели</w:t>
      </w:r>
      <w:r w:rsidR="007C77A6" w:rsidRPr="00AD2D49">
        <w:rPr>
          <w:rFonts w:ascii="Times New Roman" w:hAnsi="Times New Roman" w:cs="Times New Roman"/>
          <w:sz w:val="24"/>
          <w:szCs w:val="24"/>
        </w:rPr>
        <w:t>.</w:t>
      </w:r>
      <w:r w:rsidR="00871FE8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652415" w:rsidRPr="00AD2D49">
        <w:rPr>
          <w:rFonts w:ascii="Times New Roman" w:hAnsi="Times New Roman" w:cs="Times New Roman"/>
          <w:sz w:val="24"/>
          <w:szCs w:val="24"/>
        </w:rPr>
        <w:t>С</w:t>
      </w:r>
      <w:r w:rsidR="00C0779E" w:rsidRPr="00AD2D49">
        <w:rPr>
          <w:rFonts w:ascii="Times New Roman" w:hAnsi="Times New Roman" w:cs="Times New Roman"/>
          <w:sz w:val="24"/>
          <w:szCs w:val="24"/>
        </w:rPr>
        <w:t>мещение</w:t>
      </w:r>
      <w:r w:rsidR="00652415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C0779E" w:rsidRPr="00AD2D49">
        <w:rPr>
          <w:rFonts w:ascii="Times New Roman" w:hAnsi="Times New Roman" w:cs="Times New Roman"/>
          <w:sz w:val="24"/>
          <w:szCs w:val="24"/>
        </w:rPr>
        <w:t xml:space="preserve">приоритетов исследования </w:t>
      </w:r>
      <w:r w:rsidR="00652415" w:rsidRPr="00AD2D49">
        <w:rPr>
          <w:rFonts w:ascii="Times New Roman" w:hAnsi="Times New Roman" w:cs="Times New Roman"/>
          <w:sz w:val="24"/>
          <w:szCs w:val="24"/>
        </w:rPr>
        <w:t xml:space="preserve">проблем </w:t>
      </w:r>
      <w:r w:rsidR="00693C7A" w:rsidRPr="00AD2D49">
        <w:rPr>
          <w:rFonts w:ascii="Times New Roman" w:hAnsi="Times New Roman" w:cs="Times New Roman"/>
          <w:sz w:val="24"/>
          <w:szCs w:val="24"/>
        </w:rPr>
        <w:t xml:space="preserve">инновационного развития </w:t>
      </w:r>
      <w:r w:rsidR="00C0779E" w:rsidRPr="00AD2D49">
        <w:rPr>
          <w:rFonts w:ascii="Times New Roman" w:hAnsi="Times New Roman" w:cs="Times New Roman"/>
          <w:sz w:val="24"/>
          <w:szCs w:val="24"/>
        </w:rPr>
        <w:t xml:space="preserve">с доминирующего </w:t>
      </w:r>
      <w:r w:rsidR="00693C7A" w:rsidRPr="00AD2D49">
        <w:rPr>
          <w:rFonts w:ascii="Times New Roman" w:hAnsi="Times New Roman" w:cs="Times New Roman"/>
          <w:sz w:val="24"/>
          <w:szCs w:val="24"/>
        </w:rPr>
        <w:t>до середины 90</w:t>
      </w:r>
      <w:r w:rsidR="00652415" w:rsidRPr="00AD2D49">
        <w:rPr>
          <w:rFonts w:ascii="Times New Roman" w:hAnsi="Times New Roman" w:cs="Times New Roman"/>
          <w:sz w:val="24"/>
          <w:szCs w:val="24"/>
        </w:rPr>
        <w:t>-х</w:t>
      </w:r>
      <w:r w:rsidR="00693C7A" w:rsidRPr="00AD2D49">
        <w:rPr>
          <w:rFonts w:ascii="Times New Roman" w:hAnsi="Times New Roman" w:cs="Times New Roman"/>
          <w:sz w:val="24"/>
          <w:szCs w:val="24"/>
        </w:rPr>
        <w:t xml:space="preserve"> гг. </w:t>
      </w:r>
      <w:r w:rsidR="00652415" w:rsidRPr="00AD2D49">
        <w:rPr>
          <w:rFonts w:ascii="Times New Roman" w:hAnsi="Times New Roman" w:cs="Times New Roman"/>
          <w:sz w:val="24"/>
          <w:szCs w:val="24"/>
        </w:rPr>
        <w:t xml:space="preserve">прошлого века </w:t>
      </w:r>
      <w:r w:rsidR="00C0779E" w:rsidRPr="00AD2D49">
        <w:rPr>
          <w:rFonts w:ascii="Times New Roman" w:hAnsi="Times New Roman" w:cs="Times New Roman"/>
          <w:sz w:val="24"/>
          <w:szCs w:val="24"/>
        </w:rPr>
        <w:t xml:space="preserve">инженерно-технологического подхода </w:t>
      </w:r>
      <w:r w:rsidR="00693C7A" w:rsidRPr="00AD2D49">
        <w:rPr>
          <w:rFonts w:ascii="Times New Roman" w:hAnsi="Times New Roman" w:cs="Times New Roman"/>
          <w:sz w:val="24"/>
          <w:szCs w:val="24"/>
        </w:rPr>
        <w:t>к</w:t>
      </w:r>
      <w:r w:rsidR="00C0779E" w:rsidRPr="00AD2D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C7A" w:rsidRPr="00AD2D49">
        <w:rPr>
          <w:rFonts w:ascii="Times New Roman" w:hAnsi="Times New Roman" w:cs="Times New Roman"/>
          <w:sz w:val="24"/>
          <w:szCs w:val="24"/>
        </w:rPr>
        <w:t>социально-экономическому</w:t>
      </w:r>
      <w:proofErr w:type="gramEnd"/>
      <w:r w:rsidR="00693C7A" w:rsidRPr="00AD2D49">
        <w:rPr>
          <w:rFonts w:ascii="Times New Roman" w:hAnsi="Times New Roman" w:cs="Times New Roman"/>
          <w:sz w:val="24"/>
          <w:szCs w:val="24"/>
        </w:rPr>
        <w:t xml:space="preserve">, ставшему императивом достижения устойчивого функционирования в долгосрочной перспективе. </w:t>
      </w:r>
      <w:r w:rsidR="00F07C9C" w:rsidRPr="00AD2D49">
        <w:rPr>
          <w:rFonts w:ascii="Times New Roman" w:hAnsi="Times New Roman" w:cs="Times New Roman"/>
          <w:sz w:val="24"/>
          <w:szCs w:val="24"/>
        </w:rPr>
        <w:t xml:space="preserve">В </w:t>
      </w:r>
      <w:r w:rsidR="00693C7A" w:rsidRPr="00AD2D49">
        <w:rPr>
          <w:rFonts w:ascii="Times New Roman" w:hAnsi="Times New Roman" w:cs="Times New Roman"/>
          <w:sz w:val="24"/>
          <w:szCs w:val="24"/>
        </w:rPr>
        <w:t>научной литературе</w:t>
      </w:r>
      <w:r w:rsidR="00C0779E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693C7A" w:rsidRPr="00AD2D49">
        <w:rPr>
          <w:rFonts w:ascii="Times New Roman" w:hAnsi="Times New Roman" w:cs="Times New Roman"/>
          <w:sz w:val="24"/>
          <w:szCs w:val="24"/>
        </w:rPr>
        <w:t xml:space="preserve">можно встретить более сотни определений понятия </w:t>
      </w:r>
      <w:r w:rsidR="00F07C9C" w:rsidRPr="00AD2D49">
        <w:rPr>
          <w:rFonts w:ascii="Times New Roman" w:hAnsi="Times New Roman" w:cs="Times New Roman"/>
          <w:sz w:val="24"/>
          <w:szCs w:val="24"/>
        </w:rPr>
        <w:t>«</w:t>
      </w:r>
      <w:r w:rsidR="00693C7A" w:rsidRPr="00AD2D49">
        <w:rPr>
          <w:rFonts w:ascii="Times New Roman" w:hAnsi="Times New Roman" w:cs="Times New Roman"/>
          <w:sz w:val="24"/>
          <w:szCs w:val="24"/>
        </w:rPr>
        <w:t>инноваци</w:t>
      </w:r>
      <w:r w:rsidR="00F07C9C" w:rsidRPr="00AD2D49">
        <w:rPr>
          <w:rFonts w:ascii="Times New Roman" w:hAnsi="Times New Roman" w:cs="Times New Roman"/>
          <w:sz w:val="24"/>
          <w:szCs w:val="24"/>
        </w:rPr>
        <w:t>и», о</w:t>
      </w:r>
      <w:r w:rsidR="00693C7A" w:rsidRPr="00AD2D49">
        <w:rPr>
          <w:rFonts w:ascii="Times New Roman" w:hAnsi="Times New Roman" w:cs="Times New Roman"/>
          <w:sz w:val="24"/>
          <w:szCs w:val="24"/>
        </w:rPr>
        <w:t xml:space="preserve">днако чаще всего их связывают с научно-техническим прогрессом (НТП) или сопутствующими ему явлениями и процессами. </w:t>
      </w:r>
    </w:p>
    <w:p w:rsidR="003E29D1" w:rsidRPr="00AD2D49" w:rsidRDefault="003E29D1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 xml:space="preserve">Целью данной статьи является разработка методологического подхода расчёта интегральной оценки технологических укладов </w:t>
      </w:r>
      <w:r w:rsidR="008608F1" w:rsidRPr="00AD2D49">
        <w:rPr>
          <w:rFonts w:ascii="Times New Roman" w:hAnsi="Times New Roman" w:cs="Times New Roman"/>
          <w:sz w:val="24"/>
          <w:szCs w:val="24"/>
        </w:rPr>
        <w:t xml:space="preserve">с учётом отраслевых особенностей </w:t>
      </w:r>
      <w:r w:rsidRPr="00AD2D49">
        <w:rPr>
          <w:rFonts w:ascii="Times New Roman" w:hAnsi="Times New Roman" w:cs="Times New Roman"/>
          <w:sz w:val="24"/>
          <w:szCs w:val="24"/>
        </w:rPr>
        <w:t>предприяти</w:t>
      </w:r>
      <w:r w:rsidR="008608F1" w:rsidRPr="00AD2D49">
        <w:rPr>
          <w:rFonts w:ascii="Times New Roman" w:hAnsi="Times New Roman" w:cs="Times New Roman"/>
          <w:sz w:val="24"/>
          <w:szCs w:val="24"/>
        </w:rPr>
        <w:t>й</w:t>
      </w:r>
      <w:r w:rsidRPr="00AD2D49">
        <w:rPr>
          <w:rFonts w:ascii="Times New Roman" w:hAnsi="Times New Roman" w:cs="Times New Roman"/>
          <w:sz w:val="24"/>
          <w:szCs w:val="24"/>
        </w:rPr>
        <w:t xml:space="preserve"> угольной промышленности </w:t>
      </w:r>
      <w:r w:rsidR="008608F1" w:rsidRPr="00AD2D49">
        <w:rPr>
          <w:rFonts w:ascii="Times New Roman" w:hAnsi="Times New Roman" w:cs="Times New Roman"/>
          <w:sz w:val="24"/>
          <w:szCs w:val="24"/>
        </w:rPr>
        <w:t xml:space="preserve">с применением полученных результатов для решения конкретных практических задач по обоснованию и моделированию </w:t>
      </w:r>
      <w:r w:rsidR="00FD2246" w:rsidRPr="00AD2D49">
        <w:rPr>
          <w:rFonts w:ascii="Times New Roman" w:hAnsi="Times New Roman" w:cs="Times New Roman"/>
          <w:sz w:val="24"/>
          <w:szCs w:val="24"/>
        </w:rPr>
        <w:t xml:space="preserve">динамики </w:t>
      </w:r>
      <w:r w:rsidR="008608F1" w:rsidRPr="00AD2D49">
        <w:rPr>
          <w:rFonts w:ascii="Times New Roman" w:hAnsi="Times New Roman" w:cs="Times New Roman"/>
          <w:sz w:val="24"/>
          <w:szCs w:val="24"/>
        </w:rPr>
        <w:t>развития народного хозяйства.</w:t>
      </w:r>
      <w:r w:rsidR="00F5483C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2B38D2" w:rsidRPr="00AD2D49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</w:t>
      </w:r>
      <w:r w:rsidR="009C68D9" w:rsidRPr="00AD2D49">
        <w:rPr>
          <w:rFonts w:ascii="Times New Roman" w:hAnsi="Times New Roman" w:cs="Times New Roman"/>
          <w:sz w:val="24"/>
          <w:szCs w:val="24"/>
        </w:rPr>
        <w:t>определены</w:t>
      </w:r>
      <w:r w:rsidR="002B38D2" w:rsidRPr="00AD2D49"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:rsidR="00FB5220" w:rsidRPr="00AD2D49" w:rsidRDefault="00FB5220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 xml:space="preserve">- рассмотреть </w:t>
      </w:r>
      <w:r w:rsidR="009C68D9" w:rsidRPr="00AD2D49">
        <w:rPr>
          <w:rFonts w:ascii="Times New Roman" w:hAnsi="Times New Roman" w:cs="Times New Roman"/>
          <w:sz w:val="24"/>
          <w:szCs w:val="24"/>
        </w:rPr>
        <w:t>тенденции</w:t>
      </w:r>
      <w:r w:rsidRPr="00AD2D49">
        <w:rPr>
          <w:rFonts w:ascii="Times New Roman" w:hAnsi="Times New Roman" w:cs="Times New Roman"/>
          <w:sz w:val="24"/>
          <w:szCs w:val="24"/>
        </w:rPr>
        <w:t xml:space="preserve"> инновационного </w:t>
      </w:r>
      <w:r w:rsidR="009C68D9" w:rsidRPr="00AD2D49">
        <w:rPr>
          <w:rFonts w:ascii="Times New Roman" w:hAnsi="Times New Roman" w:cs="Times New Roman"/>
          <w:sz w:val="24"/>
          <w:szCs w:val="24"/>
        </w:rPr>
        <w:t>технико</w:t>
      </w:r>
      <w:r w:rsidRPr="00AD2D49">
        <w:rPr>
          <w:rFonts w:ascii="Times New Roman" w:hAnsi="Times New Roman" w:cs="Times New Roman"/>
          <w:sz w:val="24"/>
          <w:szCs w:val="24"/>
        </w:rPr>
        <w:t xml:space="preserve">-экономического развития </w:t>
      </w:r>
      <w:r w:rsidR="009C68D9" w:rsidRPr="00AD2D49">
        <w:rPr>
          <w:rFonts w:ascii="Times New Roman" w:hAnsi="Times New Roman" w:cs="Times New Roman"/>
          <w:sz w:val="24"/>
          <w:szCs w:val="24"/>
        </w:rPr>
        <w:t>с</w:t>
      </w:r>
      <w:r w:rsidRPr="00AD2D49">
        <w:rPr>
          <w:rFonts w:ascii="Times New Roman" w:hAnsi="Times New Roman" w:cs="Times New Roman"/>
          <w:sz w:val="24"/>
          <w:szCs w:val="24"/>
        </w:rPr>
        <w:t xml:space="preserve"> учётом возрастающего влияния научно-технологического потенциала на эффективность функционирования</w:t>
      </w:r>
      <w:r w:rsidR="009C68D9" w:rsidRPr="00AD2D49">
        <w:rPr>
          <w:rFonts w:ascii="Times New Roman" w:hAnsi="Times New Roman" w:cs="Times New Roman"/>
          <w:sz w:val="24"/>
          <w:szCs w:val="24"/>
        </w:rPr>
        <w:t xml:space="preserve"> народного хозяйства</w:t>
      </w:r>
      <w:r w:rsidRPr="00AD2D49">
        <w:rPr>
          <w:rFonts w:ascii="Times New Roman" w:hAnsi="Times New Roman" w:cs="Times New Roman"/>
          <w:sz w:val="24"/>
          <w:szCs w:val="24"/>
        </w:rPr>
        <w:t>;</w:t>
      </w:r>
    </w:p>
    <w:p w:rsidR="00FE2535" w:rsidRPr="00AD2D49" w:rsidRDefault="009C68D9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 xml:space="preserve">- ознакомиться с предлагаемыми в печати методами </w:t>
      </w:r>
      <w:r w:rsidR="00F97B08" w:rsidRPr="00AD2D49">
        <w:rPr>
          <w:rFonts w:ascii="Times New Roman" w:hAnsi="Times New Roman" w:cs="Times New Roman"/>
          <w:sz w:val="24"/>
          <w:szCs w:val="24"/>
        </w:rPr>
        <w:t>исследования</w:t>
      </w:r>
      <w:r w:rsidRPr="00AD2D49">
        <w:rPr>
          <w:rFonts w:ascii="Times New Roman" w:hAnsi="Times New Roman" w:cs="Times New Roman"/>
          <w:sz w:val="24"/>
          <w:szCs w:val="24"/>
        </w:rPr>
        <w:t xml:space="preserve"> технологических укладов с выделением количественных и качественных показателей</w:t>
      </w:r>
      <w:r w:rsidR="00FE2535" w:rsidRPr="00AD2D49">
        <w:rPr>
          <w:rFonts w:ascii="Times New Roman" w:hAnsi="Times New Roman" w:cs="Times New Roman"/>
          <w:sz w:val="24"/>
          <w:szCs w:val="24"/>
        </w:rPr>
        <w:t xml:space="preserve"> развития конкретного предприятия, отрасли и экономики в целом;</w:t>
      </w:r>
    </w:p>
    <w:p w:rsidR="000F2B72" w:rsidRPr="00AD2D49" w:rsidRDefault="00FE2535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- обоснова</w:t>
      </w:r>
      <w:r w:rsidR="00F97B08" w:rsidRPr="00AD2D49">
        <w:rPr>
          <w:rFonts w:ascii="Times New Roman" w:hAnsi="Times New Roman" w:cs="Times New Roman"/>
          <w:sz w:val="24"/>
          <w:szCs w:val="24"/>
        </w:rPr>
        <w:t>ть целесообразности применения математического аппарата</w:t>
      </w:r>
      <w:r w:rsidR="009C68D9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F97B08" w:rsidRPr="00AD2D49">
        <w:rPr>
          <w:rFonts w:ascii="Times New Roman" w:hAnsi="Times New Roman" w:cs="Times New Roman"/>
          <w:sz w:val="24"/>
          <w:szCs w:val="24"/>
        </w:rPr>
        <w:t>теории нечётких множе</w:t>
      </w:r>
      <w:proofErr w:type="gramStart"/>
      <w:r w:rsidR="00F97B08" w:rsidRPr="00AD2D49">
        <w:rPr>
          <w:rFonts w:ascii="Times New Roman" w:hAnsi="Times New Roman" w:cs="Times New Roman"/>
          <w:sz w:val="24"/>
          <w:szCs w:val="24"/>
        </w:rPr>
        <w:t>ств</w:t>
      </w:r>
      <w:r w:rsidR="009C68D9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F97B08" w:rsidRPr="00AD2D49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="00F97B08" w:rsidRPr="00AD2D49">
        <w:rPr>
          <w:rFonts w:ascii="Times New Roman" w:hAnsi="Times New Roman" w:cs="Times New Roman"/>
          <w:sz w:val="24"/>
          <w:szCs w:val="24"/>
        </w:rPr>
        <w:t>я оценки технологического уклада в условиях неопределённости, неполноты и неточности экзогенных параметров</w:t>
      </w:r>
      <w:r w:rsidR="00597BE8" w:rsidRPr="00AD2D49">
        <w:rPr>
          <w:rFonts w:ascii="Times New Roman" w:hAnsi="Times New Roman" w:cs="Times New Roman"/>
          <w:sz w:val="24"/>
          <w:szCs w:val="24"/>
        </w:rPr>
        <w:t xml:space="preserve"> с </w:t>
      </w:r>
      <w:r w:rsidR="00F97B08" w:rsidRPr="00AD2D49">
        <w:rPr>
          <w:rFonts w:ascii="Times New Roman" w:hAnsi="Times New Roman" w:cs="Times New Roman"/>
          <w:sz w:val="24"/>
          <w:szCs w:val="24"/>
        </w:rPr>
        <w:t>расчёт</w:t>
      </w:r>
      <w:r w:rsidR="00597BE8" w:rsidRPr="00AD2D49">
        <w:rPr>
          <w:rFonts w:ascii="Times New Roman" w:hAnsi="Times New Roman" w:cs="Times New Roman"/>
          <w:sz w:val="24"/>
          <w:szCs w:val="24"/>
        </w:rPr>
        <w:t>ом</w:t>
      </w:r>
      <w:r w:rsidR="00F97B08" w:rsidRPr="00AD2D49">
        <w:rPr>
          <w:rFonts w:ascii="Times New Roman" w:hAnsi="Times New Roman" w:cs="Times New Roman"/>
          <w:sz w:val="24"/>
          <w:szCs w:val="24"/>
        </w:rPr>
        <w:t xml:space="preserve"> интегрального показателя </w:t>
      </w:r>
      <w:r w:rsidR="00597BE8" w:rsidRPr="00AD2D49">
        <w:rPr>
          <w:rFonts w:ascii="Times New Roman" w:hAnsi="Times New Roman" w:cs="Times New Roman"/>
          <w:sz w:val="24"/>
          <w:szCs w:val="24"/>
        </w:rPr>
        <w:t>на конкретном предприятии угольной промышленности.</w:t>
      </w:r>
    </w:p>
    <w:p w:rsidR="00FC6D45" w:rsidRPr="00AD2D49" w:rsidRDefault="00275466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Изучение</w:t>
      </w:r>
      <w:r w:rsidR="00FC6D45" w:rsidRPr="00AD2D49">
        <w:rPr>
          <w:rFonts w:ascii="Times New Roman" w:hAnsi="Times New Roman" w:cs="Times New Roman"/>
          <w:sz w:val="24"/>
          <w:szCs w:val="24"/>
        </w:rPr>
        <w:t>м</w:t>
      </w:r>
      <w:r w:rsidRPr="00AD2D49">
        <w:rPr>
          <w:rFonts w:ascii="Times New Roman" w:hAnsi="Times New Roman" w:cs="Times New Roman"/>
          <w:sz w:val="24"/>
          <w:szCs w:val="24"/>
        </w:rPr>
        <w:t xml:space="preserve"> вопросов циклической динамики смены технико-экономических укладов и прогнозирования социально-экономического развития занимались отечественные ученые-экономисты: Н.Д. Кондратьев, В.В. Леонтьев, П.А. Сорокин, Л.И. Абалкин, В.М. Агеев, В.С. Афанасьев, С.Ю. Глазьев, Т.Е. Кузнецов, Л.В. Никифоров, Ю.Г. Павленко, А.А. Сергеев, Д.Е. Сорокин, Н.В. Сычев, Ю.В. </w:t>
      </w:r>
      <w:proofErr w:type="spellStart"/>
      <w:r w:rsidRPr="00AD2D49">
        <w:rPr>
          <w:rFonts w:ascii="Times New Roman" w:hAnsi="Times New Roman" w:cs="Times New Roman"/>
          <w:sz w:val="24"/>
          <w:szCs w:val="24"/>
        </w:rPr>
        <w:t>Яковцев</w:t>
      </w:r>
      <w:proofErr w:type="spellEnd"/>
      <w:r w:rsidRPr="00AD2D49">
        <w:rPr>
          <w:rFonts w:ascii="Times New Roman" w:hAnsi="Times New Roman" w:cs="Times New Roman"/>
          <w:sz w:val="24"/>
          <w:szCs w:val="24"/>
        </w:rPr>
        <w:t>, Ю.В Яременко</w:t>
      </w:r>
      <w:r w:rsidR="00FC6D45" w:rsidRPr="00AD2D49">
        <w:rPr>
          <w:rFonts w:ascii="Times New Roman" w:hAnsi="Times New Roman" w:cs="Times New Roman"/>
          <w:sz w:val="24"/>
          <w:szCs w:val="24"/>
        </w:rPr>
        <w:t>.</w:t>
      </w:r>
    </w:p>
    <w:p w:rsidR="000F2B72" w:rsidRPr="00AD2D49" w:rsidRDefault="00416AA3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О</w:t>
      </w:r>
      <w:r w:rsidR="007305FD" w:rsidRPr="00AD2D49">
        <w:rPr>
          <w:rFonts w:ascii="Times New Roman" w:hAnsi="Times New Roman" w:cs="Times New Roman"/>
          <w:sz w:val="24"/>
          <w:szCs w:val="24"/>
        </w:rPr>
        <w:t>бзор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5FD" w:rsidRPr="00AD2D49">
        <w:rPr>
          <w:rFonts w:ascii="Times New Roman" w:hAnsi="Times New Roman" w:cs="Times New Roman"/>
          <w:sz w:val="24"/>
          <w:szCs w:val="24"/>
        </w:rPr>
        <w:t xml:space="preserve">публикаций представителей различных научных направлений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305FD" w:rsidRPr="00AD2D49">
        <w:rPr>
          <w:rFonts w:ascii="Times New Roman" w:hAnsi="Times New Roman" w:cs="Times New Roman"/>
          <w:sz w:val="24"/>
          <w:szCs w:val="24"/>
        </w:rPr>
        <w:t>экономистов</w:t>
      </w:r>
      <w:r>
        <w:rPr>
          <w:rFonts w:ascii="Times New Roman" w:hAnsi="Times New Roman" w:cs="Times New Roman"/>
          <w:sz w:val="24"/>
          <w:szCs w:val="24"/>
        </w:rPr>
        <w:t>, социологов,</w:t>
      </w:r>
      <w:r w:rsidR="007305FD" w:rsidRPr="00AD2D49">
        <w:rPr>
          <w:rFonts w:ascii="Times New Roman" w:hAnsi="Times New Roman" w:cs="Times New Roman"/>
          <w:sz w:val="24"/>
          <w:szCs w:val="24"/>
        </w:rPr>
        <w:t xml:space="preserve"> «технарей» и математиков</w:t>
      </w:r>
      <w:r>
        <w:rPr>
          <w:rFonts w:ascii="Times New Roman" w:hAnsi="Times New Roman" w:cs="Times New Roman"/>
          <w:sz w:val="24"/>
          <w:szCs w:val="24"/>
        </w:rPr>
        <w:t>) показал, что</w:t>
      </w:r>
      <w:r w:rsidR="007305FD" w:rsidRPr="00AD2D49">
        <w:rPr>
          <w:rFonts w:ascii="Times New Roman" w:hAnsi="Times New Roman" w:cs="Times New Roman"/>
          <w:sz w:val="24"/>
          <w:szCs w:val="24"/>
        </w:rPr>
        <w:t xml:space="preserve"> все они ссылаются на исторический опыт предшественников, </w:t>
      </w:r>
      <w:r w:rsidR="00FC6D45" w:rsidRPr="00AD2D49">
        <w:rPr>
          <w:rFonts w:ascii="Times New Roman" w:hAnsi="Times New Roman" w:cs="Times New Roman"/>
          <w:sz w:val="24"/>
          <w:szCs w:val="24"/>
        </w:rPr>
        <w:t xml:space="preserve">отмечая необходимость синтеза теоретико-методологических подходов с учетом взрастающего влияния научно-технического прогресса на тенденции </w:t>
      </w:r>
      <w:proofErr w:type="gramStart"/>
      <w:r w:rsidR="00FC6D45" w:rsidRPr="00AD2D49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DC4307" w:rsidRPr="00AD2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="00DC4307" w:rsidRPr="00AD2D49">
        <w:rPr>
          <w:rFonts w:ascii="Times New Roman" w:hAnsi="Times New Roman" w:cs="Times New Roman"/>
          <w:sz w:val="24"/>
          <w:szCs w:val="24"/>
        </w:rPr>
        <w:t xml:space="preserve"> установленны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C6D45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DC4307" w:rsidRPr="00AD2D49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FC6D45" w:rsidRPr="00AD2D49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FC6D45" w:rsidRPr="00AD2D49">
        <w:rPr>
          <w:rFonts w:ascii="Times New Roman" w:hAnsi="Times New Roman" w:cs="Times New Roman"/>
          <w:sz w:val="24"/>
          <w:szCs w:val="24"/>
        </w:rPr>
        <w:t xml:space="preserve"> и закономерност</w:t>
      </w:r>
      <w:r>
        <w:rPr>
          <w:rFonts w:ascii="Times New Roman" w:hAnsi="Times New Roman" w:cs="Times New Roman"/>
          <w:sz w:val="24"/>
          <w:szCs w:val="24"/>
        </w:rPr>
        <w:t>ям.</w:t>
      </w:r>
    </w:p>
    <w:p w:rsidR="00871FE8" w:rsidRPr="00AD2D49" w:rsidRDefault="00635DFC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Охватывая все сферы народного хозяйства</w:t>
      </w:r>
      <w:r w:rsidR="00FC18C4" w:rsidRPr="00AD2D49">
        <w:rPr>
          <w:rFonts w:ascii="Times New Roman" w:hAnsi="Times New Roman" w:cs="Times New Roman"/>
          <w:sz w:val="24"/>
          <w:szCs w:val="24"/>
        </w:rPr>
        <w:t>,</w:t>
      </w:r>
      <w:r w:rsidRPr="00AD2D49">
        <w:rPr>
          <w:rFonts w:ascii="Times New Roman" w:hAnsi="Times New Roman" w:cs="Times New Roman"/>
          <w:sz w:val="24"/>
          <w:szCs w:val="24"/>
        </w:rPr>
        <w:t xml:space="preserve"> НТП в каждой из них имеет свои специфические особенности и формы проявления, обусловленные технологической неоднородностью отраслей</w:t>
      </w:r>
      <w:r w:rsidR="00C70160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ED3C56" w:rsidRPr="00AD2D49">
        <w:rPr>
          <w:rFonts w:ascii="Times New Roman" w:hAnsi="Times New Roman" w:cs="Times New Roman"/>
          <w:sz w:val="24"/>
          <w:szCs w:val="24"/>
        </w:rPr>
        <w:t xml:space="preserve">и </w:t>
      </w:r>
      <w:r w:rsidR="00C70160" w:rsidRPr="00AD2D49">
        <w:rPr>
          <w:rFonts w:ascii="Times New Roman" w:hAnsi="Times New Roman" w:cs="Times New Roman"/>
          <w:sz w:val="24"/>
          <w:szCs w:val="24"/>
        </w:rPr>
        <w:t>ее элементов</w:t>
      </w:r>
      <w:r w:rsidR="00ED3C56" w:rsidRPr="00AD2D49">
        <w:rPr>
          <w:rFonts w:ascii="Times New Roman" w:hAnsi="Times New Roman" w:cs="Times New Roman"/>
          <w:sz w:val="24"/>
          <w:szCs w:val="24"/>
        </w:rPr>
        <w:t>,</w:t>
      </w:r>
      <w:r w:rsidR="00CD4956" w:rsidRPr="00AD2D49">
        <w:rPr>
          <w:rFonts w:ascii="Times New Roman" w:hAnsi="Times New Roman" w:cs="Times New Roman"/>
          <w:sz w:val="24"/>
          <w:szCs w:val="24"/>
        </w:rPr>
        <w:t xml:space="preserve"> определяющие </w:t>
      </w:r>
      <w:r w:rsidR="00ED3C56" w:rsidRPr="00AD2D49">
        <w:rPr>
          <w:rFonts w:ascii="Times New Roman" w:hAnsi="Times New Roman" w:cs="Times New Roman"/>
          <w:sz w:val="24"/>
          <w:szCs w:val="24"/>
        </w:rPr>
        <w:t xml:space="preserve">характер </w:t>
      </w:r>
      <w:r w:rsidR="00CD4956" w:rsidRPr="00AD2D49">
        <w:rPr>
          <w:rFonts w:ascii="Times New Roman" w:hAnsi="Times New Roman" w:cs="Times New Roman"/>
          <w:sz w:val="24"/>
          <w:szCs w:val="24"/>
        </w:rPr>
        <w:t>динамик</w:t>
      </w:r>
      <w:r w:rsidR="00ED3C56" w:rsidRPr="00AD2D49">
        <w:rPr>
          <w:rFonts w:ascii="Times New Roman" w:hAnsi="Times New Roman" w:cs="Times New Roman"/>
          <w:sz w:val="24"/>
          <w:szCs w:val="24"/>
        </w:rPr>
        <w:t>и</w:t>
      </w:r>
      <w:r w:rsidR="00CD4956" w:rsidRPr="00AD2D49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AD2D49">
        <w:rPr>
          <w:rFonts w:ascii="Times New Roman" w:hAnsi="Times New Roman" w:cs="Times New Roman"/>
          <w:sz w:val="24"/>
          <w:szCs w:val="24"/>
        </w:rPr>
        <w:t xml:space="preserve">. </w:t>
      </w:r>
      <w:r w:rsidR="00ED3C56" w:rsidRPr="00AD2D49">
        <w:rPr>
          <w:rFonts w:ascii="Times New Roman" w:hAnsi="Times New Roman" w:cs="Times New Roman"/>
          <w:sz w:val="24"/>
          <w:szCs w:val="24"/>
        </w:rPr>
        <w:t>И</w:t>
      </w:r>
      <w:r w:rsidR="00FE00B0" w:rsidRPr="00AD2D49">
        <w:rPr>
          <w:rFonts w:ascii="Times New Roman" w:hAnsi="Times New Roman" w:cs="Times New Roman"/>
          <w:sz w:val="24"/>
          <w:szCs w:val="24"/>
        </w:rPr>
        <w:t>сследование</w:t>
      </w:r>
      <w:r w:rsidR="00ED3C56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FE00B0" w:rsidRPr="00AD2D49">
        <w:rPr>
          <w:rFonts w:ascii="Times New Roman" w:hAnsi="Times New Roman" w:cs="Times New Roman"/>
          <w:sz w:val="24"/>
          <w:szCs w:val="24"/>
        </w:rPr>
        <w:t xml:space="preserve">инновационного технико-экономического развития </w:t>
      </w:r>
      <w:r w:rsidR="00ED3C56" w:rsidRPr="00AD2D49">
        <w:rPr>
          <w:rFonts w:ascii="Times New Roman" w:hAnsi="Times New Roman" w:cs="Times New Roman"/>
          <w:sz w:val="24"/>
          <w:szCs w:val="24"/>
        </w:rPr>
        <w:t>требует,</w:t>
      </w:r>
      <w:r w:rsidR="00FE00B0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ED3C56" w:rsidRPr="00AD2D49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r w:rsidR="00FE00B0" w:rsidRPr="00AD2D49">
        <w:rPr>
          <w:rFonts w:ascii="Times New Roman" w:hAnsi="Times New Roman" w:cs="Times New Roman"/>
          <w:sz w:val="24"/>
          <w:szCs w:val="24"/>
        </w:rPr>
        <w:t>тако</w:t>
      </w:r>
      <w:r w:rsidR="00ED3C56" w:rsidRPr="00AD2D49">
        <w:rPr>
          <w:rFonts w:ascii="Times New Roman" w:hAnsi="Times New Roman" w:cs="Times New Roman"/>
          <w:sz w:val="24"/>
          <w:szCs w:val="24"/>
        </w:rPr>
        <w:t>й</w:t>
      </w:r>
      <w:r w:rsidR="00FE00B0" w:rsidRPr="00AD2D49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ED3C56" w:rsidRPr="00AD2D49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FE00B0" w:rsidRPr="00AD2D49">
        <w:rPr>
          <w:rFonts w:ascii="Times New Roman" w:hAnsi="Times New Roman" w:cs="Times New Roman"/>
          <w:sz w:val="24"/>
          <w:szCs w:val="24"/>
        </w:rPr>
        <w:t>, котор</w:t>
      </w:r>
      <w:r w:rsidR="00ED3C56" w:rsidRPr="00AD2D49">
        <w:rPr>
          <w:rFonts w:ascii="Times New Roman" w:hAnsi="Times New Roman" w:cs="Times New Roman"/>
          <w:sz w:val="24"/>
          <w:szCs w:val="24"/>
        </w:rPr>
        <w:t>ая</w:t>
      </w:r>
      <w:r w:rsidR="00FE00B0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ED3C56" w:rsidRPr="00AD2D49">
        <w:rPr>
          <w:rFonts w:ascii="Times New Roman" w:hAnsi="Times New Roman" w:cs="Times New Roman"/>
          <w:sz w:val="24"/>
          <w:szCs w:val="24"/>
        </w:rPr>
        <w:t xml:space="preserve">обладает устойчивостью </w:t>
      </w:r>
      <w:r w:rsidR="00FE00B0" w:rsidRPr="00AD2D49">
        <w:rPr>
          <w:rFonts w:ascii="Times New Roman" w:hAnsi="Times New Roman" w:cs="Times New Roman"/>
          <w:sz w:val="24"/>
          <w:szCs w:val="24"/>
        </w:rPr>
        <w:t>в процессе технологических изменений и в тоже время явля</w:t>
      </w:r>
      <w:r w:rsidR="00ED3C56" w:rsidRPr="00AD2D49">
        <w:rPr>
          <w:rFonts w:ascii="Times New Roman" w:hAnsi="Times New Roman" w:cs="Times New Roman"/>
          <w:sz w:val="24"/>
          <w:szCs w:val="24"/>
        </w:rPr>
        <w:t>ется</w:t>
      </w:r>
      <w:r w:rsidR="00FE00B0" w:rsidRPr="00AD2D49">
        <w:rPr>
          <w:rFonts w:ascii="Times New Roman" w:hAnsi="Times New Roman" w:cs="Times New Roman"/>
          <w:sz w:val="24"/>
          <w:szCs w:val="24"/>
        </w:rPr>
        <w:t xml:space="preserve"> носителем этих трансформаций.</w:t>
      </w:r>
    </w:p>
    <w:p w:rsidR="00871FE8" w:rsidRPr="00AD2D49" w:rsidRDefault="00F40472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Как отмечают ученые-экономисты [</w:t>
      </w:r>
      <w:r w:rsidR="009B1497" w:rsidRPr="00AD2D49">
        <w:rPr>
          <w:rFonts w:ascii="Times New Roman" w:hAnsi="Times New Roman" w:cs="Times New Roman"/>
          <w:sz w:val="24"/>
          <w:szCs w:val="24"/>
        </w:rPr>
        <w:t>3-10; 15; 17; 2</w:t>
      </w:r>
      <w:r w:rsidR="00326788" w:rsidRPr="00AD2D49">
        <w:rPr>
          <w:rFonts w:ascii="Times New Roman" w:hAnsi="Times New Roman" w:cs="Times New Roman"/>
          <w:sz w:val="24"/>
          <w:szCs w:val="24"/>
        </w:rPr>
        <w:t>0</w:t>
      </w:r>
      <w:r w:rsidR="009B1497" w:rsidRPr="00AD2D49">
        <w:rPr>
          <w:rFonts w:ascii="Times New Roman" w:hAnsi="Times New Roman" w:cs="Times New Roman"/>
          <w:sz w:val="24"/>
          <w:szCs w:val="24"/>
        </w:rPr>
        <w:t>; 2</w:t>
      </w:r>
      <w:r w:rsidR="00326788" w:rsidRPr="00AD2D49">
        <w:rPr>
          <w:rFonts w:ascii="Times New Roman" w:hAnsi="Times New Roman" w:cs="Times New Roman"/>
          <w:sz w:val="24"/>
          <w:szCs w:val="24"/>
        </w:rPr>
        <w:t>8</w:t>
      </w:r>
      <w:r w:rsidR="009B1497" w:rsidRPr="00AD2D49">
        <w:rPr>
          <w:rFonts w:ascii="Times New Roman" w:hAnsi="Times New Roman" w:cs="Times New Roman"/>
          <w:sz w:val="24"/>
          <w:szCs w:val="24"/>
        </w:rPr>
        <w:t>; 3</w:t>
      </w:r>
      <w:r w:rsidR="00326788" w:rsidRPr="00AD2D49">
        <w:rPr>
          <w:rFonts w:ascii="Times New Roman" w:hAnsi="Times New Roman" w:cs="Times New Roman"/>
          <w:sz w:val="24"/>
          <w:szCs w:val="24"/>
        </w:rPr>
        <w:t>0</w:t>
      </w:r>
      <w:r w:rsidRPr="00AD2D49">
        <w:rPr>
          <w:rFonts w:ascii="Times New Roman" w:hAnsi="Times New Roman" w:cs="Times New Roman"/>
          <w:sz w:val="24"/>
          <w:szCs w:val="24"/>
        </w:rPr>
        <w:t xml:space="preserve">], таким </w:t>
      </w:r>
      <w:r w:rsidR="00ED3C56" w:rsidRPr="00AD2D49">
        <w:rPr>
          <w:rFonts w:ascii="Times New Roman" w:hAnsi="Times New Roman" w:cs="Times New Roman"/>
          <w:sz w:val="24"/>
          <w:szCs w:val="24"/>
        </w:rPr>
        <w:t>методологическим подходом</w:t>
      </w:r>
      <w:r w:rsidRPr="00AD2D49">
        <w:rPr>
          <w:rFonts w:ascii="Times New Roman" w:hAnsi="Times New Roman" w:cs="Times New Roman"/>
          <w:sz w:val="24"/>
          <w:szCs w:val="24"/>
        </w:rPr>
        <w:t xml:space="preserve"> в рамках эволюционной теории </w:t>
      </w:r>
      <w:r w:rsidR="00ED3C56" w:rsidRPr="00AD2D49">
        <w:rPr>
          <w:rFonts w:ascii="Times New Roman" w:hAnsi="Times New Roman" w:cs="Times New Roman"/>
          <w:sz w:val="24"/>
          <w:szCs w:val="24"/>
        </w:rPr>
        <w:t>отличается</w:t>
      </w:r>
      <w:r w:rsidRPr="00AD2D49">
        <w:rPr>
          <w:rFonts w:ascii="Times New Roman" w:hAnsi="Times New Roman" w:cs="Times New Roman"/>
          <w:sz w:val="24"/>
          <w:szCs w:val="24"/>
        </w:rPr>
        <w:t xml:space="preserve"> концепция (парадигма) технологических укладов, без рассмотрения которой невозможно продвинуться в понимании инновационного развития</w:t>
      </w:r>
      <w:r w:rsidR="00ED3C56" w:rsidRPr="00AD2D49">
        <w:rPr>
          <w:rFonts w:ascii="Times New Roman" w:hAnsi="Times New Roman" w:cs="Times New Roman"/>
          <w:sz w:val="24"/>
          <w:szCs w:val="24"/>
        </w:rPr>
        <w:t xml:space="preserve"> на всех уровнях </w:t>
      </w:r>
      <w:r w:rsidRPr="00AD2D49">
        <w:rPr>
          <w:rFonts w:ascii="Times New Roman" w:hAnsi="Times New Roman" w:cs="Times New Roman"/>
          <w:sz w:val="24"/>
          <w:szCs w:val="24"/>
        </w:rPr>
        <w:t>социально-экономических систем.</w:t>
      </w:r>
    </w:p>
    <w:p w:rsidR="00006603" w:rsidRPr="00AD2D49" w:rsidRDefault="00ED3C56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П</w:t>
      </w:r>
      <w:r w:rsidR="000369A2" w:rsidRPr="00AD2D49">
        <w:rPr>
          <w:rFonts w:ascii="Times New Roman" w:hAnsi="Times New Roman" w:cs="Times New Roman"/>
          <w:sz w:val="24"/>
          <w:szCs w:val="24"/>
        </w:rPr>
        <w:t>овышенный</w:t>
      </w:r>
      <w:r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0369A2" w:rsidRPr="00AD2D49">
        <w:rPr>
          <w:rFonts w:ascii="Times New Roman" w:hAnsi="Times New Roman" w:cs="Times New Roman"/>
          <w:sz w:val="24"/>
          <w:szCs w:val="24"/>
        </w:rPr>
        <w:t>интерес к технологическим укладам и технико-экономическим парадигма</w:t>
      </w:r>
      <w:r w:rsidRPr="00AD2D49">
        <w:rPr>
          <w:rFonts w:ascii="Times New Roman" w:hAnsi="Times New Roman" w:cs="Times New Roman"/>
          <w:sz w:val="24"/>
          <w:szCs w:val="24"/>
        </w:rPr>
        <w:t>м</w:t>
      </w:r>
      <w:r w:rsidR="000369A2" w:rsidRPr="00AD2D49">
        <w:rPr>
          <w:rFonts w:ascii="Times New Roman" w:hAnsi="Times New Roman" w:cs="Times New Roman"/>
          <w:sz w:val="24"/>
          <w:szCs w:val="24"/>
        </w:rPr>
        <w:t>, привел к появлению разнонаправленных</w:t>
      </w:r>
      <w:r w:rsidR="008D4F58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0369A2" w:rsidRPr="00AD2D49">
        <w:rPr>
          <w:rFonts w:ascii="Times New Roman" w:hAnsi="Times New Roman" w:cs="Times New Roman"/>
          <w:sz w:val="24"/>
          <w:szCs w:val="24"/>
        </w:rPr>
        <w:t xml:space="preserve">подходов, </w:t>
      </w:r>
      <w:r w:rsidRPr="00AD2D49">
        <w:rPr>
          <w:rFonts w:ascii="Times New Roman" w:hAnsi="Times New Roman" w:cs="Times New Roman"/>
          <w:sz w:val="24"/>
          <w:szCs w:val="24"/>
        </w:rPr>
        <w:t>которые</w:t>
      </w:r>
      <w:r w:rsidR="000369A2" w:rsidRPr="00AD2D49">
        <w:rPr>
          <w:rFonts w:ascii="Times New Roman" w:hAnsi="Times New Roman" w:cs="Times New Roman"/>
          <w:sz w:val="24"/>
          <w:szCs w:val="24"/>
        </w:rPr>
        <w:t xml:space="preserve"> ничего не проясняют в причинно-следственных связ</w:t>
      </w:r>
      <w:r w:rsidRPr="00AD2D49">
        <w:rPr>
          <w:rFonts w:ascii="Times New Roman" w:hAnsi="Times New Roman" w:cs="Times New Roman"/>
          <w:sz w:val="24"/>
          <w:szCs w:val="24"/>
        </w:rPr>
        <w:t>ях</w:t>
      </w:r>
      <w:r w:rsidR="000369A2" w:rsidRPr="00AD2D49">
        <w:rPr>
          <w:rFonts w:ascii="Times New Roman" w:hAnsi="Times New Roman" w:cs="Times New Roman"/>
          <w:sz w:val="24"/>
          <w:szCs w:val="24"/>
        </w:rPr>
        <w:t xml:space="preserve"> развития,</w:t>
      </w:r>
      <w:r w:rsidRPr="00AD2D49">
        <w:rPr>
          <w:rFonts w:ascii="Times New Roman" w:hAnsi="Times New Roman" w:cs="Times New Roman"/>
          <w:sz w:val="24"/>
          <w:szCs w:val="24"/>
        </w:rPr>
        <w:t xml:space="preserve"> а потому</w:t>
      </w:r>
      <w:r w:rsidR="000369A2" w:rsidRPr="00AD2D49">
        <w:rPr>
          <w:rFonts w:ascii="Times New Roman" w:hAnsi="Times New Roman" w:cs="Times New Roman"/>
          <w:sz w:val="24"/>
          <w:szCs w:val="24"/>
        </w:rPr>
        <w:t xml:space="preserve"> даю</w:t>
      </w:r>
      <w:r w:rsidRPr="00AD2D49">
        <w:rPr>
          <w:rFonts w:ascii="Times New Roman" w:hAnsi="Times New Roman" w:cs="Times New Roman"/>
          <w:sz w:val="24"/>
          <w:szCs w:val="24"/>
        </w:rPr>
        <w:t>т</w:t>
      </w:r>
      <w:r w:rsidR="000369A2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Pr="00AD2D49">
        <w:rPr>
          <w:rFonts w:ascii="Times New Roman" w:hAnsi="Times New Roman" w:cs="Times New Roman"/>
          <w:sz w:val="24"/>
          <w:szCs w:val="24"/>
        </w:rPr>
        <w:t>только</w:t>
      </w:r>
      <w:r w:rsidR="000369A2" w:rsidRPr="00AD2D49">
        <w:rPr>
          <w:rFonts w:ascii="Times New Roman" w:hAnsi="Times New Roman" w:cs="Times New Roman"/>
          <w:sz w:val="24"/>
          <w:szCs w:val="24"/>
        </w:rPr>
        <w:t xml:space="preserve"> условн</w:t>
      </w:r>
      <w:r w:rsidRPr="00AD2D49">
        <w:rPr>
          <w:rFonts w:ascii="Times New Roman" w:hAnsi="Times New Roman" w:cs="Times New Roman"/>
          <w:sz w:val="24"/>
          <w:szCs w:val="24"/>
        </w:rPr>
        <w:t>о-</w:t>
      </w:r>
      <w:r w:rsidR="00AE52BC" w:rsidRPr="00AD2D49">
        <w:rPr>
          <w:rFonts w:ascii="Times New Roman" w:hAnsi="Times New Roman" w:cs="Times New Roman"/>
          <w:sz w:val="24"/>
          <w:szCs w:val="24"/>
        </w:rPr>
        <w:t xml:space="preserve">описательную картину </w:t>
      </w:r>
      <w:r w:rsidRPr="00AD2D49">
        <w:rPr>
          <w:rFonts w:ascii="Times New Roman" w:hAnsi="Times New Roman" w:cs="Times New Roman"/>
          <w:sz w:val="24"/>
          <w:szCs w:val="24"/>
        </w:rPr>
        <w:t>действительного положения в конкретных отраслях. А</w:t>
      </w:r>
      <w:r w:rsidR="00C659E5" w:rsidRPr="00AD2D49">
        <w:rPr>
          <w:rFonts w:ascii="Times New Roman" w:hAnsi="Times New Roman" w:cs="Times New Roman"/>
          <w:sz w:val="24"/>
          <w:szCs w:val="24"/>
        </w:rPr>
        <w:t>нализ научных публикаций последних лет позволяет установить существенные различия в целях и задачах</w:t>
      </w:r>
      <w:r w:rsidR="00C5683F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C659E5" w:rsidRPr="00AD2D49">
        <w:rPr>
          <w:rFonts w:ascii="Times New Roman" w:hAnsi="Times New Roman" w:cs="Times New Roman"/>
          <w:sz w:val="24"/>
          <w:szCs w:val="24"/>
        </w:rPr>
        <w:t>теоретических</w:t>
      </w:r>
      <w:r w:rsidR="00C5683F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C659E5" w:rsidRPr="00AD2D49">
        <w:rPr>
          <w:rFonts w:ascii="Times New Roman" w:hAnsi="Times New Roman" w:cs="Times New Roman"/>
          <w:sz w:val="24"/>
          <w:szCs w:val="24"/>
        </w:rPr>
        <w:t>и прикладных исследовани</w:t>
      </w:r>
      <w:r w:rsidR="00C5683F" w:rsidRPr="00AD2D49">
        <w:rPr>
          <w:rFonts w:ascii="Times New Roman" w:hAnsi="Times New Roman" w:cs="Times New Roman"/>
          <w:sz w:val="24"/>
          <w:szCs w:val="24"/>
        </w:rPr>
        <w:t>й</w:t>
      </w:r>
      <w:r w:rsidR="00C659E5" w:rsidRPr="00AD2D49">
        <w:rPr>
          <w:rFonts w:ascii="Times New Roman" w:hAnsi="Times New Roman" w:cs="Times New Roman"/>
          <w:sz w:val="24"/>
          <w:szCs w:val="24"/>
        </w:rPr>
        <w:t>, посвящённых данной проблеме</w:t>
      </w:r>
      <w:r w:rsidR="00C5683F" w:rsidRPr="00AD2D49">
        <w:rPr>
          <w:rFonts w:ascii="Times New Roman" w:hAnsi="Times New Roman" w:cs="Times New Roman"/>
          <w:sz w:val="24"/>
          <w:szCs w:val="24"/>
        </w:rPr>
        <w:t xml:space="preserve">, а это приводит к </w:t>
      </w:r>
      <w:r w:rsidR="00D62AF0">
        <w:rPr>
          <w:rFonts w:ascii="Times New Roman" w:hAnsi="Times New Roman" w:cs="Times New Roman"/>
          <w:sz w:val="24"/>
          <w:szCs w:val="24"/>
        </w:rPr>
        <w:t>ограниченному подходу,</w:t>
      </w:r>
      <w:r w:rsidR="00C5683F" w:rsidRPr="00AD2D49">
        <w:rPr>
          <w:rFonts w:ascii="Times New Roman" w:hAnsi="Times New Roman" w:cs="Times New Roman"/>
          <w:sz w:val="24"/>
          <w:szCs w:val="24"/>
        </w:rPr>
        <w:t xml:space="preserve"> ориентированному только на </w:t>
      </w:r>
      <w:r w:rsidR="00816A3E" w:rsidRPr="00AD2D49">
        <w:rPr>
          <w:rFonts w:ascii="Times New Roman" w:hAnsi="Times New Roman" w:cs="Times New Roman"/>
          <w:sz w:val="24"/>
          <w:szCs w:val="24"/>
        </w:rPr>
        <w:t>определенную проблему.</w:t>
      </w:r>
    </w:p>
    <w:p w:rsidR="00C659E5" w:rsidRPr="00AD2D49" w:rsidRDefault="00006603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Так, п</w:t>
      </w:r>
      <w:r w:rsidR="00C659E5" w:rsidRPr="00AD2D49">
        <w:rPr>
          <w:rFonts w:ascii="Times New Roman" w:hAnsi="Times New Roman" w:cs="Times New Roman"/>
          <w:sz w:val="24"/>
          <w:szCs w:val="24"/>
        </w:rPr>
        <w:t xml:space="preserve">о </w:t>
      </w:r>
      <w:r w:rsidRPr="00AD2D49">
        <w:rPr>
          <w:rFonts w:ascii="Times New Roman" w:hAnsi="Times New Roman" w:cs="Times New Roman"/>
          <w:sz w:val="24"/>
          <w:szCs w:val="24"/>
        </w:rPr>
        <w:t xml:space="preserve">утверждению С.Ю. Глазьева, технологические уклады необходимы «для отраслевого принципа деления экономических систем и обоснования развития в направлении </w:t>
      </w:r>
      <w:r w:rsidRPr="00AD2D49">
        <w:rPr>
          <w:rFonts w:ascii="Times New Roman" w:hAnsi="Times New Roman" w:cs="Times New Roman"/>
          <w:sz w:val="24"/>
          <w:szCs w:val="24"/>
        </w:rPr>
        <w:lastRenderedPageBreak/>
        <w:t>энерг</w:t>
      </w:r>
      <w:proofErr w:type="gramStart"/>
      <w:r w:rsidRPr="00AD2D4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D2D49">
        <w:rPr>
          <w:rFonts w:ascii="Times New Roman" w:hAnsi="Times New Roman" w:cs="Times New Roman"/>
          <w:sz w:val="24"/>
          <w:szCs w:val="24"/>
        </w:rPr>
        <w:t xml:space="preserve"> и ресурсоэффективности технологий»</w:t>
      </w:r>
      <w:r w:rsidR="003A3A82" w:rsidRPr="00AD2D49">
        <w:rPr>
          <w:rFonts w:ascii="Times New Roman" w:hAnsi="Times New Roman" w:cs="Times New Roman"/>
          <w:sz w:val="24"/>
          <w:szCs w:val="24"/>
        </w:rPr>
        <w:t xml:space="preserve"> [</w:t>
      </w:r>
      <w:r w:rsidR="00AC2B65" w:rsidRPr="00AD2D49">
        <w:rPr>
          <w:rFonts w:ascii="Times New Roman" w:hAnsi="Times New Roman" w:cs="Times New Roman"/>
          <w:sz w:val="24"/>
          <w:szCs w:val="24"/>
        </w:rPr>
        <w:t>4-6</w:t>
      </w:r>
      <w:r w:rsidR="003A3A82" w:rsidRPr="00AD2D49">
        <w:rPr>
          <w:rFonts w:ascii="Times New Roman" w:hAnsi="Times New Roman" w:cs="Times New Roman"/>
          <w:sz w:val="24"/>
          <w:szCs w:val="24"/>
        </w:rPr>
        <w:t>]</w:t>
      </w:r>
      <w:r w:rsidRPr="00AD2D49">
        <w:rPr>
          <w:rFonts w:ascii="Times New Roman" w:hAnsi="Times New Roman" w:cs="Times New Roman"/>
          <w:sz w:val="24"/>
          <w:szCs w:val="24"/>
        </w:rPr>
        <w:t>.</w:t>
      </w:r>
      <w:r w:rsidR="003A3A82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D01C65" w:rsidRPr="00AD2D49">
        <w:rPr>
          <w:rFonts w:ascii="Times New Roman" w:hAnsi="Times New Roman" w:cs="Times New Roman"/>
          <w:sz w:val="24"/>
          <w:szCs w:val="24"/>
        </w:rPr>
        <w:t>По мнению [</w:t>
      </w:r>
      <w:r w:rsidR="00326788" w:rsidRPr="00AD2D49">
        <w:rPr>
          <w:rFonts w:ascii="Times New Roman" w:hAnsi="Times New Roman" w:cs="Times New Roman"/>
          <w:sz w:val="24"/>
          <w:szCs w:val="24"/>
        </w:rPr>
        <w:t>19</w:t>
      </w:r>
      <w:r w:rsidR="00862CB7">
        <w:rPr>
          <w:rFonts w:ascii="Times New Roman" w:hAnsi="Times New Roman" w:cs="Times New Roman"/>
          <w:sz w:val="24"/>
          <w:szCs w:val="24"/>
        </w:rPr>
        <w:t>, с.</w:t>
      </w:r>
      <w:r w:rsidR="007608B9" w:rsidRPr="00AD2D49">
        <w:rPr>
          <w:rFonts w:ascii="Times New Roman" w:hAnsi="Times New Roman" w:cs="Times New Roman"/>
          <w:sz w:val="24"/>
          <w:szCs w:val="24"/>
        </w:rPr>
        <w:t>31-33</w:t>
      </w:r>
      <w:r w:rsidR="008C1807" w:rsidRPr="00AD2D49">
        <w:rPr>
          <w:rFonts w:ascii="Times New Roman" w:hAnsi="Times New Roman" w:cs="Times New Roman"/>
          <w:sz w:val="24"/>
          <w:szCs w:val="24"/>
        </w:rPr>
        <w:t xml:space="preserve">; </w:t>
      </w:r>
      <w:r w:rsidR="00AC2B65" w:rsidRPr="00AD2D49">
        <w:rPr>
          <w:rFonts w:ascii="Times New Roman" w:hAnsi="Times New Roman" w:cs="Times New Roman"/>
          <w:sz w:val="24"/>
          <w:szCs w:val="24"/>
        </w:rPr>
        <w:t>2</w:t>
      </w:r>
      <w:r w:rsidR="00326788" w:rsidRPr="00AD2D49">
        <w:rPr>
          <w:rFonts w:ascii="Times New Roman" w:hAnsi="Times New Roman" w:cs="Times New Roman"/>
          <w:sz w:val="24"/>
          <w:szCs w:val="24"/>
        </w:rPr>
        <w:t>5</w:t>
      </w:r>
      <w:r w:rsidR="00AC2B65" w:rsidRPr="00AD2D49">
        <w:rPr>
          <w:rFonts w:ascii="Times New Roman" w:hAnsi="Times New Roman" w:cs="Times New Roman"/>
          <w:sz w:val="24"/>
          <w:szCs w:val="24"/>
        </w:rPr>
        <w:t xml:space="preserve">; </w:t>
      </w:r>
      <w:r w:rsidR="008C1807" w:rsidRPr="00AD2D49">
        <w:rPr>
          <w:rFonts w:ascii="Times New Roman" w:hAnsi="Times New Roman" w:cs="Times New Roman"/>
          <w:sz w:val="24"/>
          <w:szCs w:val="24"/>
        </w:rPr>
        <w:t>3</w:t>
      </w:r>
      <w:r w:rsidR="00326788" w:rsidRPr="00AD2D49">
        <w:rPr>
          <w:rFonts w:ascii="Times New Roman" w:hAnsi="Times New Roman" w:cs="Times New Roman"/>
          <w:sz w:val="24"/>
          <w:szCs w:val="24"/>
        </w:rPr>
        <w:t>0</w:t>
      </w:r>
      <w:r w:rsidR="00D01C65" w:rsidRPr="00AD2D49">
        <w:rPr>
          <w:rFonts w:ascii="Times New Roman" w:hAnsi="Times New Roman" w:cs="Times New Roman"/>
          <w:sz w:val="24"/>
          <w:szCs w:val="24"/>
        </w:rPr>
        <w:t>] использование эволюционного анализа дополненного теорий укладов и волн дает возможность прогнозировать развитие с помощью «уточнения проблемной зоны таксономии технологического развития…» и понимания особенностей экономических и институциональных трансформаци</w:t>
      </w:r>
      <w:r w:rsidR="005D4484" w:rsidRPr="00AD2D49">
        <w:rPr>
          <w:rFonts w:ascii="Times New Roman" w:hAnsi="Times New Roman" w:cs="Times New Roman"/>
          <w:sz w:val="24"/>
          <w:szCs w:val="24"/>
        </w:rPr>
        <w:t>й</w:t>
      </w:r>
      <w:r w:rsidR="00D01C65" w:rsidRPr="00AD2D49">
        <w:rPr>
          <w:rFonts w:ascii="Times New Roman" w:hAnsi="Times New Roman" w:cs="Times New Roman"/>
          <w:sz w:val="24"/>
          <w:szCs w:val="24"/>
        </w:rPr>
        <w:t xml:space="preserve">. </w:t>
      </w:r>
      <w:r w:rsidR="003A3A82" w:rsidRPr="00AD2D49">
        <w:rPr>
          <w:rFonts w:ascii="Times New Roman" w:hAnsi="Times New Roman" w:cs="Times New Roman"/>
          <w:sz w:val="24"/>
          <w:szCs w:val="24"/>
        </w:rPr>
        <w:t xml:space="preserve">Математики и «технари» рассматривают для </w:t>
      </w:r>
      <w:r w:rsidR="005D4484" w:rsidRPr="00AD2D49">
        <w:rPr>
          <w:rFonts w:ascii="Times New Roman" w:hAnsi="Times New Roman" w:cs="Times New Roman"/>
          <w:sz w:val="24"/>
          <w:szCs w:val="24"/>
        </w:rPr>
        <w:t>прогнозирования</w:t>
      </w:r>
      <w:r w:rsidR="003A3A82" w:rsidRPr="00AD2D49">
        <w:rPr>
          <w:rFonts w:ascii="Times New Roman" w:hAnsi="Times New Roman" w:cs="Times New Roman"/>
          <w:sz w:val="24"/>
          <w:szCs w:val="24"/>
        </w:rPr>
        <w:t xml:space="preserve"> «…возможности упреждающего реагирования на появление двойных пузырей и выработки в людях иммунитета от эйфории периода процветания с неистребимой верой в их нескончаемость» [</w:t>
      </w:r>
      <w:r w:rsidR="008C1807" w:rsidRPr="00AD2D49">
        <w:rPr>
          <w:rFonts w:ascii="Times New Roman" w:hAnsi="Times New Roman" w:cs="Times New Roman"/>
          <w:sz w:val="24"/>
          <w:szCs w:val="24"/>
        </w:rPr>
        <w:t>9</w:t>
      </w:r>
      <w:r w:rsidR="00862CB7">
        <w:rPr>
          <w:rFonts w:ascii="Times New Roman" w:hAnsi="Times New Roman" w:cs="Times New Roman"/>
          <w:sz w:val="24"/>
          <w:szCs w:val="24"/>
        </w:rPr>
        <w:t>, с.</w:t>
      </w:r>
      <w:r w:rsidR="007608B9" w:rsidRPr="00AD2D49">
        <w:rPr>
          <w:rFonts w:ascii="Times New Roman" w:hAnsi="Times New Roman" w:cs="Times New Roman"/>
          <w:sz w:val="24"/>
          <w:szCs w:val="24"/>
        </w:rPr>
        <w:t>79-94</w:t>
      </w:r>
      <w:r w:rsidR="003A3A82" w:rsidRPr="00AD2D49">
        <w:rPr>
          <w:rFonts w:ascii="Times New Roman" w:hAnsi="Times New Roman" w:cs="Times New Roman"/>
          <w:sz w:val="24"/>
          <w:szCs w:val="24"/>
        </w:rPr>
        <w:t>]; выявления технико-технологических преобразований во взаимосвязи с научно-техническим прогрессом и развитием производства [</w:t>
      </w:r>
      <w:r w:rsidR="008C1807" w:rsidRPr="00AD2D49">
        <w:rPr>
          <w:rFonts w:ascii="Times New Roman" w:hAnsi="Times New Roman" w:cs="Times New Roman"/>
          <w:sz w:val="24"/>
          <w:szCs w:val="24"/>
        </w:rPr>
        <w:t>2</w:t>
      </w:r>
      <w:r w:rsidR="00326788" w:rsidRPr="00AD2D49">
        <w:rPr>
          <w:rFonts w:ascii="Times New Roman" w:hAnsi="Times New Roman" w:cs="Times New Roman"/>
          <w:sz w:val="24"/>
          <w:szCs w:val="24"/>
        </w:rPr>
        <w:t>0</w:t>
      </w:r>
      <w:r w:rsidR="008C1807" w:rsidRPr="00AD2D49">
        <w:rPr>
          <w:rFonts w:ascii="Times New Roman" w:hAnsi="Times New Roman" w:cs="Times New Roman"/>
          <w:sz w:val="24"/>
          <w:szCs w:val="24"/>
        </w:rPr>
        <w:t>-2</w:t>
      </w:r>
      <w:r w:rsidR="00326788" w:rsidRPr="00AD2D49">
        <w:rPr>
          <w:rFonts w:ascii="Times New Roman" w:hAnsi="Times New Roman" w:cs="Times New Roman"/>
          <w:sz w:val="24"/>
          <w:szCs w:val="24"/>
        </w:rPr>
        <w:t>1</w:t>
      </w:r>
      <w:r w:rsidR="003A3A82" w:rsidRPr="00AD2D49">
        <w:rPr>
          <w:rFonts w:ascii="Times New Roman" w:hAnsi="Times New Roman" w:cs="Times New Roman"/>
          <w:sz w:val="24"/>
          <w:szCs w:val="24"/>
        </w:rPr>
        <w:t>].</w:t>
      </w:r>
      <w:r w:rsidR="002550B5" w:rsidRPr="00AD2D49">
        <w:rPr>
          <w:rFonts w:ascii="Times New Roman" w:hAnsi="Times New Roman" w:cs="Times New Roman"/>
          <w:sz w:val="24"/>
          <w:szCs w:val="24"/>
        </w:rPr>
        <w:t xml:space="preserve"> Отождествляя технологический уклад со способом производства по </w:t>
      </w:r>
      <w:proofErr w:type="spellStart"/>
      <w:r w:rsidR="002550B5" w:rsidRPr="00AD2D49">
        <w:rPr>
          <w:rFonts w:ascii="Times New Roman" w:hAnsi="Times New Roman" w:cs="Times New Roman"/>
          <w:sz w:val="24"/>
          <w:szCs w:val="24"/>
        </w:rPr>
        <w:t>К.Марксу</w:t>
      </w:r>
      <w:proofErr w:type="spellEnd"/>
      <w:r w:rsidR="002550B5" w:rsidRPr="00AD2D49">
        <w:rPr>
          <w:rFonts w:ascii="Times New Roman" w:hAnsi="Times New Roman" w:cs="Times New Roman"/>
          <w:sz w:val="24"/>
          <w:szCs w:val="24"/>
        </w:rPr>
        <w:t>, [</w:t>
      </w:r>
      <w:r w:rsidR="008C1807" w:rsidRPr="00AD2D49">
        <w:rPr>
          <w:rFonts w:ascii="Times New Roman" w:hAnsi="Times New Roman" w:cs="Times New Roman"/>
          <w:sz w:val="24"/>
          <w:szCs w:val="24"/>
        </w:rPr>
        <w:t>2</w:t>
      </w:r>
      <w:r w:rsidR="00326788" w:rsidRPr="00AD2D49">
        <w:rPr>
          <w:rFonts w:ascii="Times New Roman" w:hAnsi="Times New Roman" w:cs="Times New Roman"/>
          <w:sz w:val="24"/>
          <w:szCs w:val="24"/>
        </w:rPr>
        <w:t>8</w:t>
      </w:r>
      <w:r w:rsidR="002550B5" w:rsidRPr="00AD2D49">
        <w:rPr>
          <w:rFonts w:ascii="Times New Roman" w:hAnsi="Times New Roman" w:cs="Times New Roman"/>
          <w:sz w:val="24"/>
          <w:szCs w:val="24"/>
        </w:rPr>
        <w:t xml:space="preserve">], подчеркивают </w:t>
      </w:r>
      <w:r w:rsidR="005D4484" w:rsidRPr="00AD2D49">
        <w:rPr>
          <w:rFonts w:ascii="Times New Roman" w:hAnsi="Times New Roman" w:cs="Times New Roman"/>
          <w:sz w:val="24"/>
          <w:szCs w:val="24"/>
        </w:rPr>
        <w:t>особую структуру экономики</w:t>
      </w:r>
      <w:r w:rsidR="002550B5" w:rsidRPr="00AD2D49">
        <w:rPr>
          <w:rFonts w:ascii="Times New Roman" w:hAnsi="Times New Roman" w:cs="Times New Roman"/>
          <w:sz w:val="24"/>
          <w:szCs w:val="24"/>
        </w:rPr>
        <w:t xml:space="preserve"> в странах с разными социально-экономическими отношениями.</w:t>
      </w:r>
    </w:p>
    <w:p w:rsidR="000369A2" w:rsidRPr="00AD2D49" w:rsidRDefault="007B5A65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Дискуссионным остается и вопрос о</w:t>
      </w:r>
      <w:r w:rsidRPr="00AD2D49">
        <w:rPr>
          <w:sz w:val="24"/>
          <w:szCs w:val="24"/>
        </w:rPr>
        <w:t xml:space="preserve"> </w:t>
      </w:r>
      <w:r w:rsidRPr="00AD2D49">
        <w:rPr>
          <w:rFonts w:ascii="Times New Roman" w:hAnsi="Times New Roman" w:cs="Times New Roman"/>
          <w:sz w:val="24"/>
          <w:szCs w:val="24"/>
        </w:rPr>
        <w:t xml:space="preserve">показателях определения уровня технологических укладов и развития социально-экономических систем. В качестве этих показателей </w:t>
      </w:r>
      <w:r w:rsidR="003179D6" w:rsidRPr="00AD2D49">
        <w:rPr>
          <w:rFonts w:ascii="Times New Roman" w:hAnsi="Times New Roman" w:cs="Times New Roman"/>
          <w:sz w:val="24"/>
          <w:szCs w:val="24"/>
        </w:rPr>
        <w:t>рекомендуется</w:t>
      </w:r>
      <w:r w:rsidRPr="00AD2D49">
        <w:rPr>
          <w:rFonts w:ascii="Times New Roman" w:hAnsi="Times New Roman" w:cs="Times New Roman"/>
          <w:sz w:val="24"/>
          <w:szCs w:val="24"/>
        </w:rPr>
        <w:t xml:space="preserve"> повышение уровня строения капитала, увеличение доли какой–либо отрасли народного хозяйства, рост объемов производства продуктов - представителей соответствующего уклада или масштаба распространения некоторых из его технологий [</w:t>
      </w:r>
      <w:r w:rsidR="00862CB7">
        <w:rPr>
          <w:rFonts w:ascii="Times New Roman" w:hAnsi="Times New Roman" w:cs="Times New Roman"/>
          <w:sz w:val="24"/>
          <w:szCs w:val="24"/>
        </w:rPr>
        <w:t>6, с.27-42; 10, с.</w:t>
      </w:r>
      <w:r w:rsidR="006B18CD" w:rsidRPr="00AD2D49">
        <w:rPr>
          <w:rFonts w:ascii="Times New Roman" w:hAnsi="Times New Roman" w:cs="Times New Roman"/>
          <w:sz w:val="24"/>
          <w:szCs w:val="24"/>
        </w:rPr>
        <w:t>79-84; 13</w:t>
      </w:r>
      <w:r w:rsidRPr="00AD2D49">
        <w:rPr>
          <w:rFonts w:ascii="Times New Roman" w:hAnsi="Times New Roman" w:cs="Times New Roman"/>
          <w:sz w:val="24"/>
          <w:szCs w:val="24"/>
        </w:rPr>
        <w:t xml:space="preserve">]. В свою очередь </w:t>
      </w:r>
      <w:r w:rsidR="00717BA8" w:rsidRPr="00AD2D49">
        <w:rPr>
          <w:rFonts w:ascii="Times New Roman" w:hAnsi="Times New Roman" w:cs="Times New Roman"/>
          <w:sz w:val="24"/>
          <w:szCs w:val="24"/>
        </w:rPr>
        <w:t>[</w:t>
      </w:r>
      <w:r w:rsidR="003B43B1" w:rsidRPr="00AD2D49">
        <w:rPr>
          <w:rFonts w:ascii="Times New Roman" w:hAnsi="Times New Roman" w:cs="Times New Roman"/>
          <w:sz w:val="24"/>
          <w:szCs w:val="24"/>
        </w:rPr>
        <w:t>2</w:t>
      </w:r>
      <w:r w:rsidR="00326788" w:rsidRPr="00AD2D49">
        <w:rPr>
          <w:rFonts w:ascii="Times New Roman" w:hAnsi="Times New Roman" w:cs="Times New Roman"/>
          <w:sz w:val="24"/>
          <w:szCs w:val="24"/>
        </w:rPr>
        <w:t>6</w:t>
      </w:r>
      <w:r w:rsidR="00862CB7">
        <w:rPr>
          <w:rFonts w:ascii="Times New Roman" w:hAnsi="Times New Roman" w:cs="Times New Roman"/>
          <w:sz w:val="24"/>
          <w:szCs w:val="24"/>
        </w:rPr>
        <w:t>, с.</w:t>
      </w:r>
      <w:r w:rsidR="003B43B1" w:rsidRPr="00AD2D49">
        <w:rPr>
          <w:rFonts w:ascii="Times New Roman" w:hAnsi="Times New Roman" w:cs="Times New Roman"/>
          <w:sz w:val="24"/>
          <w:szCs w:val="24"/>
        </w:rPr>
        <w:t>34-38; 3</w:t>
      </w:r>
      <w:r w:rsidR="00326788" w:rsidRPr="00AD2D49">
        <w:rPr>
          <w:rFonts w:ascii="Times New Roman" w:hAnsi="Times New Roman" w:cs="Times New Roman"/>
          <w:sz w:val="24"/>
          <w:szCs w:val="24"/>
        </w:rPr>
        <w:t>0</w:t>
      </w:r>
      <w:r w:rsidR="00717BA8" w:rsidRPr="00AD2D49">
        <w:rPr>
          <w:rFonts w:ascii="Times New Roman" w:hAnsi="Times New Roman" w:cs="Times New Roman"/>
          <w:sz w:val="24"/>
          <w:szCs w:val="24"/>
        </w:rPr>
        <w:t>]</w:t>
      </w:r>
      <w:r w:rsidR="004C5993" w:rsidRPr="00AD2D49">
        <w:rPr>
          <w:rFonts w:ascii="Times New Roman" w:hAnsi="Times New Roman" w:cs="Times New Roman"/>
          <w:sz w:val="24"/>
          <w:szCs w:val="24"/>
        </w:rPr>
        <w:t>,</w:t>
      </w:r>
      <w:r w:rsidR="00717BA8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Pr="00AD2D49">
        <w:rPr>
          <w:rFonts w:ascii="Times New Roman" w:hAnsi="Times New Roman" w:cs="Times New Roman"/>
          <w:sz w:val="24"/>
          <w:szCs w:val="24"/>
        </w:rPr>
        <w:t>выделяет группы показателе</w:t>
      </w:r>
      <w:r w:rsidR="00862CB7">
        <w:rPr>
          <w:rFonts w:ascii="Times New Roman" w:hAnsi="Times New Roman" w:cs="Times New Roman"/>
          <w:sz w:val="24"/>
          <w:szCs w:val="24"/>
        </w:rPr>
        <w:t>й</w:t>
      </w:r>
      <w:r w:rsidRPr="00AD2D49">
        <w:rPr>
          <w:rFonts w:ascii="Times New Roman" w:hAnsi="Times New Roman" w:cs="Times New Roman"/>
          <w:sz w:val="24"/>
          <w:szCs w:val="24"/>
        </w:rPr>
        <w:t>, отражающи</w:t>
      </w:r>
      <w:r w:rsidR="004C5993" w:rsidRPr="00AD2D49">
        <w:rPr>
          <w:rFonts w:ascii="Times New Roman" w:hAnsi="Times New Roman" w:cs="Times New Roman"/>
          <w:sz w:val="24"/>
          <w:szCs w:val="24"/>
        </w:rPr>
        <w:t>х</w:t>
      </w:r>
      <w:r w:rsidRPr="00AD2D49">
        <w:rPr>
          <w:rFonts w:ascii="Times New Roman" w:hAnsi="Times New Roman" w:cs="Times New Roman"/>
          <w:sz w:val="24"/>
          <w:szCs w:val="24"/>
        </w:rPr>
        <w:t xml:space="preserve"> жизненный цикл соответс</w:t>
      </w:r>
      <w:r w:rsidR="004C5993" w:rsidRPr="00AD2D49">
        <w:rPr>
          <w:rFonts w:ascii="Times New Roman" w:hAnsi="Times New Roman" w:cs="Times New Roman"/>
          <w:sz w:val="24"/>
          <w:szCs w:val="24"/>
        </w:rPr>
        <w:t>твующих технологических укладов</w:t>
      </w:r>
      <w:r w:rsidRPr="00AD2D49">
        <w:rPr>
          <w:rFonts w:ascii="Times New Roman" w:hAnsi="Times New Roman" w:cs="Times New Roman"/>
          <w:sz w:val="24"/>
          <w:szCs w:val="24"/>
        </w:rPr>
        <w:t>.</w:t>
      </w:r>
    </w:p>
    <w:p w:rsidR="000369A2" w:rsidRPr="00AD2D49" w:rsidRDefault="00DB7100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D49">
        <w:rPr>
          <w:rFonts w:ascii="Times New Roman" w:hAnsi="Times New Roman" w:cs="Times New Roman"/>
          <w:sz w:val="24"/>
          <w:szCs w:val="24"/>
        </w:rPr>
        <w:t>Опираясь на исследования [</w:t>
      </w:r>
      <w:r w:rsidR="00326788" w:rsidRPr="00AD2D49">
        <w:rPr>
          <w:rFonts w:ascii="Times New Roman" w:hAnsi="Times New Roman" w:cs="Times New Roman"/>
          <w:sz w:val="24"/>
          <w:szCs w:val="24"/>
        </w:rPr>
        <w:t>4-6; 16</w:t>
      </w:r>
      <w:r w:rsidRPr="00AD2D49">
        <w:rPr>
          <w:rFonts w:ascii="Times New Roman" w:hAnsi="Times New Roman" w:cs="Times New Roman"/>
          <w:sz w:val="24"/>
          <w:szCs w:val="24"/>
        </w:rPr>
        <w:t xml:space="preserve">], подчеркивая отсутствие достоверной статистической базы, а также </w:t>
      </w:r>
      <w:r w:rsidR="0024668B" w:rsidRPr="00AD2D49">
        <w:rPr>
          <w:rFonts w:ascii="Times New Roman" w:hAnsi="Times New Roman" w:cs="Times New Roman"/>
          <w:sz w:val="24"/>
          <w:szCs w:val="24"/>
        </w:rPr>
        <w:t>динамические</w:t>
      </w:r>
      <w:r w:rsidRPr="00AD2D49">
        <w:rPr>
          <w:rFonts w:ascii="Times New Roman" w:hAnsi="Times New Roman" w:cs="Times New Roman"/>
          <w:sz w:val="24"/>
          <w:szCs w:val="24"/>
        </w:rPr>
        <w:t xml:space="preserve"> трансформации </w:t>
      </w:r>
      <w:r w:rsidR="0024668B" w:rsidRPr="00AD2D49">
        <w:rPr>
          <w:rFonts w:ascii="Times New Roman" w:hAnsi="Times New Roman" w:cs="Times New Roman"/>
          <w:sz w:val="24"/>
          <w:szCs w:val="24"/>
        </w:rPr>
        <w:t>структуры и</w:t>
      </w:r>
      <w:r w:rsidRPr="00AD2D49">
        <w:rPr>
          <w:rFonts w:ascii="Times New Roman" w:hAnsi="Times New Roman" w:cs="Times New Roman"/>
          <w:sz w:val="24"/>
          <w:szCs w:val="24"/>
        </w:rPr>
        <w:t xml:space="preserve"> полезности продукции, за продолжительный период времени одного или нескольких циклов, В.</w:t>
      </w:r>
      <w:r w:rsidR="00D209F8" w:rsidRPr="00AD2D49">
        <w:rPr>
          <w:rFonts w:ascii="Times New Roman" w:hAnsi="Times New Roman" w:cs="Times New Roman"/>
          <w:sz w:val="24"/>
          <w:szCs w:val="24"/>
        </w:rPr>
        <w:t xml:space="preserve">И. </w:t>
      </w:r>
      <w:r w:rsidRPr="00AD2D49">
        <w:rPr>
          <w:rFonts w:ascii="Times New Roman" w:hAnsi="Times New Roman" w:cs="Times New Roman"/>
          <w:sz w:val="24"/>
          <w:szCs w:val="24"/>
        </w:rPr>
        <w:t>Маевский [</w:t>
      </w:r>
      <w:r w:rsidR="00650DB2">
        <w:rPr>
          <w:rFonts w:ascii="Times New Roman" w:hAnsi="Times New Roman" w:cs="Times New Roman"/>
          <w:sz w:val="24"/>
          <w:szCs w:val="24"/>
        </w:rPr>
        <w:t>17, с.</w:t>
      </w:r>
      <w:r w:rsidR="00326788" w:rsidRPr="00AD2D49">
        <w:rPr>
          <w:rFonts w:ascii="Times New Roman" w:hAnsi="Times New Roman" w:cs="Times New Roman"/>
          <w:sz w:val="24"/>
          <w:szCs w:val="24"/>
        </w:rPr>
        <w:t>4-16</w:t>
      </w:r>
      <w:r w:rsidRPr="00AD2D49">
        <w:rPr>
          <w:rFonts w:ascii="Times New Roman" w:hAnsi="Times New Roman" w:cs="Times New Roman"/>
          <w:sz w:val="24"/>
          <w:szCs w:val="24"/>
        </w:rPr>
        <w:t>] обосновывает концепцию, определяющую качество деятельности системы, через потребляемую экономикой природную энергию, что позволяет ассоциировать смену технологических укладов с эволюцией первичных энергоносителей, а ВНП – с их суммарным потреблением.</w:t>
      </w:r>
      <w:proofErr w:type="gramEnd"/>
      <w:r w:rsidRPr="00AD2D49">
        <w:rPr>
          <w:rFonts w:ascii="Times New Roman" w:hAnsi="Times New Roman" w:cs="Times New Roman"/>
          <w:sz w:val="24"/>
          <w:szCs w:val="24"/>
        </w:rPr>
        <w:t xml:space="preserve"> Исходя из этой концепции</w:t>
      </w:r>
      <w:r w:rsidR="0024668B" w:rsidRPr="00AD2D49">
        <w:rPr>
          <w:rFonts w:ascii="Times New Roman" w:hAnsi="Times New Roman" w:cs="Times New Roman"/>
          <w:sz w:val="24"/>
          <w:szCs w:val="24"/>
        </w:rPr>
        <w:t>,</w:t>
      </w:r>
      <w:r w:rsidRPr="00AD2D49">
        <w:rPr>
          <w:rFonts w:ascii="Times New Roman" w:hAnsi="Times New Roman" w:cs="Times New Roman"/>
          <w:sz w:val="24"/>
          <w:szCs w:val="24"/>
        </w:rPr>
        <w:t xml:space="preserve"> зарождения шестого технологического уклада не было, так как новые источники дешевой, безопасной энерг</w:t>
      </w:r>
      <w:proofErr w:type="gramStart"/>
      <w:r w:rsidRPr="00AD2D4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D2D49">
        <w:rPr>
          <w:rFonts w:ascii="Times New Roman" w:hAnsi="Times New Roman" w:cs="Times New Roman"/>
          <w:sz w:val="24"/>
          <w:szCs w:val="24"/>
        </w:rPr>
        <w:t xml:space="preserve"> эффективные аккумуляторы, которые должны лежать в его основе</w:t>
      </w:r>
      <w:r w:rsidR="0024668B" w:rsidRPr="00AD2D49">
        <w:rPr>
          <w:rFonts w:ascii="Times New Roman" w:hAnsi="Times New Roman" w:cs="Times New Roman"/>
          <w:sz w:val="24"/>
          <w:szCs w:val="24"/>
        </w:rPr>
        <w:t>,</w:t>
      </w:r>
      <w:r w:rsidRPr="00AD2D49">
        <w:rPr>
          <w:rFonts w:ascii="Times New Roman" w:hAnsi="Times New Roman" w:cs="Times New Roman"/>
          <w:sz w:val="24"/>
          <w:szCs w:val="24"/>
        </w:rPr>
        <w:t xml:space="preserve"> еще не созданы, что противоречит выдвинутым ранее теориям.</w:t>
      </w:r>
    </w:p>
    <w:p w:rsidR="00841E59" w:rsidRPr="00AD2D49" w:rsidRDefault="00841E59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 xml:space="preserve">Для определения вклада отраслей с различным уровнем технологического развития в совокупный объем производства страны, а также для выявления потенциальных резервов роста </w:t>
      </w:r>
      <w:r w:rsidR="008D4F58" w:rsidRPr="00AD2D49">
        <w:rPr>
          <w:rFonts w:ascii="Times New Roman" w:hAnsi="Times New Roman" w:cs="Times New Roman"/>
          <w:sz w:val="24"/>
          <w:szCs w:val="24"/>
        </w:rPr>
        <w:t>наукоёмкой</w:t>
      </w:r>
      <w:r w:rsidRPr="00AD2D49">
        <w:rPr>
          <w:rFonts w:ascii="Times New Roman" w:hAnsi="Times New Roman" w:cs="Times New Roman"/>
          <w:sz w:val="24"/>
          <w:szCs w:val="24"/>
        </w:rPr>
        <w:t xml:space="preserve"> продукции [</w:t>
      </w:r>
      <w:r w:rsidR="00650DB2">
        <w:rPr>
          <w:rFonts w:ascii="Times New Roman" w:hAnsi="Times New Roman" w:cs="Times New Roman"/>
          <w:sz w:val="24"/>
          <w:szCs w:val="24"/>
        </w:rPr>
        <w:t>18, с.210-211; 29, с.</w:t>
      </w:r>
      <w:r w:rsidR="00C04D4A" w:rsidRPr="00AD2D49">
        <w:rPr>
          <w:rFonts w:ascii="Times New Roman" w:hAnsi="Times New Roman" w:cs="Times New Roman"/>
          <w:sz w:val="24"/>
          <w:szCs w:val="24"/>
        </w:rPr>
        <w:t>40-49</w:t>
      </w:r>
      <w:r w:rsidRPr="00AD2D49">
        <w:rPr>
          <w:rFonts w:ascii="Times New Roman" w:hAnsi="Times New Roman" w:cs="Times New Roman"/>
          <w:sz w:val="24"/>
          <w:szCs w:val="24"/>
        </w:rPr>
        <w:t>] используют методику присвоения категорий и коэффициентов, для отнесения той или иной отрасли или вида экономической деятельности к соответствующему технологическому укладу.</w:t>
      </w:r>
    </w:p>
    <w:p w:rsidR="00841E59" w:rsidRPr="00AD2D49" w:rsidRDefault="00841E59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Характеристик</w:t>
      </w:r>
      <w:r w:rsidR="0006370C" w:rsidRPr="00AD2D49">
        <w:rPr>
          <w:rFonts w:ascii="Times New Roman" w:hAnsi="Times New Roman" w:cs="Times New Roman"/>
          <w:sz w:val="24"/>
          <w:szCs w:val="24"/>
        </w:rPr>
        <w:t>у</w:t>
      </w:r>
      <w:r w:rsidRPr="00AD2D49">
        <w:rPr>
          <w:rFonts w:ascii="Times New Roman" w:hAnsi="Times New Roman" w:cs="Times New Roman"/>
          <w:sz w:val="24"/>
          <w:szCs w:val="24"/>
        </w:rPr>
        <w:t xml:space="preserve"> и периодизацию технологических укладов в определенном секторе экономики рассматривают </w:t>
      </w:r>
      <w:r w:rsidR="00DE5476" w:rsidRPr="00AD2D49">
        <w:rPr>
          <w:rFonts w:ascii="Times New Roman" w:hAnsi="Times New Roman" w:cs="Times New Roman"/>
          <w:sz w:val="24"/>
          <w:szCs w:val="24"/>
        </w:rPr>
        <w:t>[</w:t>
      </w:r>
      <w:r w:rsidR="00650DB2">
        <w:rPr>
          <w:rFonts w:ascii="Times New Roman" w:hAnsi="Times New Roman" w:cs="Times New Roman"/>
          <w:sz w:val="24"/>
          <w:szCs w:val="24"/>
        </w:rPr>
        <w:t>7, с.</w:t>
      </w:r>
      <w:r w:rsidR="002D25B0" w:rsidRPr="00AD2D49">
        <w:rPr>
          <w:rFonts w:ascii="Times New Roman" w:hAnsi="Times New Roman" w:cs="Times New Roman"/>
          <w:sz w:val="24"/>
          <w:szCs w:val="24"/>
        </w:rPr>
        <w:t>13-17</w:t>
      </w:r>
      <w:r w:rsidR="00DE5476" w:rsidRPr="00AD2D49">
        <w:rPr>
          <w:rFonts w:ascii="Times New Roman" w:hAnsi="Times New Roman" w:cs="Times New Roman"/>
          <w:sz w:val="24"/>
          <w:szCs w:val="24"/>
        </w:rPr>
        <w:t>]</w:t>
      </w:r>
      <w:r w:rsidRPr="00AD2D49">
        <w:rPr>
          <w:rFonts w:ascii="Times New Roman" w:hAnsi="Times New Roman" w:cs="Times New Roman"/>
          <w:sz w:val="24"/>
          <w:szCs w:val="24"/>
        </w:rPr>
        <w:t xml:space="preserve">, как интенсивно-технократический уклад, и </w:t>
      </w:r>
      <w:r w:rsidR="00DE5476" w:rsidRPr="00AD2D49">
        <w:rPr>
          <w:rFonts w:ascii="Times New Roman" w:hAnsi="Times New Roman" w:cs="Times New Roman"/>
          <w:sz w:val="24"/>
          <w:szCs w:val="24"/>
        </w:rPr>
        <w:t>[</w:t>
      </w:r>
      <w:r w:rsidR="00901E96" w:rsidRPr="00AD2D49">
        <w:rPr>
          <w:rFonts w:ascii="Times New Roman" w:hAnsi="Times New Roman" w:cs="Times New Roman"/>
          <w:sz w:val="24"/>
          <w:szCs w:val="24"/>
        </w:rPr>
        <w:t>15, с.3-6</w:t>
      </w:r>
      <w:r w:rsidR="00DE5476" w:rsidRPr="00AD2D49">
        <w:rPr>
          <w:rFonts w:ascii="Times New Roman" w:hAnsi="Times New Roman" w:cs="Times New Roman"/>
          <w:sz w:val="24"/>
          <w:szCs w:val="24"/>
        </w:rPr>
        <w:t>]</w:t>
      </w:r>
      <w:r w:rsidRPr="00AD2D49">
        <w:rPr>
          <w:rFonts w:ascii="Times New Roman" w:hAnsi="Times New Roman" w:cs="Times New Roman"/>
          <w:sz w:val="24"/>
          <w:szCs w:val="24"/>
        </w:rPr>
        <w:t>, как организационно-технологический уклад.</w:t>
      </w:r>
    </w:p>
    <w:p w:rsidR="008D4F58" w:rsidRPr="00AD2D49" w:rsidRDefault="00DE5476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Для моделирования с учётом влияния технологических укладов на развитие макротенденций, [</w:t>
      </w:r>
      <w:r w:rsidR="004F3C1A" w:rsidRPr="00AD2D49">
        <w:rPr>
          <w:rFonts w:ascii="Times New Roman" w:hAnsi="Times New Roman" w:cs="Times New Roman"/>
          <w:sz w:val="24"/>
          <w:szCs w:val="24"/>
        </w:rPr>
        <w:t>20</w:t>
      </w:r>
      <w:r w:rsidRPr="00AD2D49">
        <w:rPr>
          <w:rFonts w:ascii="Times New Roman" w:hAnsi="Times New Roman" w:cs="Times New Roman"/>
          <w:sz w:val="24"/>
          <w:szCs w:val="24"/>
        </w:rPr>
        <w:t>] используют показатели численност</w:t>
      </w:r>
      <w:r w:rsidR="0006370C" w:rsidRPr="00AD2D49">
        <w:rPr>
          <w:rFonts w:ascii="Times New Roman" w:hAnsi="Times New Roman" w:cs="Times New Roman"/>
          <w:sz w:val="24"/>
          <w:szCs w:val="24"/>
        </w:rPr>
        <w:t>и</w:t>
      </w:r>
      <w:r w:rsidRPr="00AD2D49">
        <w:rPr>
          <w:rFonts w:ascii="Times New Roman" w:hAnsi="Times New Roman" w:cs="Times New Roman"/>
          <w:sz w:val="24"/>
          <w:szCs w:val="24"/>
        </w:rPr>
        <w:t xml:space="preserve"> населения Земли, мирово</w:t>
      </w:r>
      <w:r w:rsidR="0006370C" w:rsidRPr="00AD2D49">
        <w:rPr>
          <w:rFonts w:ascii="Times New Roman" w:hAnsi="Times New Roman" w:cs="Times New Roman"/>
          <w:sz w:val="24"/>
          <w:szCs w:val="24"/>
        </w:rPr>
        <w:t>го</w:t>
      </w:r>
      <w:r w:rsidRPr="00AD2D49">
        <w:rPr>
          <w:rFonts w:ascii="Times New Roman" w:hAnsi="Times New Roman" w:cs="Times New Roman"/>
          <w:sz w:val="24"/>
          <w:szCs w:val="24"/>
        </w:rPr>
        <w:t xml:space="preserve"> ВВП и энергозатрат на его единицу, миров</w:t>
      </w:r>
      <w:r w:rsidR="0006370C" w:rsidRPr="00AD2D49">
        <w:rPr>
          <w:rFonts w:ascii="Times New Roman" w:hAnsi="Times New Roman" w:cs="Times New Roman"/>
          <w:sz w:val="24"/>
          <w:szCs w:val="24"/>
        </w:rPr>
        <w:t>ой</w:t>
      </w:r>
      <w:r w:rsidRPr="00AD2D49">
        <w:rPr>
          <w:rFonts w:ascii="Times New Roman" w:hAnsi="Times New Roman" w:cs="Times New Roman"/>
          <w:sz w:val="24"/>
          <w:szCs w:val="24"/>
        </w:rPr>
        <w:t xml:space="preserve"> грамотност</w:t>
      </w:r>
      <w:r w:rsidR="0006370C" w:rsidRPr="00AD2D49">
        <w:rPr>
          <w:rFonts w:ascii="Times New Roman" w:hAnsi="Times New Roman" w:cs="Times New Roman"/>
          <w:sz w:val="24"/>
          <w:szCs w:val="24"/>
        </w:rPr>
        <w:t>и</w:t>
      </w:r>
      <w:r w:rsidRPr="00AD2D49">
        <w:rPr>
          <w:rFonts w:ascii="Times New Roman" w:hAnsi="Times New Roman" w:cs="Times New Roman"/>
          <w:sz w:val="24"/>
          <w:szCs w:val="24"/>
        </w:rPr>
        <w:t xml:space="preserve"> населения, динамик</w:t>
      </w:r>
      <w:r w:rsidR="0006370C" w:rsidRPr="00AD2D49">
        <w:rPr>
          <w:rFonts w:ascii="Times New Roman" w:hAnsi="Times New Roman" w:cs="Times New Roman"/>
          <w:sz w:val="24"/>
          <w:szCs w:val="24"/>
        </w:rPr>
        <w:t>и</w:t>
      </w:r>
      <w:r w:rsidRPr="00AD2D49">
        <w:rPr>
          <w:rFonts w:ascii="Times New Roman" w:hAnsi="Times New Roman" w:cs="Times New Roman"/>
          <w:sz w:val="24"/>
          <w:szCs w:val="24"/>
        </w:rPr>
        <w:t xml:space="preserve"> роста мировой урбанизации, расход</w:t>
      </w:r>
      <w:r w:rsidR="0006370C" w:rsidRPr="00AD2D49">
        <w:rPr>
          <w:rFonts w:ascii="Times New Roman" w:hAnsi="Times New Roman" w:cs="Times New Roman"/>
          <w:sz w:val="24"/>
          <w:szCs w:val="24"/>
        </w:rPr>
        <w:t>ов</w:t>
      </w:r>
      <w:r w:rsidRPr="00AD2D49">
        <w:rPr>
          <w:rFonts w:ascii="Times New Roman" w:hAnsi="Times New Roman" w:cs="Times New Roman"/>
          <w:sz w:val="24"/>
          <w:szCs w:val="24"/>
        </w:rPr>
        <w:t xml:space="preserve"> на ресурсовосстановление и природоохранные мероприятия, инвестици</w:t>
      </w:r>
      <w:r w:rsidR="00D47DC7" w:rsidRPr="00AD2D49">
        <w:rPr>
          <w:rFonts w:ascii="Times New Roman" w:hAnsi="Times New Roman" w:cs="Times New Roman"/>
          <w:sz w:val="24"/>
          <w:szCs w:val="24"/>
        </w:rPr>
        <w:t>й</w:t>
      </w:r>
      <w:r w:rsidRPr="00AD2D49">
        <w:rPr>
          <w:rFonts w:ascii="Times New Roman" w:hAnsi="Times New Roman" w:cs="Times New Roman"/>
          <w:sz w:val="24"/>
          <w:szCs w:val="24"/>
        </w:rPr>
        <w:t xml:space="preserve"> в</w:t>
      </w:r>
      <w:r w:rsidR="00471B6E" w:rsidRPr="00AD2D49">
        <w:rPr>
          <w:rFonts w:ascii="Times New Roman" w:hAnsi="Times New Roman" w:cs="Times New Roman"/>
          <w:sz w:val="24"/>
          <w:szCs w:val="24"/>
        </w:rPr>
        <w:t xml:space="preserve"> основной капитал и мировую эффективность инвестиций. </w:t>
      </w:r>
    </w:p>
    <w:p w:rsidR="000369A2" w:rsidRPr="00AD2D49" w:rsidRDefault="002707E1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Обращает на себя внимание убежденность к</w:t>
      </w:r>
      <w:r w:rsidR="00841E59" w:rsidRPr="00AD2D49">
        <w:rPr>
          <w:rFonts w:ascii="Times New Roman" w:hAnsi="Times New Roman" w:cs="Times New Roman"/>
          <w:sz w:val="24"/>
          <w:szCs w:val="24"/>
        </w:rPr>
        <w:t>ажд</w:t>
      </w:r>
      <w:r w:rsidRPr="00AD2D49">
        <w:rPr>
          <w:rFonts w:ascii="Times New Roman" w:hAnsi="Times New Roman" w:cs="Times New Roman"/>
          <w:sz w:val="24"/>
          <w:szCs w:val="24"/>
        </w:rPr>
        <w:t>ой</w:t>
      </w:r>
      <w:r w:rsidR="00841E59" w:rsidRPr="00AD2D49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AD2D49">
        <w:rPr>
          <w:rFonts w:ascii="Times New Roman" w:hAnsi="Times New Roman" w:cs="Times New Roman"/>
          <w:sz w:val="24"/>
          <w:szCs w:val="24"/>
        </w:rPr>
        <w:t>ы</w:t>
      </w:r>
      <w:r w:rsidR="00841E59" w:rsidRPr="00AD2D49">
        <w:rPr>
          <w:rFonts w:ascii="Times New Roman" w:hAnsi="Times New Roman" w:cs="Times New Roman"/>
          <w:sz w:val="24"/>
          <w:szCs w:val="24"/>
        </w:rPr>
        <w:t xml:space="preserve"> исследователей, что </w:t>
      </w:r>
      <w:r w:rsidR="00D47DC7" w:rsidRPr="00AD2D49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841E59" w:rsidRPr="00AD2D49">
        <w:rPr>
          <w:rFonts w:ascii="Times New Roman" w:hAnsi="Times New Roman" w:cs="Times New Roman"/>
          <w:sz w:val="24"/>
          <w:szCs w:val="24"/>
        </w:rPr>
        <w:t>их направление анализа</w:t>
      </w:r>
      <w:r w:rsidRPr="00AD2D49">
        <w:rPr>
          <w:rFonts w:ascii="Times New Roman" w:hAnsi="Times New Roman" w:cs="Times New Roman"/>
          <w:sz w:val="24"/>
          <w:szCs w:val="24"/>
        </w:rPr>
        <w:t xml:space="preserve"> и</w:t>
      </w:r>
      <w:r w:rsidR="00841E59" w:rsidRPr="00AD2D49">
        <w:rPr>
          <w:rFonts w:ascii="Times New Roman" w:hAnsi="Times New Roman" w:cs="Times New Roman"/>
          <w:sz w:val="24"/>
          <w:szCs w:val="24"/>
        </w:rPr>
        <w:t xml:space="preserve"> метода определения технологического уклада, позволя</w:t>
      </w:r>
      <w:r w:rsidR="00D47DC7" w:rsidRPr="00AD2D49">
        <w:rPr>
          <w:rFonts w:ascii="Times New Roman" w:hAnsi="Times New Roman" w:cs="Times New Roman"/>
          <w:sz w:val="24"/>
          <w:szCs w:val="24"/>
        </w:rPr>
        <w:t>ю</w:t>
      </w:r>
      <w:r w:rsidR="00841E59" w:rsidRPr="00AD2D49">
        <w:rPr>
          <w:rFonts w:ascii="Times New Roman" w:hAnsi="Times New Roman" w:cs="Times New Roman"/>
          <w:sz w:val="24"/>
          <w:szCs w:val="24"/>
        </w:rPr>
        <w:t>т достичь наиболее высок</w:t>
      </w:r>
      <w:r w:rsidR="00D47DC7" w:rsidRPr="00AD2D49">
        <w:rPr>
          <w:rFonts w:ascii="Times New Roman" w:hAnsi="Times New Roman" w:cs="Times New Roman"/>
          <w:sz w:val="24"/>
          <w:szCs w:val="24"/>
        </w:rPr>
        <w:t>их</w:t>
      </w:r>
      <w:r w:rsidR="00841E59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D47DC7" w:rsidRPr="00AD2D49">
        <w:rPr>
          <w:rFonts w:ascii="Times New Roman" w:hAnsi="Times New Roman" w:cs="Times New Roman"/>
          <w:sz w:val="24"/>
          <w:szCs w:val="24"/>
        </w:rPr>
        <w:t>результатов</w:t>
      </w:r>
      <w:r w:rsidR="00841E59" w:rsidRPr="00AD2D49">
        <w:rPr>
          <w:rFonts w:ascii="Times New Roman" w:hAnsi="Times New Roman" w:cs="Times New Roman"/>
          <w:sz w:val="24"/>
          <w:szCs w:val="24"/>
        </w:rPr>
        <w:t xml:space="preserve"> теоретического обобщения</w:t>
      </w:r>
      <w:r w:rsidR="00D47DC7" w:rsidRPr="00AD2D49">
        <w:rPr>
          <w:rFonts w:ascii="Times New Roman" w:hAnsi="Times New Roman" w:cs="Times New Roman"/>
          <w:sz w:val="24"/>
          <w:szCs w:val="24"/>
        </w:rPr>
        <w:t>,</w:t>
      </w:r>
      <w:r w:rsidR="00841E59" w:rsidRPr="00AD2D49">
        <w:rPr>
          <w:rFonts w:ascii="Times New Roman" w:hAnsi="Times New Roman" w:cs="Times New Roman"/>
          <w:sz w:val="24"/>
          <w:szCs w:val="24"/>
        </w:rPr>
        <w:t xml:space="preserve"> вбира</w:t>
      </w:r>
      <w:r w:rsidR="00D47DC7" w:rsidRPr="00AD2D49">
        <w:rPr>
          <w:rFonts w:ascii="Times New Roman" w:hAnsi="Times New Roman" w:cs="Times New Roman"/>
          <w:sz w:val="24"/>
          <w:szCs w:val="24"/>
        </w:rPr>
        <w:t>я</w:t>
      </w:r>
      <w:r w:rsidR="00841E59" w:rsidRPr="00AD2D49">
        <w:rPr>
          <w:rFonts w:ascii="Times New Roman" w:hAnsi="Times New Roman" w:cs="Times New Roman"/>
          <w:sz w:val="24"/>
          <w:szCs w:val="24"/>
        </w:rPr>
        <w:t xml:space="preserve"> в себя все остальны</w:t>
      </w:r>
      <w:r w:rsidRPr="00AD2D49">
        <w:rPr>
          <w:rFonts w:ascii="Times New Roman" w:hAnsi="Times New Roman" w:cs="Times New Roman"/>
          <w:sz w:val="24"/>
          <w:szCs w:val="24"/>
        </w:rPr>
        <w:t>е теории в виде частных случаев</w:t>
      </w:r>
      <w:r w:rsidR="00D47DC7" w:rsidRPr="00AD2D49">
        <w:rPr>
          <w:rFonts w:ascii="Times New Roman" w:hAnsi="Times New Roman" w:cs="Times New Roman"/>
          <w:sz w:val="24"/>
          <w:szCs w:val="24"/>
        </w:rPr>
        <w:t>, а затем использовать полученные данные</w:t>
      </w:r>
      <w:r w:rsidRPr="00AD2D49">
        <w:rPr>
          <w:rFonts w:ascii="Times New Roman" w:hAnsi="Times New Roman" w:cs="Times New Roman"/>
          <w:sz w:val="24"/>
          <w:szCs w:val="24"/>
        </w:rPr>
        <w:t xml:space="preserve"> для прогнозирования развития социально-экономических систем. </w:t>
      </w:r>
    </w:p>
    <w:p w:rsidR="000369A2" w:rsidRPr="00AD2D49" w:rsidRDefault="00235571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Известно, что</w:t>
      </w:r>
      <w:r w:rsidR="0058454E" w:rsidRPr="00AD2D49">
        <w:rPr>
          <w:rFonts w:ascii="Times New Roman" w:hAnsi="Times New Roman" w:cs="Times New Roman"/>
          <w:sz w:val="24"/>
          <w:szCs w:val="24"/>
        </w:rPr>
        <w:t xml:space="preserve"> во второй половине ХХ в. было разработано более 100 методов прогнозирования технологических, </w:t>
      </w:r>
      <w:proofErr w:type="gramStart"/>
      <w:r w:rsidR="0058454E" w:rsidRPr="00AD2D49">
        <w:rPr>
          <w:rFonts w:ascii="Times New Roman" w:hAnsi="Times New Roman" w:cs="Times New Roman"/>
          <w:sz w:val="24"/>
          <w:szCs w:val="24"/>
        </w:rPr>
        <w:t>экономических и социальных процессов</w:t>
      </w:r>
      <w:proofErr w:type="gramEnd"/>
      <w:r w:rsidR="0058454E" w:rsidRPr="00AD2D4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AD2D49">
        <w:rPr>
          <w:rFonts w:ascii="Times New Roman" w:hAnsi="Times New Roman" w:cs="Times New Roman"/>
          <w:sz w:val="24"/>
          <w:szCs w:val="24"/>
        </w:rPr>
        <w:t>подходов</w:t>
      </w:r>
      <w:r w:rsidR="0058454E" w:rsidRPr="00AD2D49">
        <w:rPr>
          <w:rFonts w:ascii="Times New Roman" w:hAnsi="Times New Roman" w:cs="Times New Roman"/>
          <w:sz w:val="24"/>
          <w:szCs w:val="24"/>
        </w:rPr>
        <w:t xml:space="preserve"> оценки возможностей осуществления и последствий принятых решений, совершенствование которых продолжается и в настоящее время. </w:t>
      </w:r>
    </w:p>
    <w:p w:rsidR="0041593F" w:rsidRPr="00AD2D49" w:rsidRDefault="00F62C65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lastRenderedPageBreak/>
        <w:t>Постепенно прогнозирование и обоснование как четко обозначенных, так и слабо структури</w:t>
      </w:r>
      <w:r w:rsidR="00235571" w:rsidRPr="00AD2D49">
        <w:rPr>
          <w:rFonts w:ascii="Times New Roman" w:hAnsi="Times New Roman" w:cs="Times New Roman"/>
          <w:sz w:val="24"/>
          <w:szCs w:val="24"/>
        </w:rPr>
        <w:t>р</w:t>
      </w:r>
      <w:r w:rsidRPr="00AD2D49">
        <w:rPr>
          <w:rFonts w:ascii="Times New Roman" w:hAnsi="Times New Roman" w:cs="Times New Roman"/>
          <w:sz w:val="24"/>
          <w:szCs w:val="24"/>
        </w:rPr>
        <w:t>ованных проблем стали концентрироваться на способах их решения, к числу которых относились, прежде всего, технологии.</w:t>
      </w:r>
      <w:r w:rsidR="00235571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9E1099" w:rsidRPr="00AD2D49">
        <w:rPr>
          <w:rFonts w:ascii="Times New Roman" w:hAnsi="Times New Roman" w:cs="Times New Roman"/>
          <w:sz w:val="24"/>
          <w:szCs w:val="24"/>
        </w:rPr>
        <w:t>Однако</w:t>
      </w:r>
      <w:r w:rsidR="00D36809" w:rsidRPr="00AD2D49">
        <w:rPr>
          <w:rFonts w:ascii="Times New Roman" w:hAnsi="Times New Roman" w:cs="Times New Roman"/>
          <w:sz w:val="24"/>
          <w:szCs w:val="24"/>
        </w:rPr>
        <w:t>, инновационно-технологические прогнозы, хоть и взаимодейству</w:t>
      </w:r>
      <w:r w:rsidR="00235571" w:rsidRPr="00AD2D49">
        <w:rPr>
          <w:rFonts w:ascii="Times New Roman" w:hAnsi="Times New Roman" w:cs="Times New Roman"/>
          <w:sz w:val="24"/>
          <w:szCs w:val="24"/>
        </w:rPr>
        <w:t>ют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с социально-экономическими</w:t>
      </w:r>
      <w:r w:rsidR="00235571" w:rsidRPr="00AD2D49">
        <w:rPr>
          <w:rFonts w:ascii="Times New Roman" w:hAnsi="Times New Roman" w:cs="Times New Roman"/>
          <w:sz w:val="24"/>
          <w:szCs w:val="24"/>
        </w:rPr>
        <w:t xml:space="preserve"> перспективами, в </w:t>
      </w:r>
      <w:r w:rsidR="00D36809" w:rsidRPr="00AD2D49">
        <w:rPr>
          <w:rFonts w:ascii="Times New Roman" w:hAnsi="Times New Roman" w:cs="Times New Roman"/>
          <w:sz w:val="24"/>
          <w:szCs w:val="24"/>
        </w:rPr>
        <w:t>значительно</w:t>
      </w:r>
      <w:r w:rsidR="00235571" w:rsidRPr="00AD2D49">
        <w:rPr>
          <w:rFonts w:ascii="Times New Roman" w:hAnsi="Times New Roman" w:cs="Times New Roman"/>
          <w:sz w:val="24"/>
          <w:szCs w:val="24"/>
        </w:rPr>
        <w:t>й мере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443BC7" w:rsidRPr="00AD2D49">
        <w:rPr>
          <w:rFonts w:ascii="Times New Roman" w:hAnsi="Times New Roman" w:cs="Times New Roman"/>
          <w:sz w:val="24"/>
          <w:szCs w:val="24"/>
        </w:rPr>
        <w:t>различаются,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235571" w:rsidRPr="00AD2D49"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443BC7" w:rsidRPr="00AD2D49">
        <w:rPr>
          <w:rFonts w:ascii="Times New Roman" w:hAnsi="Times New Roman" w:cs="Times New Roman"/>
          <w:sz w:val="24"/>
          <w:szCs w:val="24"/>
        </w:rPr>
        <w:t>всего,</w:t>
      </w:r>
      <w:r w:rsidR="00235571" w:rsidRPr="00AD2D49">
        <w:rPr>
          <w:rFonts w:ascii="Times New Roman" w:hAnsi="Times New Roman" w:cs="Times New Roman"/>
          <w:sz w:val="24"/>
          <w:szCs w:val="24"/>
        </w:rPr>
        <w:t xml:space="preserve"> по выбору соответствующей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методологи</w:t>
      </w:r>
      <w:r w:rsidR="00235571" w:rsidRPr="00AD2D49">
        <w:rPr>
          <w:rFonts w:ascii="Times New Roman" w:hAnsi="Times New Roman" w:cs="Times New Roman"/>
          <w:sz w:val="24"/>
          <w:szCs w:val="24"/>
        </w:rPr>
        <w:t>и</w:t>
      </w:r>
      <w:r w:rsidR="00D36809" w:rsidRPr="00AD2D49">
        <w:rPr>
          <w:rFonts w:ascii="Times New Roman" w:hAnsi="Times New Roman" w:cs="Times New Roman"/>
          <w:sz w:val="24"/>
          <w:szCs w:val="24"/>
        </w:rPr>
        <w:t>. Так, если на макр</w:t>
      </w:r>
      <w:proofErr w:type="gramStart"/>
      <w:r w:rsidR="00D36809" w:rsidRPr="00AD2D4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36809" w:rsidRPr="00AD2D49">
        <w:rPr>
          <w:rFonts w:ascii="Times New Roman" w:hAnsi="Times New Roman" w:cs="Times New Roman"/>
          <w:sz w:val="24"/>
          <w:szCs w:val="24"/>
        </w:rPr>
        <w:t xml:space="preserve"> и микроуровнях одним из главных параметров прогнозируемого социально-экономического развития является время его свершения, а также необходимые ресурсы, то для инновационно-технологических</w:t>
      </w:r>
      <w:r w:rsidR="00E6414F" w:rsidRPr="00AD2D49">
        <w:rPr>
          <w:rFonts w:ascii="Times New Roman" w:hAnsi="Times New Roman" w:cs="Times New Roman"/>
          <w:sz w:val="24"/>
          <w:szCs w:val="24"/>
        </w:rPr>
        <w:t xml:space="preserve"> стратегий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, первоначальны сами события и их характеристики. Иначе говоря, сначала необходимо прогнозировать сами технологии и их компоненты, установить их характеристики и оценить </w:t>
      </w:r>
      <w:r w:rsidR="00DC461D" w:rsidRPr="00AD2D49">
        <w:rPr>
          <w:rFonts w:ascii="Times New Roman" w:hAnsi="Times New Roman" w:cs="Times New Roman"/>
          <w:sz w:val="24"/>
          <w:szCs w:val="24"/>
        </w:rPr>
        <w:t>технические преимущества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="00DC461D" w:rsidRPr="00AD2D49">
        <w:rPr>
          <w:rFonts w:ascii="Times New Roman" w:hAnsi="Times New Roman" w:cs="Times New Roman"/>
          <w:sz w:val="24"/>
          <w:szCs w:val="24"/>
        </w:rPr>
        <w:t>уже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ожидаемое время </w:t>
      </w:r>
      <w:r w:rsidR="00DC461D" w:rsidRPr="00AD2D49">
        <w:rPr>
          <w:rFonts w:ascii="Times New Roman" w:hAnsi="Times New Roman" w:cs="Times New Roman"/>
          <w:sz w:val="24"/>
          <w:szCs w:val="24"/>
        </w:rPr>
        <w:t>внедрения, эффективность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и требу</w:t>
      </w:r>
      <w:r w:rsidR="00DC461D" w:rsidRPr="00AD2D49">
        <w:rPr>
          <w:rFonts w:ascii="Times New Roman" w:hAnsi="Times New Roman" w:cs="Times New Roman"/>
          <w:sz w:val="24"/>
          <w:szCs w:val="24"/>
        </w:rPr>
        <w:t xml:space="preserve">емые 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инвестиции. Поэтому научно-технологические </w:t>
      </w:r>
      <w:r w:rsidR="007C2B62" w:rsidRPr="00AD2D49">
        <w:rPr>
          <w:rFonts w:ascii="Times New Roman" w:hAnsi="Times New Roman" w:cs="Times New Roman"/>
          <w:sz w:val="24"/>
          <w:szCs w:val="24"/>
        </w:rPr>
        <w:t>прогнозы,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7C2B62" w:rsidRPr="00AD2D49">
        <w:rPr>
          <w:rFonts w:ascii="Times New Roman" w:hAnsi="Times New Roman" w:cs="Times New Roman"/>
          <w:sz w:val="24"/>
          <w:szCs w:val="24"/>
        </w:rPr>
        <w:t>всего,</w:t>
      </w:r>
      <w:r w:rsidR="00D36809" w:rsidRPr="00AD2D49">
        <w:rPr>
          <w:rFonts w:ascii="Times New Roman" w:hAnsi="Times New Roman" w:cs="Times New Roman"/>
          <w:sz w:val="24"/>
          <w:szCs w:val="24"/>
        </w:rPr>
        <w:t xml:space="preserve"> предполагают получение качественной, содержательной информации</w:t>
      </w:r>
      <w:r w:rsidR="007C2B62" w:rsidRPr="00AD2D49">
        <w:rPr>
          <w:rFonts w:ascii="Times New Roman" w:hAnsi="Times New Roman" w:cs="Times New Roman"/>
          <w:sz w:val="24"/>
          <w:szCs w:val="24"/>
        </w:rPr>
        <w:t xml:space="preserve"> и применение системного технологически и институционально взаимосвязанного и взаимообусловленного осв</w:t>
      </w:r>
      <w:r w:rsidR="00C54A7C" w:rsidRPr="00AD2D49">
        <w:rPr>
          <w:rFonts w:ascii="Times New Roman" w:hAnsi="Times New Roman" w:cs="Times New Roman"/>
          <w:sz w:val="24"/>
          <w:szCs w:val="24"/>
        </w:rPr>
        <w:t>е</w:t>
      </w:r>
      <w:r w:rsidR="007C2B62" w:rsidRPr="00AD2D49">
        <w:rPr>
          <w:rFonts w:ascii="Times New Roman" w:hAnsi="Times New Roman" w:cs="Times New Roman"/>
          <w:sz w:val="24"/>
          <w:szCs w:val="24"/>
        </w:rPr>
        <w:t>щения развития социально-экономической среды с учетом гетерогенного ее характера изменения на макро-, мез</w:t>
      </w:r>
      <w:proofErr w:type="gramStart"/>
      <w:r w:rsidR="007C2B62" w:rsidRPr="00AD2D4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C2B62" w:rsidRPr="00AD2D49">
        <w:rPr>
          <w:rFonts w:ascii="Times New Roman" w:hAnsi="Times New Roman" w:cs="Times New Roman"/>
          <w:sz w:val="24"/>
          <w:szCs w:val="24"/>
        </w:rPr>
        <w:t xml:space="preserve"> и микроуровне</w:t>
      </w:r>
      <w:r w:rsidR="0042295C" w:rsidRPr="00AD2D49">
        <w:rPr>
          <w:rFonts w:ascii="Times New Roman" w:hAnsi="Times New Roman" w:cs="Times New Roman"/>
          <w:sz w:val="24"/>
          <w:szCs w:val="24"/>
        </w:rPr>
        <w:t>, что требует синтеза методологических подходов, предполагающего не только объединени</w:t>
      </w:r>
      <w:r w:rsidR="00C54A7C" w:rsidRPr="00AD2D49">
        <w:rPr>
          <w:rFonts w:ascii="Times New Roman" w:hAnsi="Times New Roman" w:cs="Times New Roman"/>
          <w:sz w:val="24"/>
          <w:szCs w:val="24"/>
        </w:rPr>
        <w:t>е</w:t>
      </w:r>
      <w:r w:rsidR="0042295C" w:rsidRPr="00AD2D49">
        <w:rPr>
          <w:rFonts w:ascii="Times New Roman" w:hAnsi="Times New Roman" w:cs="Times New Roman"/>
          <w:sz w:val="24"/>
          <w:szCs w:val="24"/>
        </w:rPr>
        <w:t xml:space="preserve"> релевантных элементов, но и их дополнение отсутствующими</w:t>
      </w:r>
      <w:r w:rsidR="007C2B62" w:rsidRPr="00AD2D49">
        <w:rPr>
          <w:rFonts w:ascii="Times New Roman" w:hAnsi="Times New Roman" w:cs="Times New Roman"/>
          <w:sz w:val="24"/>
          <w:szCs w:val="24"/>
        </w:rPr>
        <w:t xml:space="preserve"> [</w:t>
      </w:r>
      <w:r w:rsidR="00E830BA">
        <w:rPr>
          <w:rFonts w:ascii="Times New Roman" w:hAnsi="Times New Roman" w:cs="Times New Roman"/>
          <w:sz w:val="24"/>
          <w:szCs w:val="24"/>
        </w:rPr>
        <w:t>9, с.</w:t>
      </w:r>
      <w:r w:rsidR="004F3C1A" w:rsidRPr="00AD2D49">
        <w:rPr>
          <w:rFonts w:ascii="Times New Roman" w:hAnsi="Times New Roman" w:cs="Times New Roman"/>
          <w:sz w:val="24"/>
          <w:szCs w:val="24"/>
        </w:rPr>
        <w:t>79-94</w:t>
      </w:r>
      <w:r w:rsidR="007C2B62" w:rsidRPr="00AD2D49">
        <w:rPr>
          <w:rFonts w:ascii="Times New Roman" w:hAnsi="Times New Roman" w:cs="Times New Roman"/>
          <w:sz w:val="24"/>
          <w:szCs w:val="24"/>
        </w:rPr>
        <w:t>].</w:t>
      </w:r>
    </w:p>
    <w:p w:rsidR="009E1099" w:rsidRPr="00AD2D49" w:rsidRDefault="009E1099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 xml:space="preserve">Сейчас большинство методов прогнозирования имеет отношение либо ко всему технологическому комплексу народного хозяйства, либо к его отдельным </w:t>
      </w:r>
      <w:r w:rsidR="00BE1725" w:rsidRPr="00AD2D49">
        <w:rPr>
          <w:rFonts w:ascii="Times New Roman" w:hAnsi="Times New Roman" w:cs="Times New Roman"/>
          <w:sz w:val="24"/>
          <w:szCs w:val="24"/>
        </w:rPr>
        <w:t>подсистемам</w:t>
      </w:r>
      <w:r w:rsidRPr="00AD2D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D2D49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BE1725" w:rsidRPr="00AD2D49">
        <w:rPr>
          <w:rFonts w:ascii="Times New Roman" w:hAnsi="Times New Roman" w:cs="Times New Roman"/>
          <w:sz w:val="24"/>
          <w:szCs w:val="24"/>
        </w:rPr>
        <w:t>наиболее эффективных</w:t>
      </w:r>
      <w:r w:rsidRPr="00AD2D49">
        <w:rPr>
          <w:rFonts w:ascii="Times New Roman" w:hAnsi="Times New Roman" w:cs="Times New Roman"/>
          <w:sz w:val="24"/>
          <w:szCs w:val="24"/>
        </w:rPr>
        <w:t xml:space="preserve"> методов прогнозирования оказались ориентированные на оценку перспектив социально-экономического развития и научно-технического прогресса с использованием финансовых, интеллектуальных, информационных, социальных, макро- и микроэкономических показателей</w:t>
      </w:r>
      <w:r w:rsidR="002C54B0" w:rsidRPr="00AD2D49">
        <w:rPr>
          <w:rFonts w:ascii="Times New Roman" w:hAnsi="Times New Roman" w:cs="Times New Roman"/>
          <w:sz w:val="24"/>
          <w:szCs w:val="24"/>
        </w:rPr>
        <w:t xml:space="preserve"> [</w:t>
      </w:r>
      <w:r w:rsidR="00E830BA">
        <w:rPr>
          <w:rFonts w:ascii="Times New Roman" w:hAnsi="Times New Roman" w:cs="Times New Roman"/>
          <w:sz w:val="24"/>
          <w:szCs w:val="24"/>
        </w:rPr>
        <w:t>11, с.</w:t>
      </w:r>
      <w:r w:rsidR="004F3C1A" w:rsidRPr="00AD2D49">
        <w:rPr>
          <w:rFonts w:ascii="Times New Roman" w:hAnsi="Times New Roman" w:cs="Times New Roman"/>
          <w:sz w:val="24"/>
          <w:szCs w:val="24"/>
        </w:rPr>
        <w:t>42-51</w:t>
      </w:r>
      <w:r w:rsidR="002C54B0" w:rsidRPr="00AD2D49">
        <w:rPr>
          <w:rFonts w:ascii="Times New Roman" w:hAnsi="Times New Roman" w:cs="Times New Roman"/>
          <w:sz w:val="24"/>
          <w:szCs w:val="24"/>
        </w:rPr>
        <w:t>]</w:t>
      </w:r>
      <w:r w:rsidRPr="00AD2D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099" w:rsidRPr="00AD2D49" w:rsidRDefault="009E1099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Правомерно ли называть эти уклады по-прежнему – технологическими? Тем более</w:t>
      </w:r>
      <w:proofErr w:type="gramStart"/>
      <w:r w:rsidRPr="00AD2D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2D49">
        <w:rPr>
          <w:rFonts w:ascii="Times New Roman" w:hAnsi="Times New Roman" w:cs="Times New Roman"/>
          <w:sz w:val="24"/>
          <w:szCs w:val="24"/>
        </w:rPr>
        <w:t xml:space="preserve"> что в структуре экономик производственная функция сокращается, уступая менеджменту, логистике, инфраструктуре и т.п. И о каком технологическом укладе может идти речь в странах с преобладанием финансово-непроиз</w:t>
      </w:r>
      <w:r w:rsidR="00921898" w:rsidRPr="00AD2D49">
        <w:rPr>
          <w:rFonts w:ascii="Times New Roman" w:hAnsi="Times New Roman" w:cs="Times New Roman"/>
          <w:sz w:val="24"/>
          <w:szCs w:val="24"/>
        </w:rPr>
        <w:t>водственной траектории развития?</w:t>
      </w:r>
      <w:r w:rsidR="003E36E9" w:rsidRPr="00AD2D49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B131E6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3E36E9" w:rsidRPr="00AD2D49">
        <w:rPr>
          <w:rFonts w:ascii="Times New Roman" w:hAnsi="Times New Roman" w:cs="Times New Roman"/>
          <w:sz w:val="24"/>
          <w:szCs w:val="24"/>
        </w:rPr>
        <w:t xml:space="preserve">эффект международного </w:t>
      </w:r>
      <w:r w:rsidR="00921898" w:rsidRPr="00AD2D49">
        <w:rPr>
          <w:rFonts w:ascii="Times New Roman" w:hAnsi="Times New Roman" w:cs="Times New Roman"/>
          <w:sz w:val="24"/>
          <w:szCs w:val="24"/>
        </w:rPr>
        <w:t>интегрирования</w:t>
      </w:r>
      <w:r w:rsidR="003E36E9" w:rsidRPr="00AD2D49">
        <w:rPr>
          <w:rFonts w:ascii="Times New Roman" w:hAnsi="Times New Roman" w:cs="Times New Roman"/>
          <w:sz w:val="24"/>
          <w:szCs w:val="24"/>
        </w:rPr>
        <w:t xml:space="preserve"> на уровне технологий фактически затрудняет позиционирование тех или иных стран по типу уклада, </w:t>
      </w:r>
      <w:r w:rsidR="00921898" w:rsidRPr="00AD2D49">
        <w:rPr>
          <w:rFonts w:ascii="Times New Roman" w:hAnsi="Times New Roman" w:cs="Times New Roman"/>
          <w:sz w:val="24"/>
          <w:szCs w:val="24"/>
        </w:rPr>
        <w:t xml:space="preserve">т.е. </w:t>
      </w:r>
      <w:r w:rsidR="003E36E9" w:rsidRPr="00AD2D49">
        <w:rPr>
          <w:rFonts w:ascii="Times New Roman" w:hAnsi="Times New Roman" w:cs="Times New Roman"/>
          <w:sz w:val="24"/>
          <w:szCs w:val="24"/>
        </w:rPr>
        <w:t xml:space="preserve">сводит на нет проблему необходимого или опережающего воспроизводства. </w:t>
      </w:r>
      <w:r w:rsidR="00B131E6" w:rsidRPr="00AD2D49">
        <w:rPr>
          <w:rFonts w:ascii="Times New Roman" w:hAnsi="Times New Roman" w:cs="Times New Roman"/>
          <w:sz w:val="24"/>
          <w:szCs w:val="24"/>
        </w:rPr>
        <w:t>А как быть с процессами, когда п</w:t>
      </w:r>
      <w:r w:rsidR="00921898" w:rsidRPr="00AD2D49">
        <w:rPr>
          <w:rFonts w:ascii="Times New Roman" w:hAnsi="Times New Roman" w:cs="Times New Roman"/>
          <w:sz w:val="24"/>
          <w:szCs w:val="24"/>
        </w:rPr>
        <w:t xml:space="preserve">роисходит возврат к </w:t>
      </w:r>
      <w:proofErr w:type="gramStart"/>
      <w:r w:rsidR="00921898" w:rsidRPr="00AD2D49">
        <w:rPr>
          <w:rFonts w:ascii="Times New Roman" w:hAnsi="Times New Roman" w:cs="Times New Roman"/>
          <w:sz w:val="24"/>
          <w:szCs w:val="24"/>
        </w:rPr>
        <w:t>прежнему</w:t>
      </w:r>
      <w:proofErr w:type="gramEnd"/>
      <w:r w:rsidR="00921898" w:rsidRPr="00AD2D49">
        <w:rPr>
          <w:rFonts w:ascii="Times New Roman" w:hAnsi="Times New Roman" w:cs="Times New Roman"/>
          <w:sz w:val="24"/>
          <w:szCs w:val="24"/>
        </w:rPr>
        <w:t xml:space="preserve"> ТУ?</w:t>
      </w:r>
      <w:r w:rsidR="00B131E6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0C5032" w:rsidRPr="00AD2D49">
        <w:rPr>
          <w:rFonts w:ascii="Times New Roman" w:hAnsi="Times New Roman" w:cs="Times New Roman"/>
          <w:sz w:val="24"/>
          <w:szCs w:val="24"/>
        </w:rPr>
        <w:t>К примеру, Украина до недавнего времени вполне обоснованно отождествляла себя с индустриальными странами</w:t>
      </w:r>
      <w:r w:rsidR="00921898" w:rsidRPr="00AD2D49">
        <w:rPr>
          <w:rFonts w:ascii="Times New Roman" w:hAnsi="Times New Roman" w:cs="Times New Roman"/>
          <w:sz w:val="24"/>
          <w:szCs w:val="24"/>
        </w:rPr>
        <w:t>,</w:t>
      </w:r>
      <w:r w:rsidR="000C5032" w:rsidRPr="00AD2D49">
        <w:rPr>
          <w:rFonts w:ascii="Times New Roman" w:hAnsi="Times New Roman" w:cs="Times New Roman"/>
          <w:sz w:val="24"/>
          <w:szCs w:val="24"/>
        </w:rPr>
        <w:t xml:space="preserve"> с переход</w:t>
      </w:r>
      <w:r w:rsidR="00921898" w:rsidRPr="00AD2D49">
        <w:rPr>
          <w:rFonts w:ascii="Times New Roman" w:hAnsi="Times New Roman" w:cs="Times New Roman"/>
          <w:sz w:val="24"/>
          <w:szCs w:val="24"/>
        </w:rPr>
        <w:t>ом</w:t>
      </w:r>
      <w:r w:rsidR="000C5032" w:rsidRPr="00AD2D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032" w:rsidRPr="00AD2D4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C5032" w:rsidRPr="00AD2D49">
        <w:rPr>
          <w:rFonts w:ascii="Times New Roman" w:hAnsi="Times New Roman" w:cs="Times New Roman"/>
          <w:sz w:val="24"/>
          <w:szCs w:val="24"/>
        </w:rPr>
        <w:t xml:space="preserve"> постиндустриальным, а в 2015 г. официально провозгласила курс на преобладание аграрной экономики, то есть, констатировала технико-технологическую деградацию по сравнению со своим недавним состоянием.</w:t>
      </w:r>
    </w:p>
    <w:p w:rsidR="003E36E9" w:rsidRDefault="003E36E9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Как отмечают авторы [</w:t>
      </w:r>
      <w:r w:rsidR="00487FD4" w:rsidRPr="00AD2D49">
        <w:rPr>
          <w:rFonts w:ascii="Times New Roman" w:hAnsi="Times New Roman" w:cs="Times New Roman"/>
          <w:sz w:val="24"/>
          <w:szCs w:val="24"/>
        </w:rPr>
        <w:t>3; 8; 14; 22; 24</w:t>
      </w:r>
      <w:r w:rsidRPr="00AD2D49">
        <w:rPr>
          <w:rFonts w:ascii="Times New Roman" w:hAnsi="Times New Roman" w:cs="Times New Roman"/>
          <w:sz w:val="24"/>
          <w:szCs w:val="24"/>
        </w:rPr>
        <w:t>]</w:t>
      </w:r>
      <w:r w:rsidR="0025015E">
        <w:rPr>
          <w:rFonts w:ascii="Times New Roman" w:hAnsi="Times New Roman" w:cs="Times New Roman"/>
          <w:sz w:val="24"/>
          <w:szCs w:val="24"/>
        </w:rPr>
        <w:t>,</w:t>
      </w:r>
      <w:r w:rsidRPr="00AD2D49">
        <w:rPr>
          <w:rFonts w:ascii="Times New Roman" w:hAnsi="Times New Roman" w:cs="Times New Roman"/>
          <w:sz w:val="24"/>
          <w:szCs w:val="24"/>
        </w:rPr>
        <w:t xml:space="preserve"> для нивелирования отрицательного воздействия энергоемкой промышленности и регресса НТП </w:t>
      </w:r>
      <w:r w:rsidR="0025015E">
        <w:rPr>
          <w:rFonts w:ascii="Times New Roman" w:hAnsi="Times New Roman" w:cs="Times New Roman"/>
          <w:sz w:val="24"/>
          <w:szCs w:val="24"/>
        </w:rPr>
        <w:t xml:space="preserve">на народное хозяйство </w:t>
      </w:r>
      <w:r w:rsidRPr="00AD2D49">
        <w:rPr>
          <w:rFonts w:ascii="Times New Roman" w:hAnsi="Times New Roman" w:cs="Times New Roman"/>
          <w:sz w:val="24"/>
          <w:szCs w:val="24"/>
        </w:rPr>
        <w:t xml:space="preserve">необходимо становление инновационного типа развития, предполагающего интеграцию </w:t>
      </w:r>
      <w:r w:rsidR="0025015E">
        <w:rPr>
          <w:rFonts w:ascii="Times New Roman" w:hAnsi="Times New Roman" w:cs="Times New Roman"/>
          <w:sz w:val="24"/>
          <w:szCs w:val="24"/>
        </w:rPr>
        <w:t xml:space="preserve">различных отраслей </w:t>
      </w:r>
      <w:r w:rsidRPr="00AD2D49">
        <w:rPr>
          <w:rFonts w:ascii="Times New Roman" w:hAnsi="Times New Roman" w:cs="Times New Roman"/>
          <w:sz w:val="24"/>
          <w:szCs w:val="24"/>
        </w:rPr>
        <w:t xml:space="preserve">как </w:t>
      </w:r>
      <w:r w:rsidR="003D1159" w:rsidRPr="00AD2D49">
        <w:rPr>
          <w:rFonts w:ascii="Times New Roman" w:hAnsi="Times New Roman" w:cs="Times New Roman"/>
          <w:sz w:val="24"/>
          <w:szCs w:val="24"/>
        </w:rPr>
        <w:t>нескольких</w:t>
      </w:r>
      <w:r w:rsidRPr="00AD2D49">
        <w:rPr>
          <w:rFonts w:ascii="Times New Roman" w:hAnsi="Times New Roman" w:cs="Times New Roman"/>
          <w:sz w:val="24"/>
          <w:szCs w:val="24"/>
        </w:rPr>
        <w:t xml:space="preserve"> источников единого процесса социально-экономическо</w:t>
      </w:r>
      <w:r w:rsidR="0025015E">
        <w:rPr>
          <w:rFonts w:ascii="Times New Roman" w:hAnsi="Times New Roman" w:cs="Times New Roman"/>
          <w:sz w:val="24"/>
          <w:szCs w:val="24"/>
        </w:rPr>
        <w:t>й</w:t>
      </w:r>
      <w:r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25015E">
        <w:rPr>
          <w:rFonts w:ascii="Times New Roman" w:hAnsi="Times New Roman" w:cs="Times New Roman"/>
          <w:sz w:val="24"/>
          <w:szCs w:val="24"/>
        </w:rPr>
        <w:t>трансформации</w:t>
      </w:r>
      <w:r w:rsidRPr="00AD2D49">
        <w:rPr>
          <w:rFonts w:ascii="Times New Roman" w:hAnsi="Times New Roman" w:cs="Times New Roman"/>
          <w:sz w:val="24"/>
          <w:szCs w:val="24"/>
        </w:rPr>
        <w:t>.</w:t>
      </w:r>
      <w:r w:rsidR="003B60B7">
        <w:rPr>
          <w:rFonts w:ascii="Times New Roman" w:hAnsi="Times New Roman" w:cs="Times New Roman"/>
          <w:sz w:val="24"/>
          <w:szCs w:val="24"/>
        </w:rPr>
        <w:t xml:space="preserve"> О значении потребления энергетических ресурсов для производства Внутреннего валового продукта (ВВП) по паритету покупательной способности (ППС) можно судить</w:t>
      </w:r>
      <w:r w:rsidR="00F854EF">
        <w:rPr>
          <w:rFonts w:ascii="Times New Roman" w:hAnsi="Times New Roman" w:cs="Times New Roman"/>
          <w:sz w:val="24"/>
          <w:szCs w:val="24"/>
        </w:rPr>
        <w:t xml:space="preserve"> по показателям, сложившимся в разных странах (по состоянию на 01.2014г.) (рис.1). Очевидна прямая связь между реальным среднедушевым ВВП по ППС, потреблением энергии, в </w:t>
      </w:r>
      <w:proofErr w:type="spellStart"/>
      <w:r w:rsidR="00F854E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854EF">
        <w:rPr>
          <w:rFonts w:ascii="Times New Roman" w:hAnsi="Times New Roman" w:cs="Times New Roman"/>
          <w:sz w:val="24"/>
          <w:szCs w:val="24"/>
        </w:rPr>
        <w:t xml:space="preserve">. и электроэнергии в расчёте на душу населения. Данные рис.2 свидетельствуют о проблеме наиболее высокой энергоёмкости ВВП по ППС в России и Украине и соответственно низкой </w:t>
      </w:r>
      <w:proofErr w:type="spellStart"/>
      <w:r w:rsidR="00F854EF">
        <w:rPr>
          <w:rFonts w:ascii="Times New Roman" w:hAnsi="Times New Roman" w:cs="Times New Roman"/>
          <w:sz w:val="24"/>
          <w:szCs w:val="24"/>
        </w:rPr>
        <w:t>ресурсоотдачи</w:t>
      </w:r>
      <w:proofErr w:type="spellEnd"/>
      <w:r w:rsidR="00F854EF">
        <w:rPr>
          <w:rFonts w:ascii="Times New Roman" w:hAnsi="Times New Roman" w:cs="Times New Roman"/>
          <w:sz w:val="24"/>
          <w:szCs w:val="24"/>
        </w:rPr>
        <w:t xml:space="preserve"> энергии угля</w:t>
      </w:r>
      <w:r w:rsidR="00CF5E0F">
        <w:rPr>
          <w:rFonts w:ascii="Times New Roman" w:hAnsi="Times New Roman" w:cs="Times New Roman"/>
          <w:sz w:val="24"/>
          <w:szCs w:val="24"/>
        </w:rPr>
        <w:t>,</w:t>
      </w:r>
      <w:r w:rsidR="00F854EF">
        <w:rPr>
          <w:rFonts w:ascii="Times New Roman" w:hAnsi="Times New Roman" w:cs="Times New Roman"/>
          <w:sz w:val="24"/>
          <w:szCs w:val="24"/>
        </w:rPr>
        <w:t xml:space="preserve"> и в целом на единицу использованной энергии. Так, энергоёмкость ВВП по ППС в США и ЕС почти в 2-3 раза ниже, чем в России и Украине, а </w:t>
      </w:r>
      <w:proofErr w:type="spellStart"/>
      <w:r w:rsidR="00F854EF">
        <w:rPr>
          <w:rFonts w:ascii="Times New Roman" w:hAnsi="Times New Roman" w:cs="Times New Roman"/>
          <w:sz w:val="24"/>
          <w:szCs w:val="24"/>
        </w:rPr>
        <w:t>энергоотдача</w:t>
      </w:r>
      <w:proofErr w:type="spellEnd"/>
      <w:r w:rsidR="00F854EF">
        <w:rPr>
          <w:rFonts w:ascii="Times New Roman" w:hAnsi="Times New Roman" w:cs="Times New Roman"/>
          <w:sz w:val="24"/>
          <w:szCs w:val="24"/>
        </w:rPr>
        <w:t xml:space="preserve">, в </w:t>
      </w:r>
      <w:r w:rsidR="00CF5E0F">
        <w:rPr>
          <w:rFonts w:ascii="Times New Roman" w:hAnsi="Times New Roman" w:cs="Times New Roman"/>
          <w:sz w:val="24"/>
          <w:szCs w:val="24"/>
        </w:rPr>
        <w:t xml:space="preserve">целом, и угля, в частности, - в том же соотношении. </w:t>
      </w:r>
    </w:p>
    <w:p w:rsidR="00324F70" w:rsidRPr="00AD2D49" w:rsidRDefault="00324F70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F45" w:rsidRPr="00AD2D49" w:rsidRDefault="00B91182" w:rsidP="00A0316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EEBEF9" wp14:editId="0621431B">
            <wp:extent cx="5099124" cy="3022402"/>
            <wp:effectExtent l="0" t="0" r="635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05" cy="302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F70" w:rsidRDefault="00324F70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 </w:t>
      </w:r>
      <w:r w:rsidR="004A7655">
        <w:rPr>
          <w:rFonts w:ascii="Times New Roman" w:hAnsi="Times New Roman" w:cs="Times New Roman"/>
          <w:sz w:val="24"/>
          <w:szCs w:val="24"/>
        </w:rPr>
        <w:t>Потребление электроэнергии, в том числе и электроэнергии из угля на душу населения в зависимости от среднедушевого ВВП</w:t>
      </w:r>
    </w:p>
    <w:p w:rsidR="00497F45" w:rsidRPr="00AD2D49" w:rsidRDefault="00A0316E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(Источник собственная разработка авторов на основе [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0316E">
        <w:rPr>
          <w:rFonts w:ascii="Times New Roman" w:hAnsi="Times New Roman" w:cs="Times New Roman"/>
          <w:sz w:val="24"/>
          <w:szCs w:val="24"/>
        </w:rPr>
        <w:t>])</w:t>
      </w:r>
    </w:p>
    <w:p w:rsidR="00497F45" w:rsidRPr="00AD2D49" w:rsidRDefault="00497F45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0D0" w:rsidRPr="00AD2D49" w:rsidRDefault="00E026C1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1824D2" wp14:editId="4A49671A">
            <wp:extent cx="5109882" cy="266789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47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2BC" w:rsidRDefault="009F42BC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Рис.2 </w:t>
      </w:r>
      <w:r w:rsidR="005A07D3">
        <w:rPr>
          <w:rFonts w:ascii="Times New Roman" w:hAnsi="Times New Roman" w:cs="Times New Roman"/>
          <w:sz w:val="24"/>
          <w:szCs w:val="24"/>
        </w:rPr>
        <w:t>Потребление энергетических ресурсов, в том числе электроэнергии на душу населения во взаимосвязи с энергоёмкостью ВВП</w:t>
      </w:r>
    </w:p>
    <w:p w:rsidR="008F50D0" w:rsidRDefault="00A0316E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(Источник собственная разработка авторов на основе [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0316E">
        <w:rPr>
          <w:rFonts w:ascii="Times New Roman" w:hAnsi="Times New Roman" w:cs="Times New Roman"/>
          <w:sz w:val="24"/>
          <w:szCs w:val="24"/>
        </w:rPr>
        <w:t>])</w:t>
      </w:r>
    </w:p>
    <w:p w:rsidR="00B91182" w:rsidRPr="00AD2D49" w:rsidRDefault="00B91182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2B56" w:rsidRPr="00AD2D49" w:rsidRDefault="00DB2B56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Исходя из системной классификации структуры технико-экономического развития [</w:t>
      </w:r>
      <w:r w:rsidR="001B6B1C" w:rsidRPr="00AD2D49">
        <w:rPr>
          <w:rFonts w:ascii="Times New Roman" w:hAnsi="Times New Roman" w:cs="Times New Roman"/>
          <w:sz w:val="24"/>
          <w:szCs w:val="24"/>
        </w:rPr>
        <w:t>4-6; 12</w:t>
      </w:r>
      <w:r w:rsidRPr="00AD2D49">
        <w:rPr>
          <w:rFonts w:ascii="Times New Roman" w:hAnsi="Times New Roman" w:cs="Times New Roman"/>
          <w:sz w:val="24"/>
          <w:szCs w:val="24"/>
        </w:rPr>
        <w:t xml:space="preserve">] угольная промышленность относится к третьему </w:t>
      </w:r>
      <w:r w:rsidR="007A38F8" w:rsidRPr="00AD2D49">
        <w:rPr>
          <w:rFonts w:ascii="Times New Roman" w:hAnsi="Times New Roman" w:cs="Times New Roman"/>
          <w:sz w:val="24"/>
          <w:szCs w:val="24"/>
        </w:rPr>
        <w:t>технологическому укладу</w:t>
      </w:r>
      <w:r w:rsidR="001D2C02" w:rsidRPr="00AD2D49">
        <w:rPr>
          <w:rFonts w:ascii="Times New Roman" w:hAnsi="Times New Roman" w:cs="Times New Roman"/>
          <w:sz w:val="24"/>
          <w:szCs w:val="24"/>
        </w:rPr>
        <w:t xml:space="preserve">, базовым энергетическим </w:t>
      </w:r>
      <w:r w:rsidR="00B91182">
        <w:rPr>
          <w:rFonts w:ascii="Times New Roman" w:hAnsi="Times New Roman" w:cs="Times New Roman"/>
          <w:sz w:val="24"/>
          <w:szCs w:val="24"/>
        </w:rPr>
        <w:t>потребителем</w:t>
      </w:r>
      <w:r w:rsidR="001D2C02" w:rsidRPr="00AD2D49">
        <w:rPr>
          <w:rFonts w:ascii="Times New Roman" w:hAnsi="Times New Roman" w:cs="Times New Roman"/>
          <w:sz w:val="24"/>
          <w:szCs w:val="24"/>
        </w:rPr>
        <w:t xml:space="preserve"> которой является электродвигатель</w:t>
      </w:r>
      <w:r w:rsidR="00601056" w:rsidRPr="00AD2D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1056" w:rsidRPr="00AD2D49">
        <w:rPr>
          <w:rFonts w:ascii="Times New Roman" w:hAnsi="Times New Roman" w:cs="Times New Roman"/>
          <w:sz w:val="24"/>
          <w:szCs w:val="24"/>
        </w:rPr>
        <w:t xml:space="preserve">Однако сложные структурные взаимосвязи самой отрасли и отдельных предприятий </w:t>
      </w:r>
      <w:r w:rsidR="00B91182">
        <w:rPr>
          <w:rFonts w:ascii="Times New Roman" w:hAnsi="Times New Roman" w:cs="Times New Roman"/>
          <w:sz w:val="24"/>
          <w:szCs w:val="24"/>
        </w:rPr>
        <w:t>корреспондируются</w:t>
      </w:r>
      <w:r w:rsidR="000110B3" w:rsidRPr="00AD2D49">
        <w:rPr>
          <w:rFonts w:ascii="Times New Roman" w:hAnsi="Times New Roman" w:cs="Times New Roman"/>
          <w:sz w:val="24"/>
          <w:szCs w:val="24"/>
        </w:rPr>
        <w:t>,</w:t>
      </w:r>
      <w:r w:rsidR="00601056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C447EE" w:rsidRPr="00AD2D49">
        <w:rPr>
          <w:rFonts w:ascii="Times New Roman" w:hAnsi="Times New Roman" w:cs="Times New Roman"/>
          <w:sz w:val="24"/>
          <w:szCs w:val="24"/>
        </w:rPr>
        <w:t xml:space="preserve">как </w:t>
      </w:r>
      <w:r w:rsidR="00601056" w:rsidRPr="00AD2D49">
        <w:rPr>
          <w:rFonts w:ascii="Times New Roman" w:hAnsi="Times New Roman" w:cs="Times New Roman"/>
          <w:sz w:val="24"/>
          <w:szCs w:val="24"/>
        </w:rPr>
        <w:t>с ручн</w:t>
      </w:r>
      <w:r w:rsidR="007409C2" w:rsidRPr="00AD2D49">
        <w:rPr>
          <w:rFonts w:ascii="Times New Roman" w:hAnsi="Times New Roman" w:cs="Times New Roman"/>
          <w:sz w:val="24"/>
          <w:szCs w:val="24"/>
        </w:rPr>
        <w:t>ым</w:t>
      </w:r>
      <w:r w:rsidR="00601056" w:rsidRPr="00AD2D49">
        <w:rPr>
          <w:rFonts w:ascii="Times New Roman" w:hAnsi="Times New Roman" w:cs="Times New Roman"/>
          <w:sz w:val="24"/>
          <w:szCs w:val="24"/>
        </w:rPr>
        <w:t xml:space="preserve"> труд</w:t>
      </w:r>
      <w:r w:rsidR="007409C2" w:rsidRPr="00AD2D49">
        <w:rPr>
          <w:rFonts w:ascii="Times New Roman" w:hAnsi="Times New Roman" w:cs="Times New Roman"/>
          <w:sz w:val="24"/>
          <w:szCs w:val="24"/>
        </w:rPr>
        <w:t>ом</w:t>
      </w:r>
      <w:r w:rsidR="00C447EE" w:rsidRPr="00AD2D49">
        <w:rPr>
          <w:rFonts w:ascii="Times New Roman" w:hAnsi="Times New Roman" w:cs="Times New Roman"/>
          <w:sz w:val="24"/>
          <w:szCs w:val="24"/>
        </w:rPr>
        <w:t xml:space="preserve">, так </w:t>
      </w:r>
      <w:r w:rsidR="00601056" w:rsidRPr="00AD2D49">
        <w:rPr>
          <w:rFonts w:ascii="Times New Roman" w:hAnsi="Times New Roman" w:cs="Times New Roman"/>
          <w:sz w:val="24"/>
          <w:szCs w:val="24"/>
        </w:rPr>
        <w:t xml:space="preserve">и с новейшими </w:t>
      </w:r>
      <w:r w:rsidR="007409C2" w:rsidRPr="00AD2D49">
        <w:rPr>
          <w:rFonts w:ascii="Times New Roman" w:hAnsi="Times New Roman" w:cs="Times New Roman"/>
          <w:sz w:val="24"/>
          <w:szCs w:val="24"/>
        </w:rPr>
        <w:t xml:space="preserve">приборами </w:t>
      </w:r>
      <w:r w:rsidR="00601056" w:rsidRPr="00AD2D49">
        <w:rPr>
          <w:rFonts w:ascii="Times New Roman" w:hAnsi="Times New Roman" w:cs="Times New Roman"/>
          <w:sz w:val="24"/>
          <w:szCs w:val="24"/>
        </w:rPr>
        <w:t>пят</w:t>
      </w:r>
      <w:r w:rsidR="007409C2" w:rsidRPr="00AD2D49">
        <w:rPr>
          <w:rFonts w:ascii="Times New Roman" w:hAnsi="Times New Roman" w:cs="Times New Roman"/>
          <w:sz w:val="24"/>
          <w:szCs w:val="24"/>
        </w:rPr>
        <w:t>ого</w:t>
      </w:r>
      <w:r w:rsidR="00601056" w:rsidRPr="00AD2D49">
        <w:rPr>
          <w:rFonts w:ascii="Times New Roman" w:hAnsi="Times New Roman" w:cs="Times New Roman"/>
          <w:sz w:val="24"/>
          <w:szCs w:val="24"/>
        </w:rPr>
        <w:t xml:space="preserve"> и шест</w:t>
      </w:r>
      <w:r w:rsidR="007409C2" w:rsidRPr="00AD2D49">
        <w:rPr>
          <w:rFonts w:ascii="Times New Roman" w:hAnsi="Times New Roman" w:cs="Times New Roman"/>
          <w:sz w:val="24"/>
          <w:szCs w:val="24"/>
        </w:rPr>
        <w:t xml:space="preserve">ого укладов, в производстве </w:t>
      </w:r>
      <w:proofErr w:type="spellStart"/>
      <w:r w:rsidR="007409C2" w:rsidRPr="00AD2D49">
        <w:rPr>
          <w:rFonts w:ascii="Times New Roman" w:hAnsi="Times New Roman" w:cs="Times New Roman"/>
          <w:sz w:val="24"/>
          <w:szCs w:val="24"/>
        </w:rPr>
        <w:t>нанотрубок</w:t>
      </w:r>
      <w:proofErr w:type="spellEnd"/>
      <w:r w:rsidR="007409C2" w:rsidRPr="00AD2D49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295406" w:rsidRPr="00AD2D49">
        <w:rPr>
          <w:rFonts w:ascii="Times New Roman" w:hAnsi="Times New Roman" w:cs="Times New Roman"/>
          <w:sz w:val="24"/>
          <w:szCs w:val="24"/>
        </w:rPr>
        <w:t xml:space="preserve">углеводороды </w:t>
      </w:r>
      <w:r w:rsidR="007409C2" w:rsidRPr="00AD2D49">
        <w:rPr>
          <w:rFonts w:ascii="Times New Roman" w:hAnsi="Times New Roman" w:cs="Times New Roman"/>
          <w:sz w:val="24"/>
          <w:szCs w:val="24"/>
        </w:rPr>
        <w:t>становятся</w:t>
      </w:r>
      <w:r w:rsidR="00295406" w:rsidRPr="00AD2D49">
        <w:rPr>
          <w:rFonts w:ascii="Times New Roman" w:hAnsi="Times New Roman" w:cs="Times New Roman"/>
          <w:sz w:val="24"/>
          <w:szCs w:val="24"/>
        </w:rPr>
        <w:t xml:space="preserve"> сырьем для</w:t>
      </w:r>
      <w:r w:rsidR="007409C2" w:rsidRPr="00AD2D49">
        <w:rPr>
          <w:rFonts w:ascii="Times New Roman" w:hAnsi="Times New Roman" w:cs="Times New Roman"/>
          <w:sz w:val="24"/>
          <w:szCs w:val="24"/>
        </w:rPr>
        <w:t xml:space="preserve"> их</w:t>
      </w:r>
      <w:r w:rsidR="00295406"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7409C2" w:rsidRPr="00AD2D49">
        <w:rPr>
          <w:rFonts w:ascii="Times New Roman" w:hAnsi="Times New Roman" w:cs="Times New Roman"/>
          <w:sz w:val="24"/>
          <w:szCs w:val="24"/>
        </w:rPr>
        <w:t>изготовления</w:t>
      </w:r>
      <w:r w:rsidR="00C447EE" w:rsidRPr="00AD2D49">
        <w:rPr>
          <w:rFonts w:ascii="Times New Roman" w:hAnsi="Times New Roman" w:cs="Times New Roman"/>
          <w:sz w:val="24"/>
          <w:szCs w:val="24"/>
        </w:rPr>
        <w:t>,</w:t>
      </w:r>
      <w:r w:rsidR="007409C2" w:rsidRPr="00AD2D49">
        <w:rPr>
          <w:rFonts w:ascii="Times New Roman" w:hAnsi="Times New Roman" w:cs="Times New Roman"/>
          <w:sz w:val="24"/>
          <w:szCs w:val="24"/>
        </w:rPr>
        <w:t xml:space="preserve"> что приводит к</w:t>
      </w:r>
      <w:r w:rsidR="00C447EE" w:rsidRPr="00AD2D49">
        <w:rPr>
          <w:rFonts w:ascii="Times New Roman" w:hAnsi="Times New Roman" w:cs="Times New Roman"/>
          <w:sz w:val="24"/>
          <w:szCs w:val="24"/>
        </w:rPr>
        <w:t xml:space="preserve"> технологической многоукладности, осложняющей отнесение горнодобывающих предприятий</w:t>
      </w:r>
      <w:r w:rsidR="007409C2" w:rsidRPr="00AD2D49">
        <w:rPr>
          <w:rFonts w:ascii="Times New Roman" w:hAnsi="Times New Roman" w:cs="Times New Roman"/>
          <w:sz w:val="24"/>
          <w:szCs w:val="24"/>
        </w:rPr>
        <w:t xml:space="preserve"> к определённому уровню развития. </w:t>
      </w:r>
      <w:proofErr w:type="gramEnd"/>
    </w:p>
    <w:p w:rsidR="004F402F" w:rsidRPr="00AD2D49" w:rsidRDefault="004F402F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нашей точки зрения, подход к определению ТУ производственных технологических процессов </w:t>
      </w:r>
      <w:r w:rsidR="00062BF7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на предприятии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разного рода неопределенности, </w:t>
      </w:r>
      <w:proofErr w:type="spellStart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неконтрастности</w:t>
      </w:r>
      <w:proofErr w:type="spellEnd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неполноты и неточности экзогенных параметров, в моделях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технологических процессов возможно применение аппарата теории нечетких множеств и методов нечетких вычислений</w:t>
      </w:r>
      <w:r w:rsidR="003B3A5E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1B6B1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3A5E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7D6" w:rsidRDefault="007827D6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о</w:t>
      </w:r>
      <w:r w:rsidR="00B45F95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производственные </w:t>
      </w:r>
      <w:r w:rsidR="00062BF7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E0537D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</w:t>
      </w:r>
      <w:r w:rsidR="00B45F95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371C7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современной «идеальной» </w:t>
      </w:r>
      <w:r w:rsidR="00B45F95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угольной шахте</w:t>
      </w:r>
      <w:r w:rsidR="007D144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 .</w:t>
      </w:r>
      <w:r w:rsidR="00B911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144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4B0D" w:rsidRPr="00AD2D49" w:rsidRDefault="00044B0D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6B5" w:rsidRDefault="00044B0D" w:rsidP="00044B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046C7C" wp14:editId="4FC284D2">
            <wp:extent cx="5215158" cy="3705308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202" cy="3711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B0D" w:rsidRDefault="00044B0D" w:rsidP="00044B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64BCC" w:rsidRDefault="00B45F95" w:rsidP="00A031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911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ис.3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7D6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производственные </w:t>
      </w:r>
      <w:r w:rsidR="00E0537D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</w:t>
      </w:r>
      <w:r w:rsidR="009C6F6E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7827D6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угольной шахт</w:t>
      </w:r>
      <w:r w:rsidR="00E0537D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2E01D5" w:rsidRPr="00AD2D49" w:rsidRDefault="002E01D5" w:rsidP="00A031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1D5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(Источник собственная разработка авторов на основе 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E01D5">
        <w:rPr>
          <w:rFonts w:ascii="Times New Roman" w:eastAsia="Times New Roman" w:hAnsi="Times New Roman" w:cs="Times New Roman"/>
          <w:sz w:val="24"/>
          <w:szCs w:val="24"/>
          <w:lang w:eastAsia="ru-RU"/>
        </w:rPr>
        <w:t>])</w:t>
      </w:r>
    </w:p>
    <w:p w:rsidR="00EB7192" w:rsidRPr="00AD2D49" w:rsidRDefault="00EB7192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Определим нечёткое множество (НМ) как базовую шкалу</w:t>
      </w:r>
      <w:proofErr w:type="gramStart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номеру ТУ и функцию принадлежности НМ - </w:t>
      </w:r>
      <w:r w:rsidRPr="00AD2D4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9.8pt" o:ole="">
            <v:imagedata r:id="rId17" o:title=""/>
          </v:shape>
          <o:OLEObject Type="Embed" ProgID="Equation.DSMT4" ShapeID="_x0000_i1025" DrawAspect="Content" ObjectID="_1601891523" r:id="rId18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определяющую, насколько относиться лингв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стическая переменная (технологическое оборудование) к номеру ТУ </w:t>
      </w:r>
      <w:r w:rsidRPr="00AD2D49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240" w:dyaOrig="400">
          <v:shape id="_x0000_i1026" type="#_x0000_t75" style="width:79.2pt;height:24.6pt" o:ole="">
            <v:imagedata r:id="rId19" o:title=""/>
          </v:shape>
          <o:OLEObject Type="Embed" ProgID="Equation.DSMT4" ShapeID="_x0000_i1026" DrawAspect="Content" ObjectID="_1601891524" r:id="rId20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980"/>
        <w:gridCol w:w="1006"/>
        <w:gridCol w:w="992"/>
        <w:gridCol w:w="1006"/>
      </w:tblGrid>
      <w:tr w:rsidR="00CB6AE3" w:rsidRPr="00AD2D49" w:rsidTr="00275466">
        <w:trPr>
          <w:jc w:val="center"/>
        </w:trPr>
        <w:tc>
          <w:tcPr>
            <w:tcW w:w="959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240" w:dyaOrig="360">
                <v:shape id="_x0000_i1027" type="#_x0000_t75" style="width:15pt;height:22.2pt" o:ole="">
                  <v:imagedata r:id="rId21" o:title=""/>
                </v:shape>
                <o:OLEObject Type="Embed" ProgID="Equation.DSMT4" ShapeID="_x0000_i1027" DrawAspect="Content" ObjectID="_1601891525" r:id="rId22"/>
              </w:object>
            </w:r>
          </w:p>
        </w:tc>
        <w:tc>
          <w:tcPr>
            <w:tcW w:w="979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240" w:dyaOrig="360">
                <v:shape id="_x0000_i1028" type="#_x0000_t75" style="width:15pt;height:22.2pt" o:ole="">
                  <v:imagedata r:id="rId23" o:title=""/>
                </v:shape>
                <o:OLEObject Type="Embed" ProgID="Equation.DSMT4" ShapeID="_x0000_i1028" DrawAspect="Content" ObjectID="_1601891526" r:id="rId24"/>
              </w:object>
            </w:r>
          </w:p>
        </w:tc>
        <w:tc>
          <w:tcPr>
            <w:tcW w:w="1005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260" w:dyaOrig="360">
                <v:shape id="_x0000_i1029" type="#_x0000_t75" style="width:16.2pt;height:22.2pt" o:ole="">
                  <v:imagedata r:id="rId25" o:title=""/>
                </v:shape>
                <o:OLEObject Type="Embed" ProgID="Equation.DSMT4" ShapeID="_x0000_i1029" DrawAspect="Content" ObjectID="_1601891527" r:id="rId26"/>
              </w:object>
            </w:r>
          </w:p>
        </w:tc>
        <w:tc>
          <w:tcPr>
            <w:tcW w:w="992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05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260" w:dyaOrig="360">
                <v:shape id="_x0000_i1030" type="#_x0000_t75" style="width:16.2pt;height:22.2pt" o:ole="">
                  <v:imagedata r:id="rId27" o:title=""/>
                </v:shape>
                <o:OLEObject Type="Embed" ProgID="Equation.DSMT4" ShapeID="_x0000_i1030" DrawAspect="Content" ObjectID="_1601891528" r:id="rId28"/>
              </w:object>
            </w:r>
          </w:p>
        </w:tc>
      </w:tr>
      <w:tr w:rsidR="00CB6AE3" w:rsidRPr="00AD2D49" w:rsidTr="00275466">
        <w:trPr>
          <w:jc w:val="center"/>
        </w:trPr>
        <w:tc>
          <w:tcPr>
            <w:tcW w:w="959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580" w:dyaOrig="360">
                <v:shape id="_x0000_i1031" type="#_x0000_t75" style="width:37.2pt;height:22.2pt" o:ole="">
                  <v:imagedata r:id="rId29" o:title=""/>
                </v:shape>
                <o:OLEObject Type="Embed" ProgID="Equation.DSMT4" ShapeID="_x0000_i1031" DrawAspect="Content" ObjectID="_1601891529" r:id="rId30"/>
              </w:object>
            </w:r>
          </w:p>
        </w:tc>
        <w:tc>
          <w:tcPr>
            <w:tcW w:w="979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600" w:dyaOrig="360">
                <v:shape id="_x0000_i1032" type="#_x0000_t75" style="width:38.4pt;height:22.2pt" o:ole="">
                  <v:imagedata r:id="rId31" o:title=""/>
                </v:shape>
                <o:OLEObject Type="Embed" ProgID="Equation.DSMT4" ShapeID="_x0000_i1032" DrawAspect="Content" ObjectID="_1601891530" r:id="rId32"/>
              </w:object>
            </w:r>
          </w:p>
        </w:tc>
        <w:tc>
          <w:tcPr>
            <w:tcW w:w="1005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620" w:dyaOrig="360">
                <v:shape id="_x0000_i1033" type="#_x0000_t75" style="width:39.6pt;height:22.2pt" o:ole="">
                  <v:imagedata r:id="rId33" o:title=""/>
                </v:shape>
                <o:OLEObject Type="Embed" ProgID="Equation.DSMT4" ShapeID="_x0000_i1033" DrawAspect="Content" ObjectID="_1601891531" r:id="rId34"/>
              </w:object>
            </w:r>
          </w:p>
        </w:tc>
        <w:tc>
          <w:tcPr>
            <w:tcW w:w="992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05" w:type="dxa"/>
          </w:tcPr>
          <w:p w:rsidR="00CB6AE3" w:rsidRPr="00AD2D49" w:rsidRDefault="00CB6AE3" w:rsidP="00A03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4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620" w:dyaOrig="360">
                <v:shape id="_x0000_i1034" type="#_x0000_t75" style="width:39.6pt;height:22.2pt" o:ole="">
                  <v:imagedata r:id="rId35" o:title=""/>
                </v:shape>
                <o:OLEObject Type="Embed" ProgID="Equation.DSMT4" ShapeID="_x0000_i1034" DrawAspect="Content" ObjectID="_1601891532" r:id="rId36"/>
              </w:object>
            </w:r>
          </w:p>
        </w:tc>
      </w:tr>
    </w:tbl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ТУ можно определить как центр тяжести плоской фигуры, ограниченной сверху интерполирующей функцией (тригонометрическим многочленом) [</w:t>
      </w:r>
      <w:r w:rsidR="00A031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], а слева и справа соо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ветствующими номерами ТУ:</w:t>
      </w: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3860" w:dyaOrig="680">
          <v:shape id="_x0000_i1035" type="#_x0000_t75" style="width:246.6pt;height:40.8pt" o:ole="">
            <v:imagedata r:id="rId37" o:title=""/>
          </v:shape>
          <o:OLEObject Type="Embed" ProgID="Equation.DSMT4" ShapeID="_x0000_i1035" DrawAspect="Content" ObjectID="_1601891533" r:id="rId38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(1)</w:t>
      </w:r>
    </w:p>
    <w:p w:rsidR="00CB6AE3" w:rsidRPr="00AD2D49" w:rsidRDefault="00CB6AE3" w:rsidP="00A0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AD2D4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натуральные числа, </w:t>
      </w:r>
      <w:r w:rsidRPr="00AD2D49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060" w:dyaOrig="279">
          <v:shape id="_x0000_i1036" type="#_x0000_t75" style="width:67.8pt;height:16.8pt" o:ole="">
            <v:imagedata r:id="rId39" o:title=""/>
          </v:shape>
          <o:OLEObject Type="Embed" ProgID="Equation.DSMT4" ShapeID="_x0000_i1036" DrawAspect="Content" ObjectID="_1601891534" r:id="rId40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D2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положительное число), </w:t>
      </w:r>
      <w:r w:rsidRPr="00AD2D49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60" w:dyaOrig="360">
          <v:shape id="_x0000_i1037" type="#_x0000_t75" style="width:34.8pt;height:22.2pt" o:ole="">
            <v:imagedata r:id="rId41" o:title=""/>
          </v:shape>
          <o:OLEObject Type="Embed" ProgID="Equation.DSMT4" ShapeID="_x0000_i1037" DrawAspect="Content" ObjectID="_1601891535" r:id="rId42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числовые к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эффициенты, которые находятся при решении системы линейных алгебраических уравнений, получаемых из условий интерполяции:</w:t>
      </w: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340" w:dyaOrig="360">
          <v:shape id="_x0000_i1038" type="#_x0000_t75" style="width:276.6pt;height:22.2pt" o:ole="">
            <v:imagedata r:id="rId43" o:title=""/>
          </v:shape>
          <o:OLEObject Type="Embed" ProgID="Equation.DSMT4" ShapeID="_x0000_i1038" DrawAspect="Content" ObjectID="_1601891536" r:id="rId44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(2)</w:t>
      </w: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Коэффициенты многочлена (1) </w:t>
      </w:r>
      <w:r w:rsidRPr="00AD2D49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60" w:dyaOrig="360">
          <v:shape id="_x0000_i1039" type="#_x0000_t75" style="width:34.8pt;height:22.2pt" o:ole="">
            <v:imagedata r:id="rId41" o:title=""/>
          </v:shape>
          <o:OLEObject Type="Embed" ProgID="Equation.DSMT4" ShapeID="_x0000_i1039" DrawAspect="Content" ObjectID="_1601891537" r:id="rId45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по формулам:</w:t>
      </w: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280" w:dyaOrig="680">
          <v:shape id="_x0000_i1040" type="#_x0000_t75" style="width:82.2pt;height:40.8pt" o:ole="">
            <v:imagedata r:id="rId46" o:title=""/>
          </v:shape>
          <o:OLEObject Type="Embed" ProgID="Equation.DSMT4" ShapeID="_x0000_i1040" DrawAspect="Content" ObjectID="_1601891538" r:id="rId47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(3)</w:t>
      </w: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3300" w:dyaOrig="680">
          <v:shape id="_x0000_i1041" type="#_x0000_t75" style="width:210pt;height:40.8pt" o:ole="">
            <v:imagedata r:id="rId48" o:title=""/>
          </v:shape>
          <o:OLEObject Type="Embed" ProgID="Equation.DSMT4" ShapeID="_x0000_i1041" DrawAspect="Content" ObjectID="_1601891539" r:id="rId49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(4)</w:t>
      </w:r>
    </w:p>
    <w:p w:rsidR="00CB6AE3" w:rsidRPr="00AD2D49" w:rsidRDefault="00CB6AE3" w:rsidP="00A0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3240" w:dyaOrig="680">
          <v:shape id="_x0000_i1042" type="#_x0000_t75" style="width:205.8pt;height:40.8pt" o:ole="">
            <v:imagedata r:id="rId50" o:title=""/>
          </v:shape>
          <o:OLEObject Type="Embed" ProgID="Equation.DSMT4" ShapeID="_x0000_i1042" DrawAspect="Content" ObjectID="_1601891540" r:id="rId51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(5)</w:t>
      </w:r>
    </w:p>
    <w:p w:rsidR="00CB6AE3" w:rsidRPr="00AD2D49" w:rsidRDefault="00CB6AE3" w:rsidP="00A031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Координата (по оси абсцисс) центра тяжести плоской фигуры, являющаяся соотве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 номером ТУ,  определяется  по  формуле:</w:t>
      </w:r>
    </w:p>
    <w:p w:rsidR="00CB6AE3" w:rsidRPr="00AD2D49" w:rsidRDefault="00CB6AE3" w:rsidP="00A031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02D02B25" wp14:editId="0713D42E">
            <wp:extent cx="1152525" cy="74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(6)</w:t>
      </w:r>
    </w:p>
    <w:p w:rsidR="00CB6AE3" w:rsidRPr="00AD2D49" w:rsidRDefault="00CB6AE3" w:rsidP="00A031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 </w:t>
      </w:r>
      <w:r w:rsidRPr="00AD2D49">
        <w:rPr>
          <w:position w:val="-30"/>
          <w:sz w:val="24"/>
          <w:szCs w:val="24"/>
        </w:rPr>
        <w:object w:dxaOrig="1160" w:dyaOrig="580">
          <v:shape id="_x0000_i1043" type="#_x0000_t75" style="width:94.8pt;height:37.8pt" o:ole="">
            <v:imagedata r:id="rId53" o:title=""/>
          </v:shape>
          <o:OLEObject Type="Embed" ProgID="Equation.DSMT4" ShapeID="_x0000_i1043" DrawAspect="Content" ObjectID="_1601891541" r:id="rId54"/>
        </w:object>
      </w:r>
      <w:r w:rsidRPr="00AD2D49">
        <w:rPr>
          <w:sz w:val="24"/>
          <w:szCs w:val="24"/>
        </w:rPr>
        <w:t xml:space="preserve"> - </w:t>
      </w:r>
      <w:r w:rsidRPr="00AD2D49">
        <w:rPr>
          <w:rFonts w:ascii="Times New Roman" w:hAnsi="Times New Roman" w:cs="Times New Roman"/>
          <w:sz w:val="24"/>
          <w:szCs w:val="24"/>
        </w:rPr>
        <w:t xml:space="preserve">площадь области </w:t>
      </w:r>
      <w:r w:rsidRPr="00AD2D4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AD2D49">
        <w:rPr>
          <w:sz w:val="24"/>
          <w:szCs w:val="24"/>
        </w:rPr>
        <w:t xml:space="preserve"> </w:t>
      </w:r>
      <w:r w:rsidRPr="00AD2D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6AE3" w:rsidRPr="00AD2D49" w:rsidRDefault="00CB6AE3" w:rsidP="00A031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position w:val="-32"/>
          <w:sz w:val="24"/>
          <w:szCs w:val="24"/>
        </w:rPr>
        <w:object w:dxaOrig="2000" w:dyaOrig="760">
          <v:shape id="_x0000_i1044" type="#_x0000_t75" style="width:126.6pt;height:48.6pt" o:ole="">
            <v:imagedata r:id="rId55" o:title=""/>
          </v:shape>
          <o:OLEObject Type="Embed" ProgID="Equation.DSMT4" ShapeID="_x0000_i1044" DrawAspect="Content" ObjectID="_1601891542" r:id="rId56"/>
        </w:object>
      </w:r>
    </w:p>
    <w:p w:rsidR="00CB6AE3" w:rsidRPr="00AD2D49" w:rsidRDefault="00CB6AE3" w:rsidP="00A03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построения </w:t>
      </w:r>
      <w:r w:rsidRPr="00AD2D4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20" w:dyaOrig="320">
          <v:shape id="_x0000_i1045" type="#_x0000_t75" style="width:33pt;height:19.8pt" o:ole="">
            <v:imagedata r:id="rId17" o:title=""/>
          </v:shape>
          <o:OLEObject Type="Embed" ProgID="Equation.DSMT4" ShapeID="_x0000_i1045" DrawAspect="Content" ObjectID="_1601891543" r:id="rId57"/>
        </w:objec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применить метод семантической дифференци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включающий этапы: характеристика набора свойств, анализируемых при оценивании; определения степени выраженности позитивного свойства анализируемого объекта в рамках используемой шкалы с приданием оценки соответствующего числового значения.</w:t>
      </w:r>
    </w:p>
    <w:p w:rsidR="00CB6AE3" w:rsidRPr="00AD2D49" w:rsidRDefault="00CB6AE3" w:rsidP="00A03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функции принадлежности: Х</w:t>
      </w:r>
      <w:proofErr w:type="gramStart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выражен (μ=0); Х2 – очень слабо выражен (μ=0,1); Х3 –слабо выражен (μ=0,25); Х4 – средне выражен (μ=0,5); Х5 – сильно выражен (μ=0,75); Х6 – очень сильно выражен (μ=0,9); Х7 – полностью выражен (μ=1).</w:t>
      </w:r>
    </w:p>
    <w:p w:rsidR="009F45AF" w:rsidRPr="00AD2D49" w:rsidRDefault="00E75BB7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системную классификацию технико-экономического развития [</w:t>
      </w:r>
      <w:r w:rsidR="001B6B1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5; 12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5870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 теории нечетких множеств и методов </w:t>
      </w:r>
      <w:r w:rsidR="0058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интерполяции </w:t>
      </w:r>
      <w:r w:rsidR="00B9670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(1-</w:t>
      </w:r>
      <w:r w:rsidR="001B6B1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70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EB7192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пределим номер ТУ соответствующий оборудованию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очистного забоя </w:t>
      </w:r>
      <w:r w:rsidR="00FC70E8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шахты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680F" w:rsidRPr="00AD2D49" w:rsidRDefault="00C8680F" w:rsidP="00A031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7592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очистной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комбайн: исполнительные органы, поворотные редукторы, основные р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дукторы, электродвигатель, опорный механизм комбайна, механизм перемещения комбайна, погрузочные щитки, гидравлическая система, система орошения для борьбы с пылью, эле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трооборудование, средства автоматизации;</w:t>
      </w:r>
      <w:proofErr w:type="gramEnd"/>
    </w:p>
    <w:p w:rsidR="00C8680F" w:rsidRPr="00AD2D49" w:rsidRDefault="00C8680F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D7592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скребковый конвейер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1443" w:rsidRPr="00AD2D49">
        <w:rPr>
          <w:rFonts w:ascii="Times New Roman" w:hAnsi="Times New Roman" w:cs="Times New Roman"/>
          <w:sz w:val="24"/>
          <w:szCs w:val="24"/>
        </w:rPr>
        <w:t xml:space="preserve">приводная станция (электродвигатель, предохранительная турбомуфта, редуктор и ведущий вал), </w:t>
      </w:r>
      <w:r w:rsidRPr="00AD2D49">
        <w:rPr>
          <w:rFonts w:ascii="Times New Roman" w:hAnsi="Times New Roman" w:cs="Times New Roman"/>
          <w:sz w:val="24"/>
          <w:szCs w:val="24"/>
        </w:rPr>
        <w:t>став, тяговый орган, и концевая головка</w:t>
      </w:r>
      <w:r w:rsidR="00CD1443" w:rsidRPr="00AD2D49">
        <w:rPr>
          <w:rFonts w:ascii="Times New Roman" w:hAnsi="Times New Roman" w:cs="Times New Roman"/>
          <w:sz w:val="24"/>
          <w:szCs w:val="24"/>
        </w:rPr>
        <w:t>, аппаратура</w:t>
      </w:r>
      <w:r w:rsidRPr="00AD2D49">
        <w:rPr>
          <w:rFonts w:ascii="Times New Roman" w:hAnsi="Times New Roman" w:cs="Times New Roman"/>
          <w:sz w:val="24"/>
          <w:szCs w:val="24"/>
        </w:rPr>
        <w:t xml:space="preserve"> для контроля процесса запуска привода, целостности тя</w:t>
      </w:r>
      <w:r w:rsidR="00D46C5D" w:rsidRPr="00AD2D49">
        <w:rPr>
          <w:rFonts w:ascii="Times New Roman" w:hAnsi="Times New Roman" w:cs="Times New Roman"/>
          <w:sz w:val="24"/>
          <w:szCs w:val="24"/>
        </w:rPr>
        <w:t>говых цепей и перекоса скребков;</w:t>
      </w:r>
    </w:p>
    <w:p w:rsidR="00D46C5D" w:rsidRPr="00AD2D49" w:rsidRDefault="00D46C5D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 xml:space="preserve">в)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</w:t>
      </w:r>
      <w:r w:rsidR="00D7592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</w:t>
      </w:r>
      <w:r w:rsidR="00D7592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D2D49">
        <w:rPr>
          <w:rFonts w:ascii="Times New Roman" w:hAnsi="Times New Roman" w:cs="Times New Roman"/>
          <w:sz w:val="24"/>
          <w:szCs w:val="24"/>
        </w:rPr>
        <w:t xml:space="preserve">отдельные секции, каждая из которых имеет основание, гидравлические стойки, </w:t>
      </w:r>
      <w:proofErr w:type="spellStart"/>
      <w:r w:rsidRPr="00AD2D49">
        <w:rPr>
          <w:rFonts w:ascii="Times New Roman" w:hAnsi="Times New Roman" w:cs="Times New Roman"/>
          <w:sz w:val="24"/>
          <w:szCs w:val="24"/>
        </w:rPr>
        <w:t>верхняк</w:t>
      </w:r>
      <w:proofErr w:type="spellEnd"/>
      <w:r w:rsidRPr="00AD2D49">
        <w:rPr>
          <w:rFonts w:ascii="Times New Roman" w:hAnsi="Times New Roman" w:cs="Times New Roman"/>
          <w:sz w:val="24"/>
          <w:szCs w:val="24"/>
        </w:rPr>
        <w:t xml:space="preserve"> и гидравлический домкрат для передвижения секций.</w:t>
      </w:r>
    </w:p>
    <w:p w:rsidR="002737C9" w:rsidRPr="00AD2D49" w:rsidRDefault="002737C9" w:rsidP="00A0316E">
      <w:pPr>
        <w:tabs>
          <w:tab w:val="left" w:pos="18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="002826F6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</w:t>
      </w:r>
      <w:r w:rsidR="00504D2F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числовые характеристики </w:t>
      </w:r>
      <w:r w:rsidR="00504D2F" w:rsidRPr="00AD2D4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20" w:dyaOrig="320">
          <v:shape id="_x0000_i1046" type="#_x0000_t75" style="width:31.8pt;height:19.8pt" o:ole="">
            <v:imagedata r:id="rId17" o:title=""/>
          </v:shape>
          <o:OLEObject Type="Embed" ProgID="Equation.DSMT4" ShapeID="_x0000_i1046" DrawAspect="Content" ObjectID="_1601891544" r:id="rId58"/>
        </w:object>
      </w:r>
      <w:r w:rsidR="00FC70E8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рассматриваемых</w:t>
      </w:r>
      <w:r w:rsidR="00504D2F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</w:t>
      </w:r>
      <w:r w:rsidR="00FC70E8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504D2F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</w:t>
      </w:r>
      <w:r w:rsidR="00FC70E8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4798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97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B6B1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4798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58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(рис.4</w:t>
      </w:r>
      <w:r w:rsidR="00504D2F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A26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A26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Причём номер (множество) с признаками соответствующего ТУ изменяется от 3 до 5, а промежуточные значения - 3,5 и 4,5 определяются как пересечение множеств 3 и 4; 4 и 5 соответственно. </w:t>
      </w:r>
      <w:proofErr w:type="gramEnd"/>
    </w:p>
    <w:p w:rsidR="00CF5B08" w:rsidRDefault="00044B0D" w:rsidP="00A0316E">
      <w:pPr>
        <w:tabs>
          <w:tab w:val="left" w:pos="18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5BA796">
            <wp:extent cx="5584190" cy="3804285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380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50BC" w:rsidRDefault="00D7382C" w:rsidP="00BE2608">
      <w:pPr>
        <w:tabs>
          <w:tab w:val="left" w:pos="187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Рис.4</w:t>
      </w:r>
      <w:r w:rsidR="00F350B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Числовые характеристики </w:t>
      </w:r>
      <w:r w:rsidR="00F350BC" w:rsidRPr="00AD2D4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20" w:dyaOrig="320">
          <v:shape id="_x0000_i1047" type="#_x0000_t75" style="width:31.8pt;height:19.8pt" o:ole="">
            <v:imagedata r:id="rId17" o:title=""/>
          </v:shape>
          <o:OLEObject Type="Embed" ProgID="Equation.DSMT4" ShapeID="_x0000_i1047" DrawAspect="Content" ObjectID="_1601891545" r:id="rId60"/>
        </w:object>
      </w:r>
      <w:r w:rsidR="00F350B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очистного забоя шахты</w:t>
      </w:r>
    </w:p>
    <w:p w:rsidR="00BE2608" w:rsidRPr="00AD2D49" w:rsidRDefault="00BE2608" w:rsidP="00BE2608">
      <w:pPr>
        <w:tabs>
          <w:tab w:val="left" w:pos="187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08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(Источник собственная разработка авторов на основе 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1; 2; 23</w:t>
      </w:r>
      <w:r w:rsidRPr="00BE2608">
        <w:rPr>
          <w:rFonts w:ascii="Times New Roman" w:eastAsia="Times New Roman" w:hAnsi="Times New Roman" w:cs="Times New Roman"/>
          <w:sz w:val="24"/>
          <w:szCs w:val="24"/>
          <w:lang w:eastAsia="ru-RU"/>
        </w:rPr>
        <w:t>])</w:t>
      </w:r>
    </w:p>
    <w:p w:rsidR="00541699" w:rsidRPr="00AD2D49" w:rsidRDefault="00541699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hAnsi="Times New Roman" w:cs="Times New Roman"/>
          <w:sz w:val="24"/>
          <w:szCs w:val="24"/>
        </w:rPr>
        <w:t>Аналогично</w:t>
      </w:r>
      <w:r w:rsidR="005B2ABF" w:rsidRPr="00AD2D49">
        <w:rPr>
          <w:rFonts w:ascii="Times New Roman" w:hAnsi="Times New Roman" w:cs="Times New Roman"/>
          <w:sz w:val="24"/>
          <w:szCs w:val="24"/>
        </w:rPr>
        <w:t>,</w:t>
      </w:r>
      <w:r w:rsidRPr="00AD2D49">
        <w:rPr>
          <w:rFonts w:ascii="Times New Roman" w:hAnsi="Times New Roman" w:cs="Times New Roman"/>
          <w:sz w:val="24"/>
          <w:szCs w:val="24"/>
        </w:rPr>
        <w:t xml:space="preserve"> применяя данный подход</w:t>
      </w:r>
      <w:r w:rsidR="005B2ABF" w:rsidRPr="00AD2D49">
        <w:rPr>
          <w:rFonts w:ascii="Times New Roman" w:hAnsi="Times New Roman" w:cs="Times New Roman"/>
          <w:sz w:val="24"/>
          <w:szCs w:val="24"/>
        </w:rPr>
        <w:t xml:space="preserve"> к другим производственным участкам, рассчитана </w:t>
      </w:r>
      <w:r w:rsidRPr="00AD2D49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5B2ABF" w:rsidRPr="00AD2D49">
        <w:rPr>
          <w:rFonts w:ascii="Times New Roman" w:hAnsi="Times New Roman" w:cs="Times New Roman"/>
          <w:sz w:val="24"/>
          <w:szCs w:val="24"/>
        </w:rPr>
        <w:t>технологических укладов</w:t>
      </w:r>
      <w:r w:rsidRPr="00AD2D49">
        <w:rPr>
          <w:rFonts w:ascii="Times New Roman" w:hAnsi="Times New Roman" w:cs="Times New Roman"/>
          <w:sz w:val="24"/>
          <w:szCs w:val="24"/>
        </w:rPr>
        <w:t xml:space="preserve"> </w:t>
      </w:r>
      <w:r w:rsidR="008A602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механизмов шахты (табл. 2)</w:t>
      </w:r>
      <w:r w:rsidR="005B2ABF" w:rsidRPr="00AD2D49">
        <w:rPr>
          <w:rFonts w:ascii="Times New Roman" w:hAnsi="Times New Roman" w:cs="Times New Roman"/>
          <w:sz w:val="24"/>
          <w:szCs w:val="24"/>
        </w:rPr>
        <w:t>.</w:t>
      </w:r>
      <w:r w:rsidRPr="00AD2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C90" w:rsidRPr="00AD2D49" w:rsidRDefault="00E27250" w:rsidP="00A0316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E2763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</w:t>
      </w:r>
      <w:r w:rsidR="00956C90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AE3523" w:rsidRPr="00FE19DE" w:rsidRDefault="00AE3523" w:rsidP="00A031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9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номера технологического уклада шахты</w:t>
      </w:r>
    </w:p>
    <w:p w:rsidR="00FE19DE" w:rsidRPr="00FE19DE" w:rsidRDefault="00FE19DE" w:rsidP="00A03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9DE">
        <w:rPr>
          <w:rFonts w:ascii="Times New Roman" w:hAnsi="Times New Roman" w:cs="Times New Roman"/>
          <w:sz w:val="24"/>
          <w:szCs w:val="24"/>
        </w:rPr>
        <w:t>(Источник собственная разработка авторов на основе [</w:t>
      </w:r>
      <w:r>
        <w:rPr>
          <w:rFonts w:ascii="Times New Roman" w:hAnsi="Times New Roman" w:cs="Times New Roman"/>
          <w:sz w:val="24"/>
          <w:szCs w:val="24"/>
        </w:rPr>
        <w:t>1-2; 23</w:t>
      </w:r>
      <w:r w:rsidRPr="00FE19DE">
        <w:rPr>
          <w:rFonts w:ascii="Times New Roman" w:hAnsi="Times New Roman" w:cs="Times New Roman"/>
          <w:sz w:val="24"/>
          <w:szCs w:val="24"/>
        </w:rPr>
        <w:t>])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3402"/>
        <w:gridCol w:w="2268"/>
      </w:tblGrid>
      <w:tr w:rsidR="00956C90" w:rsidRPr="00AD2D49" w:rsidTr="00806AB6">
        <w:trPr>
          <w:trHeight w:val="1172"/>
        </w:trPr>
        <w:tc>
          <w:tcPr>
            <w:tcW w:w="1668" w:type="dxa"/>
          </w:tcPr>
          <w:p w:rsidR="00956C90" w:rsidRPr="00AD2D49" w:rsidRDefault="00956C90" w:rsidP="00806AB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:rsidR="00956C90" w:rsidRPr="00AD2D49" w:rsidRDefault="00956C90" w:rsidP="00806AB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технологи-</w:t>
            </w:r>
          </w:p>
          <w:p w:rsidR="00956C90" w:rsidRPr="00AD2D49" w:rsidRDefault="00956C90" w:rsidP="00806AB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</w:p>
          <w:p w:rsidR="00956C90" w:rsidRPr="00AD2D49" w:rsidRDefault="00956C90" w:rsidP="00806AB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</w:p>
        </w:tc>
        <w:tc>
          <w:tcPr>
            <w:tcW w:w="2268" w:type="dxa"/>
            <w:vAlign w:val="center"/>
          </w:tcPr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</w:t>
            </w:r>
            <w:r w:rsidR="00A21DF1" w:rsidRPr="00AD2D49">
              <w:rPr>
                <w:rFonts w:ascii="Times New Roman" w:hAnsi="Times New Roman" w:cs="Times New Roman"/>
                <w:sz w:val="24"/>
                <w:szCs w:val="24"/>
              </w:rPr>
              <w:t>обору</w:t>
            </w: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3402" w:type="dxa"/>
            <w:vAlign w:val="center"/>
          </w:tcPr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Таблица соответствия нечёткого множества и функции принадлежности</w:t>
            </w:r>
          </w:p>
        </w:tc>
        <w:tc>
          <w:tcPr>
            <w:tcW w:w="2268" w:type="dxa"/>
          </w:tcPr>
          <w:p w:rsidR="00956C90" w:rsidRPr="00AD2D49" w:rsidRDefault="00BC52C2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1560" w:dyaOrig="880">
                <v:shape id="_x0000_i1048" type="#_x0000_t75" style="width:99.6pt;height:58.2pt" o:ole="">
                  <v:imagedata r:id="rId61" o:title=""/>
                </v:shape>
                <o:OLEObject Type="Embed" ProgID="Equation.DSMT4" ShapeID="_x0000_i1048" DrawAspect="Content" ObjectID="_1601891546" r:id="rId62"/>
              </w:object>
            </w:r>
          </w:p>
        </w:tc>
      </w:tr>
      <w:tr w:rsidR="00956C90" w:rsidRPr="00AD2D49" w:rsidTr="00806AB6">
        <w:trPr>
          <w:trHeight w:val="579"/>
        </w:trPr>
        <w:tc>
          <w:tcPr>
            <w:tcW w:w="1668" w:type="dxa"/>
            <w:vMerge w:val="restart"/>
            <w:vAlign w:val="center"/>
          </w:tcPr>
          <w:p w:rsidR="00956C90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Очистной забой (вы</w:t>
            </w:r>
            <w:r w:rsidR="00B40748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емочный учас</w:t>
            </w: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ток)</w:t>
            </w:r>
          </w:p>
          <w:p w:rsidR="00806AB6" w:rsidRPr="00806AB6" w:rsidRDefault="00806AB6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Комбайн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E2725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66B3B"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956C90" w:rsidRPr="00AD2D49" w:rsidTr="00806AB6">
        <w:trPr>
          <w:trHeight w:val="363"/>
        </w:trPr>
        <w:tc>
          <w:tcPr>
            <w:tcW w:w="1668" w:type="dxa"/>
            <w:vMerge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E66B3B" w:rsidP="00806AB6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Механизи</w:t>
            </w:r>
            <w:r w:rsidR="00956C90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рованная</w:t>
            </w:r>
            <w:r w:rsidR="00806AB6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 xml:space="preserve"> </w:t>
            </w:r>
            <w:r w:rsidR="00956C90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крепь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X2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X1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E2725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956C90" w:rsidRPr="00AD2D49" w:rsidTr="00806AB6">
        <w:trPr>
          <w:trHeight w:val="162"/>
        </w:trPr>
        <w:tc>
          <w:tcPr>
            <w:tcW w:w="1668" w:type="dxa"/>
            <w:vMerge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Скребковый</w:t>
            </w:r>
          </w:p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конвейер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X3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E2725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E2725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956C90" w:rsidRPr="00AD2D49" w:rsidTr="00806AB6">
        <w:trPr>
          <w:trHeight w:val="505"/>
        </w:trPr>
        <w:tc>
          <w:tcPr>
            <w:tcW w:w="1668" w:type="dxa"/>
            <w:vMerge w:val="restart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Шахтный транспорт</w:t>
            </w:r>
          </w:p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Ленточный конвейер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B40748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956C90" w:rsidRPr="00AD2D49" w:rsidTr="00806AB6">
        <w:trPr>
          <w:trHeight w:val="363"/>
        </w:trPr>
        <w:tc>
          <w:tcPr>
            <w:tcW w:w="1668" w:type="dxa"/>
            <w:vMerge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E66B3B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Локомотив</w:t>
            </w:r>
            <w:r w:rsidR="00956C90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ная откатка (электровоз)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B40748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956C90" w:rsidRPr="00AD2D49" w:rsidTr="00806AB6">
        <w:trPr>
          <w:trHeight w:val="162"/>
        </w:trPr>
        <w:tc>
          <w:tcPr>
            <w:tcW w:w="1668" w:type="dxa"/>
            <w:vMerge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Концевая откатка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X3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X3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B40748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</w:p>
        </w:tc>
      </w:tr>
      <w:tr w:rsidR="00A21DF1" w:rsidRPr="00AD2D49" w:rsidTr="00806AB6">
        <w:trPr>
          <w:trHeight w:val="162"/>
        </w:trPr>
        <w:tc>
          <w:tcPr>
            <w:tcW w:w="1668" w:type="dxa"/>
            <w:vAlign w:val="center"/>
          </w:tcPr>
          <w:p w:rsidR="00A21DF1" w:rsidRPr="00806AB6" w:rsidRDefault="00A21DF1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Проходческие работы</w:t>
            </w:r>
          </w:p>
        </w:tc>
        <w:tc>
          <w:tcPr>
            <w:tcW w:w="2268" w:type="dxa"/>
            <w:vAlign w:val="center"/>
          </w:tcPr>
          <w:p w:rsidR="00A21DF1" w:rsidRPr="00806AB6" w:rsidRDefault="00A21DF1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Комбайн проходческий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A21DF1" w:rsidRPr="00AD2D49" w:rsidTr="00E03D14">
              <w:tc>
                <w:tcPr>
                  <w:tcW w:w="454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A21DF1" w:rsidRPr="00AD2D49" w:rsidTr="00E03D14">
              <w:tc>
                <w:tcPr>
                  <w:tcW w:w="454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A21DF1" w:rsidRPr="00AD2D49" w:rsidRDefault="00A21DF1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</w:tr>
          </w:tbl>
          <w:p w:rsidR="00A21DF1" w:rsidRPr="00AD2D49" w:rsidRDefault="00A21DF1" w:rsidP="00A0316E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1DF1" w:rsidRPr="00AD2D49" w:rsidRDefault="00A21DF1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56C90" w:rsidRPr="00AD2D49" w:rsidTr="00806AB6">
        <w:trPr>
          <w:trHeight w:val="313"/>
        </w:trPr>
        <w:tc>
          <w:tcPr>
            <w:tcW w:w="1668" w:type="dxa"/>
            <w:vMerge w:val="restart"/>
            <w:vAlign w:val="center"/>
          </w:tcPr>
          <w:p w:rsidR="00956C90" w:rsidRPr="00806AB6" w:rsidRDefault="00956C90" w:rsidP="00806AB6">
            <w:pPr>
              <w:suppressAutoHyphens/>
              <w:ind w:left="-142" w:right="-108"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Проветривание</w:t>
            </w:r>
          </w:p>
        </w:tc>
        <w:tc>
          <w:tcPr>
            <w:tcW w:w="22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Вентилятор главно</w:t>
            </w:r>
            <w:r w:rsidR="00802AD2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го провет</w:t>
            </w: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ривания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B40748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B40748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</w:p>
        </w:tc>
      </w:tr>
      <w:tr w:rsidR="00956C90" w:rsidRPr="00AD2D49" w:rsidTr="00806AB6">
        <w:trPr>
          <w:trHeight w:val="238"/>
        </w:trPr>
        <w:tc>
          <w:tcPr>
            <w:tcW w:w="1668" w:type="dxa"/>
            <w:vMerge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10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10"/>
                <w:kern w:val="24"/>
                <w:sz w:val="24"/>
                <w:szCs w:val="24"/>
              </w:rPr>
              <w:t xml:space="preserve">Вентилятор местного </w:t>
            </w:r>
            <w:r w:rsidRPr="00806AB6">
              <w:rPr>
                <w:rFonts w:ascii="Times New Roman" w:hAnsi="Times New Roman" w:cs="Times New Roman"/>
                <w:spacing w:val="-10"/>
                <w:kern w:val="24"/>
                <w:sz w:val="24"/>
                <w:szCs w:val="24"/>
              </w:rPr>
              <w:lastRenderedPageBreak/>
              <w:t>про</w:t>
            </w:r>
            <w:r w:rsidR="00E66B3B" w:rsidRPr="00806AB6">
              <w:rPr>
                <w:rFonts w:ascii="Times New Roman" w:hAnsi="Times New Roman" w:cs="Times New Roman"/>
                <w:spacing w:val="-10"/>
                <w:kern w:val="24"/>
                <w:sz w:val="24"/>
                <w:szCs w:val="24"/>
              </w:rPr>
              <w:t>вет</w:t>
            </w:r>
            <w:r w:rsidRPr="00806AB6">
              <w:rPr>
                <w:rFonts w:ascii="Times New Roman" w:hAnsi="Times New Roman" w:cs="Times New Roman"/>
                <w:spacing w:val="-10"/>
                <w:kern w:val="24"/>
                <w:sz w:val="24"/>
                <w:szCs w:val="24"/>
              </w:rPr>
              <w:t>ривания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lastRenderedPageBreak/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lastRenderedPageBreak/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E66B3B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3,9</w:t>
            </w:r>
          </w:p>
        </w:tc>
      </w:tr>
      <w:tr w:rsidR="00802AD2" w:rsidRPr="00AD2D49" w:rsidTr="00806AB6">
        <w:trPr>
          <w:trHeight w:val="238"/>
        </w:trPr>
        <w:tc>
          <w:tcPr>
            <w:tcW w:w="1668" w:type="dxa"/>
            <w:vAlign w:val="center"/>
          </w:tcPr>
          <w:p w:rsidR="00802AD2" w:rsidRPr="00806AB6" w:rsidRDefault="00802AD2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lastRenderedPageBreak/>
              <w:t>Водоотлив</w:t>
            </w:r>
          </w:p>
        </w:tc>
        <w:tc>
          <w:tcPr>
            <w:tcW w:w="2268" w:type="dxa"/>
            <w:vAlign w:val="center"/>
          </w:tcPr>
          <w:p w:rsidR="00802AD2" w:rsidRPr="00806AB6" w:rsidRDefault="00802AD2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Насосная станция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802AD2" w:rsidRPr="00AD2D49" w:rsidTr="00E03D14">
              <w:tc>
                <w:tcPr>
                  <w:tcW w:w="454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02AD2" w:rsidRPr="00AD2D49" w:rsidTr="00E03D14">
              <w:tc>
                <w:tcPr>
                  <w:tcW w:w="454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X3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  <w:tc>
                <w:tcPr>
                  <w:tcW w:w="567" w:type="dxa"/>
                </w:tcPr>
                <w:p w:rsidR="00802AD2" w:rsidRPr="00AD2D49" w:rsidRDefault="00802AD2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</w:tr>
          </w:tbl>
          <w:p w:rsidR="00802AD2" w:rsidRPr="00AD2D49" w:rsidRDefault="00802AD2" w:rsidP="00A0316E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02AD2" w:rsidRPr="00AD2D49" w:rsidRDefault="00802AD2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56C90" w:rsidRPr="00AD2D49" w:rsidTr="00806AB6">
        <w:tc>
          <w:tcPr>
            <w:tcW w:w="1668" w:type="dxa"/>
            <w:vMerge w:val="restart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Подъём</w:t>
            </w:r>
          </w:p>
        </w:tc>
        <w:tc>
          <w:tcPr>
            <w:tcW w:w="2268" w:type="dxa"/>
            <w:vAlign w:val="center"/>
          </w:tcPr>
          <w:p w:rsidR="00956C90" w:rsidRPr="00806AB6" w:rsidRDefault="00956C90" w:rsidP="00806AB6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Кл</w:t>
            </w:r>
            <w:r w:rsid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ет</w:t>
            </w: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ьевой</w:t>
            </w:r>
            <w:r w:rsidR="005B2ABF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X3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E66B3B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956C90" w:rsidRPr="00AD2D49" w:rsidTr="00806AB6">
        <w:tc>
          <w:tcPr>
            <w:tcW w:w="1668" w:type="dxa"/>
            <w:vMerge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Скиповой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X3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X4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X5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E66B3B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956C90" w:rsidRPr="00AD2D49" w:rsidTr="00806AB6">
        <w:tc>
          <w:tcPr>
            <w:tcW w:w="1668" w:type="dxa"/>
            <w:vAlign w:val="center"/>
          </w:tcPr>
          <w:p w:rsidR="00956C90" w:rsidRPr="00806AB6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  <w:lang w:val="en-US"/>
              </w:rPr>
              <w:t>IT</w:t>
            </w: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 xml:space="preserve"> - техно</w:t>
            </w:r>
            <w:r w:rsidR="00E66B3B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ло</w:t>
            </w: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гии</w:t>
            </w:r>
          </w:p>
        </w:tc>
        <w:tc>
          <w:tcPr>
            <w:tcW w:w="2268" w:type="dxa"/>
            <w:vAlign w:val="center"/>
          </w:tcPr>
          <w:p w:rsidR="00956C90" w:rsidRPr="00806AB6" w:rsidRDefault="00E66B3B" w:rsidP="00A0316E">
            <w:pPr>
              <w:suppressAutoHyphens/>
              <w:jc w:val="center"/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</w:pPr>
            <w:r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Диспет</w:t>
            </w:r>
            <w:r w:rsidR="00956C90" w:rsidRPr="00806AB6">
              <w:rPr>
                <w:rFonts w:ascii="Times New Roman" w:hAnsi="Times New Roman" w:cs="Times New Roman"/>
                <w:spacing w:val="-6"/>
                <w:kern w:val="24"/>
                <w:sz w:val="24"/>
                <w:szCs w:val="24"/>
              </w:rPr>
              <w:t>черский контроль</w:t>
            </w:r>
          </w:p>
        </w:tc>
        <w:tc>
          <w:tcPr>
            <w:tcW w:w="3402" w:type="dxa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</w:t>
                  </w: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567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56C90" w:rsidRPr="00AD2D49" w:rsidTr="00956C90">
              <w:tc>
                <w:tcPr>
                  <w:tcW w:w="454" w:type="dxa"/>
                </w:tcPr>
                <w:p w:rsidR="00956C90" w:rsidRPr="00AD2D49" w:rsidRDefault="00956C90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y</w:t>
                  </w:r>
                  <w:r w:rsidRPr="00AD2D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X1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X2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X3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X6</w:t>
                  </w:r>
                </w:p>
              </w:tc>
              <w:tc>
                <w:tcPr>
                  <w:tcW w:w="567" w:type="dxa"/>
                </w:tcPr>
                <w:p w:rsidR="00956C90" w:rsidRPr="00AD2D49" w:rsidRDefault="00E66B3B" w:rsidP="00A0316E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D2D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X7</w:t>
                  </w:r>
                </w:p>
              </w:tc>
            </w:tr>
          </w:tbl>
          <w:p w:rsidR="00956C90" w:rsidRPr="00AD2D49" w:rsidRDefault="00956C90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C90" w:rsidRPr="00AD2D49" w:rsidRDefault="00E66B3B" w:rsidP="00A031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</w:tr>
    </w:tbl>
    <w:p w:rsidR="00654CFB" w:rsidRPr="00AD2D49" w:rsidRDefault="00654CFB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6BB" w:rsidRPr="00AD2D49" w:rsidRDefault="00654CFB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отмечает О.С. Сухарев, делать акцент в анализе технологического развития на каком-либо типе технологий не совсем верно, тем более</w:t>
      </w:r>
      <w:proofErr w:type="gramStart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существует проблема иерархического соотношения технологий. По всей видимости, те технологии, которые определяют способ производства, являются базовыми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отрасли их набор будет свой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другие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выполняют вспомогательную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функцию. Имеются также и технологии широкого применения, причем они 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участвуют и в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охватывают и </w:t>
      </w:r>
      <w:proofErr w:type="gramStart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трансформационную</w:t>
      </w:r>
      <w:proofErr w:type="gramEnd"/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трансакционную компоненты. В свою очередь, когда наблюдается интенсивный инновационно-технологический рост возможностей, трудно сказать, 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-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отрасли, новые направления развития или со временем 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иметь лишь вспомогательное значение по отношению к новейшим технологиям, которые комбинаторно возникнут и дадут 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качественные характеристики новым продуктам </w:t>
      </w:r>
      <w:r w:rsidR="0005353C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широкого назначения, средствам производства или услугам.</w:t>
      </w:r>
    </w:p>
    <w:p w:rsidR="002556BB" w:rsidRPr="00AD2D49" w:rsidRDefault="00654CFB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 п</w:t>
      </w:r>
      <w:r w:rsidR="002556BB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вычислении номера ТУ в структуре</w:t>
      </w:r>
      <w:r w:rsidR="002556BB" w:rsidRPr="00AD2D49">
        <w:rPr>
          <w:rFonts w:ascii="Times New Roman" w:hAnsi="Times New Roman" w:cs="Times New Roman"/>
          <w:sz w:val="24"/>
          <w:szCs w:val="24"/>
        </w:rPr>
        <w:t xml:space="preserve"> технологических процессов использова</w:t>
      </w:r>
      <w:r w:rsidR="001F75F1" w:rsidRPr="00AD2D49">
        <w:rPr>
          <w:rFonts w:ascii="Times New Roman" w:hAnsi="Times New Roman" w:cs="Times New Roman"/>
          <w:sz w:val="24"/>
          <w:szCs w:val="24"/>
        </w:rPr>
        <w:t>ны</w:t>
      </w:r>
      <w:r w:rsidR="002556BB" w:rsidRPr="00AD2D49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="001F75F1" w:rsidRPr="00AD2D49">
        <w:rPr>
          <w:rFonts w:ascii="Times New Roman" w:hAnsi="Times New Roman" w:cs="Times New Roman"/>
          <w:sz w:val="24"/>
          <w:szCs w:val="24"/>
        </w:rPr>
        <w:t xml:space="preserve">ы значимости, обоснование которых представляет самостоятельную задачу и требует дополнительного исследования. </w:t>
      </w:r>
    </w:p>
    <w:p w:rsidR="00464BCC" w:rsidRPr="00AD2D49" w:rsidRDefault="00E7611A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</w:t>
      </w:r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методический подход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</w:t>
      </w:r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динамику</w:t>
      </w:r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отдельных показателей технологического уклада и его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интегрального уровня </w:t>
      </w:r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отрасли, регион</w:t>
      </w:r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е и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</w:t>
      </w:r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е, что в дальнейшем можно использовать в моделировании процессов долгосрочного научно-технического развития, обеспечивая комплексную эффективность народного хозяйства на макро-, мез</w:t>
      </w:r>
      <w:proofErr w:type="gramStart"/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1F75F1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микроуровнях государственного управления. </w:t>
      </w:r>
    </w:p>
    <w:p w:rsidR="00464BCC" w:rsidRPr="00AD2D49" w:rsidRDefault="00E75746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 проблемы определения интегральной оценки технологических укладов на микроуровне обусловлена возрастающей интенсивностью, высоким динамизмом технико-технологического и экономического развития в условиях прогрессирующих возможностей модернизации и внедрения более эффективных технологических решений.</w:t>
      </w:r>
    </w:p>
    <w:p w:rsidR="00E75746" w:rsidRPr="00AD2D49" w:rsidRDefault="00E75746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существующих концепций количественного и качественного развития отраслевой структуры народного хозяйства показал, что методология исследования технологических укладов ограничена главным образом макроэкономическими показателями, хотя внедрение новых технико-технологических новаций осуществляется непосредственно на предприятиях, т.е. на микроуровне. </w:t>
      </w:r>
    </w:p>
    <w:p w:rsidR="00E75746" w:rsidRPr="00AD2D49" w:rsidRDefault="00E75746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методика расчета интегральной оценки технологических укладов в угольной промышленности позволяет восполнить отсутствие подобных конкретных методов оценки на определенн</w:t>
      </w:r>
      <w:r w:rsidR="00506617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(реальных) участках горнодобывающих предприятий.</w:t>
      </w:r>
    </w:p>
    <w:p w:rsidR="00506617" w:rsidRPr="00AD2D49" w:rsidRDefault="00526DFF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выбора эффективного метода применительно к угольной промышленности вызвана особенностями этой отрасли в первую очередь многоукладностью, сложными горно-геологическими условиями, многочисленными экономическими связами с другими секторами народного хозяйства, моральным и физическим износом оборудования, высоким уровнем использования в производственном процессе устаревших технологий.</w:t>
      </w:r>
    </w:p>
    <w:p w:rsidR="00526DFF" w:rsidRPr="00AD2D49" w:rsidRDefault="00F55226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при решении конкретной технико-экономической задачи использован аппарат теории нечётких множеств, что позволяет определить обоснованную оценку 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фактического уровня технологическ</w:t>
      </w:r>
      <w:r w:rsidR="000E5FE4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укладов на различных</w:t>
      </w:r>
      <w:r w:rsidR="000E5FE4"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производственных участках с последующим расчётом интегрального показателя в целом по предприятию, а в дальнейшем и по отрасли.</w:t>
      </w:r>
    </w:p>
    <w:p w:rsidR="000E5FE4" w:rsidRPr="00AD2D49" w:rsidRDefault="000E5FE4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Предложенную методику расчёта интегральной оценки технологических укладов можно использовать </w:t>
      </w:r>
      <w:r w:rsidR="00806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AD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моделировании процессов долгосрочного научно-технического, инновационно-инвестиционного развития, обеспечивая комплексную эффективность народного хозяйства на всех уровнях государственного управления. </w:t>
      </w:r>
    </w:p>
    <w:p w:rsidR="00631223" w:rsidRPr="0085107A" w:rsidRDefault="00631223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E4" w:rsidRPr="008C1A45" w:rsidRDefault="00271176" w:rsidP="00A031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Алтунин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А.Е. Модели и алгоритмы принятия решений в нечетких условиях: Монография / А.Е.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Алтунин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Семухин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Тюмень: Издательство Тюменского гос.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2000. – 352 с.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Вержбицкий, В.М. Численные методы/ В.М. Вержбицкий. – М.: Высшая школа, 2005. – 866 с.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Гасанов М. А. Влияние технологических сдвигов на структурные трансформации мировой и российской экономики // Вестник Томского государственного университета. – 2009. № 323. –</w:t>
      </w:r>
      <w:r w:rsidR="0036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с. 239-24</w:t>
      </w:r>
      <w:r w:rsidR="003626C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Глазьев С. Ю. Теория долгосрочного технико-экономического развития. М.: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ВлаДар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1993. – 310с; 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Глазьев С.Ю. Новый технологический уклад в современной мировой экономике // Международная экономика. 2010, №5. - С. 5-27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Глазьев С.Ю. Современная теория длинных волн в развитии экономики // Экономическая наука современной России. – 2012. № 2 (57) – с. 27-42.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Мн</w:t>
      </w:r>
      <w:r w:rsidR="00160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огообразие технологических укла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 как условие эффективного сельского хозяйства // Экономика с.-х. и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предприятий. – 2009. № 11. – С 13–17.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Горегляд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Инновационный путь развития для новой России. М.: Наука, 2005. С. 245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Ерзнкян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Технологическое и институциональное развитие социально-экономических систем в гетерогенной среде./ Теория институционального развития // Журнал институциональных исследований. 2012, Том 4. №3. - С. 79-94.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Ерохина Е.А. Концепции самоорганизации как новая методология исследования экономических систем // Инновации.- 2011. № 4. – с. 79-84. 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Ивантер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Комков Н.И. Прогноз научно-технологического развития: состояние, проблемы и перспективы // Инновации.- 2006.- №10.- С. 42-51.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Кириллова О.Г. Технологический уклад как интегрирующий показатель модернизации и опережающего развития российской экономики / О.Г. Кириллова // Вестник Алтайской академии экономики и права. – 2014. - № 2 (34). – С. 45-49.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Кузнец С. Современный рост: результаты исследований и размышлений. Нобелевская лекция // Нобелевские лауреаты по экономике: взгляд из России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Ю.В.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Яковца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СПб.: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Гуманистика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2003. – 110 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Курнышева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И.Б. Конкурентоспособность и проблема структурной модернизации // Экономист. 2008. № 7. С. 31–38.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Курцев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Единство технико-технологических и организационно-экономических преобразований необходимое условие успешной модернизации АПК // Достижения науки и техники АПК. – 2012. №10. - с. 3-6. 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Львов Д. С., Глазьев С. Ю. Теоретические и прикладные аспекты управления НТП. // Экономика и математические методы. 1986. № 5. – С. 793–804.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Маевский В.И. Эволюционная теория и технологический прогресс // Вопросы экономики. 2001. № 11. - С. 4-16.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Прудникова Л.В. Оценка факторов технологического и инновационного развития промышленности по регионам Республики Беларусь // 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УО «Белорусский гос.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ун-т». - Минск: БГЭУ, 2014. — Т. 1. - С. 210-21</w:t>
      </w:r>
      <w:r w:rsidR="004D32F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Рыбина З.В. Аспекты становления инновационного уклада в российской экономике // Проблемы современной экономики. 2015, №1 (53)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 31 – 33.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Садовничий В.А., Акаев А.А.,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Коротаев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Малков С.Ю. Моделирование и прогнозирование мировой динамики / Научный совет по Программе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Исследований Президиума Российской академии наук «Экономика и социология знания». – М.: ИСПИ РОН, 2012. – 359 с.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Селиванов С.Г., Паньшина О.Ю. Методы и модели управления сменой технологических укладов в системе научно-технической подготовки производства. // Вестник ВГАТУ. Управление, вычислительная техника и информатика. Системный анализ. – Уфа: ВГАТУ. – 2010.- Том. 14. № 1 (36). - С. 74-79.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Селищева Т.А. Структурные трансформации и проблемы формирования информационной экономики России. СПб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2006. С. 32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Справочник энергетика угольной шахты: в 2 т./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Дзюбан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Ширнин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И.Г., Ванеев Б.Н.,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Гостищев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В.М.; под ред. Б.Н. Ванеева. – [2-е изд., 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доп.]. Донецк: ООО «Юго-Восток, Лтд», 2001. Т.1.: 447 с.; Т.2.: 440 с.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Сухарев О.О. Информационный сектор экономики: проблемы развития // Инвестиции в России. 2006. № 8. С. 29–38.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Сухарев О.С. Проблема периодизации технологического развития в эволюционном анализе // Экономический анализ: теория и практика. Изд-во: ООО «Издательский дом ФИНАНСЫ и КРЕДИТ». М.: 2013. – 23 (326)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 2-18.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Тебекин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Серяков Г.Н. Влияние динамики циклов экономической активности на перспективы развития национальной экономики. / Дискуссия по проблемам обновления экономической системы России и </w:t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реиндустриализация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Проблемы модернизации и перехода к инновационной экономике // ЕВРАЗИЙСКИЙ МЕЖДУНАРОДНЫЙ НАУЧНО-АНАЛИТИЧЕСКИЙ ЖУРНАЛ Проблемы современной экономики. – 2015. № 1 (53)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34-38. 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Хайтун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Постиндустриальное общество: станет ли эта западная модель будущим всего мира? // Общество и экономика. 2008. № 9. С. 100–124.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Хаустов Ю.И., Соловьев Б.А., Бочаров В.Н. Инновационный процесс в системе общественных отношений: монография / Ю. И. Хаустов, Б. А. Соловьев, В. П. Бочаров. - Воронеж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Воронеж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н-та, 2001. - 279 с. 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Хило Я.П. Особенности формирования инновационной экономики как перспективной модели конкурентоспособного развития Республики Беларусь / Я.П. Хило // Новая экономика. - 2008. - № 5/6. - С. 40-49. </w:t>
      </w:r>
    </w:p>
    <w:p w:rsidR="008C1A45" w:rsidRPr="008C1A45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Яковец</w:t>
      </w:r>
      <w:proofErr w:type="spellEnd"/>
      <w:r w:rsidRPr="008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Глобальные экономические трансформации XXI века. – Москва: Экономика. 2011 – с.382.</w:t>
      </w:r>
    </w:p>
    <w:p w:rsidR="00271176" w:rsidRPr="00CB550D" w:rsidRDefault="008C1A45" w:rsidP="00A031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1A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TrendEconomy</w:t>
      </w:r>
      <w:proofErr w:type="spellEnd"/>
      <w:r w:rsidRP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50D" w:rsidRP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3" w:history="1">
        <w:r w:rsidR="00CB550D" w:rsidRPr="00D4765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B550D" w:rsidRPr="00CB550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B550D" w:rsidRPr="00D4765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data</w:t>
        </w:r>
        <w:r w:rsidR="00CB550D" w:rsidRPr="00CB550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B550D" w:rsidRPr="00D4765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trendeconomy</w:t>
        </w:r>
        <w:proofErr w:type="spellEnd"/>
        <w:r w:rsidR="00CB550D" w:rsidRPr="00CB550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B550D" w:rsidRPr="00D4765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50D" w:rsidRP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обращения: </w:t>
      </w:r>
      <w:r w:rsid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>7.02.2017</w:t>
      </w:r>
      <w:r w:rsidR="00CB550D" w:rsidRPr="00CB55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4993" w:rsidRPr="00CB550D" w:rsidRDefault="00804993" w:rsidP="00A031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4993" w:rsidRPr="00CB550D" w:rsidSect="00A61A96">
      <w:footerReference w:type="default" r:id="rId6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8C" w:rsidRDefault="005F398C" w:rsidP="002826F6">
      <w:pPr>
        <w:spacing w:after="0" w:line="240" w:lineRule="auto"/>
      </w:pPr>
      <w:r>
        <w:separator/>
      </w:r>
    </w:p>
  </w:endnote>
  <w:endnote w:type="continuationSeparator" w:id="0">
    <w:p w:rsidR="005F398C" w:rsidRDefault="005F398C" w:rsidP="0028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TenCyr-Inclin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TenCyr-Upr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0C" w:rsidRPr="00416AA3" w:rsidRDefault="00F5100C">
    <w:pPr>
      <w:pStyle w:val="aa"/>
      <w:jc w:val="center"/>
      <w:rPr>
        <w:rFonts w:ascii="Times New Roman" w:hAnsi="Times New Roman" w:cs="Times New Roman"/>
        <w:sz w:val="24"/>
        <w:szCs w:val="24"/>
      </w:rPr>
    </w:pPr>
  </w:p>
  <w:p w:rsidR="00F5100C" w:rsidRPr="00416AA3" w:rsidRDefault="00F5100C">
    <w:pPr>
      <w:pStyle w:val="a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8C" w:rsidRDefault="005F398C" w:rsidP="002826F6">
      <w:pPr>
        <w:spacing w:after="0" w:line="240" w:lineRule="auto"/>
      </w:pPr>
      <w:r>
        <w:separator/>
      </w:r>
    </w:p>
  </w:footnote>
  <w:footnote w:type="continuationSeparator" w:id="0">
    <w:p w:rsidR="005F398C" w:rsidRDefault="005F398C" w:rsidP="002826F6">
      <w:pPr>
        <w:spacing w:after="0" w:line="240" w:lineRule="auto"/>
      </w:pPr>
      <w:r>
        <w:continuationSeparator/>
      </w:r>
    </w:p>
  </w:footnote>
  <w:footnote w:id="1">
    <w:p w:rsidR="009C6F6E" w:rsidRPr="005870C2" w:rsidRDefault="009C6F6E">
      <w:pPr>
        <w:pStyle w:val="ae"/>
        <w:rPr>
          <w:rFonts w:ascii="Times New Roman" w:hAnsi="Times New Roman" w:cs="Times New Roman"/>
        </w:rPr>
      </w:pPr>
      <w:r w:rsidRPr="005870C2">
        <w:rPr>
          <w:rStyle w:val="af0"/>
          <w:rFonts w:ascii="Times New Roman" w:hAnsi="Times New Roman" w:cs="Times New Roman"/>
        </w:rPr>
        <w:footnoteRef/>
      </w:r>
      <w:r w:rsidRPr="005870C2">
        <w:rPr>
          <w:rFonts w:ascii="Times New Roman" w:hAnsi="Times New Roman" w:cs="Times New Roman"/>
        </w:rPr>
        <w:t xml:space="preserve"> В данном случае имеются в виду не угледобывающие участки, а производственные циклы.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68FA"/>
    <w:multiLevelType w:val="multilevel"/>
    <w:tmpl w:val="2B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93"/>
    <w:rsid w:val="00005390"/>
    <w:rsid w:val="00006603"/>
    <w:rsid w:val="00007D06"/>
    <w:rsid w:val="000110B3"/>
    <w:rsid w:val="00013F83"/>
    <w:rsid w:val="00025771"/>
    <w:rsid w:val="00034BBC"/>
    <w:rsid w:val="000369A2"/>
    <w:rsid w:val="00044B0D"/>
    <w:rsid w:val="0005353C"/>
    <w:rsid w:val="00062BF7"/>
    <w:rsid w:val="0006370C"/>
    <w:rsid w:val="000A349D"/>
    <w:rsid w:val="000A634F"/>
    <w:rsid w:val="000C5032"/>
    <w:rsid w:val="000C64E5"/>
    <w:rsid w:val="000D047A"/>
    <w:rsid w:val="000E08EE"/>
    <w:rsid w:val="000E2B9E"/>
    <w:rsid w:val="000E5FE4"/>
    <w:rsid w:val="000E70AC"/>
    <w:rsid w:val="000F2B72"/>
    <w:rsid w:val="0010310D"/>
    <w:rsid w:val="00147709"/>
    <w:rsid w:val="0016005D"/>
    <w:rsid w:val="00166FC8"/>
    <w:rsid w:val="001737C1"/>
    <w:rsid w:val="00183798"/>
    <w:rsid w:val="001B6B1C"/>
    <w:rsid w:val="001D2C02"/>
    <w:rsid w:val="001F75F1"/>
    <w:rsid w:val="0021133D"/>
    <w:rsid w:val="00214D41"/>
    <w:rsid w:val="002313FC"/>
    <w:rsid w:val="00232947"/>
    <w:rsid w:val="00235571"/>
    <w:rsid w:val="0024668B"/>
    <w:rsid w:val="0025015E"/>
    <w:rsid w:val="002550B5"/>
    <w:rsid w:val="002556BB"/>
    <w:rsid w:val="00255CAD"/>
    <w:rsid w:val="002624B1"/>
    <w:rsid w:val="002707E1"/>
    <w:rsid w:val="00271176"/>
    <w:rsid w:val="002737C9"/>
    <w:rsid w:val="00274BB0"/>
    <w:rsid w:val="00275466"/>
    <w:rsid w:val="00280C69"/>
    <w:rsid w:val="002826F6"/>
    <w:rsid w:val="00295406"/>
    <w:rsid w:val="002B38D2"/>
    <w:rsid w:val="002C1912"/>
    <w:rsid w:val="002C54B0"/>
    <w:rsid w:val="002D25B0"/>
    <w:rsid w:val="002D6B80"/>
    <w:rsid w:val="002E01D5"/>
    <w:rsid w:val="002E7DF2"/>
    <w:rsid w:val="003179D6"/>
    <w:rsid w:val="00324F70"/>
    <w:rsid w:val="00325760"/>
    <w:rsid w:val="00326788"/>
    <w:rsid w:val="003626CA"/>
    <w:rsid w:val="003767E0"/>
    <w:rsid w:val="0039124B"/>
    <w:rsid w:val="003A3A82"/>
    <w:rsid w:val="003B1F5A"/>
    <w:rsid w:val="003B3A5E"/>
    <w:rsid w:val="003B3ED4"/>
    <w:rsid w:val="003B43B1"/>
    <w:rsid w:val="003B60B7"/>
    <w:rsid w:val="003D1159"/>
    <w:rsid w:val="003E09BF"/>
    <w:rsid w:val="003E29D1"/>
    <w:rsid w:val="003E36E9"/>
    <w:rsid w:val="003E4D70"/>
    <w:rsid w:val="004071CF"/>
    <w:rsid w:val="0041423B"/>
    <w:rsid w:val="0041593F"/>
    <w:rsid w:val="00416AA3"/>
    <w:rsid w:val="0042295C"/>
    <w:rsid w:val="00424BF8"/>
    <w:rsid w:val="00425D4F"/>
    <w:rsid w:val="00437C0A"/>
    <w:rsid w:val="00442A42"/>
    <w:rsid w:val="00443BC7"/>
    <w:rsid w:val="004442F4"/>
    <w:rsid w:val="00464BCC"/>
    <w:rsid w:val="00471B6E"/>
    <w:rsid w:val="0047689A"/>
    <w:rsid w:val="00487FD4"/>
    <w:rsid w:val="00491C71"/>
    <w:rsid w:val="00497F45"/>
    <w:rsid w:val="004A7655"/>
    <w:rsid w:val="004C1D35"/>
    <w:rsid w:val="004C5993"/>
    <w:rsid w:val="004D16B6"/>
    <w:rsid w:val="004D32FE"/>
    <w:rsid w:val="004E1687"/>
    <w:rsid w:val="004E2F77"/>
    <w:rsid w:val="004F058E"/>
    <w:rsid w:val="004F0770"/>
    <w:rsid w:val="004F3C1A"/>
    <w:rsid w:val="004F402F"/>
    <w:rsid w:val="004F4B36"/>
    <w:rsid w:val="00500774"/>
    <w:rsid w:val="00504D2F"/>
    <w:rsid w:val="00506617"/>
    <w:rsid w:val="00510C0C"/>
    <w:rsid w:val="005113EC"/>
    <w:rsid w:val="00526DFF"/>
    <w:rsid w:val="005371C7"/>
    <w:rsid w:val="00541699"/>
    <w:rsid w:val="00564884"/>
    <w:rsid w:val="0057640A"/>
    <w:rsid w:val="0057773D"/>
    <w:rsid w:val="00581AB7"/>
    <w:rsid w:val="0058454E"/>
    <w:rsid w:val="005870C2"/>
    <w:rsid w:val="00597BE8"/>
    <w:rsid w:val="005A07D3"/>
    <w:rsid w:val="005B2ABF"/>
    <w:rsid w:val="005B41F4"/>
    <w:rsid w:val="005B6340"/>
    <w:rsid w:val="005C3AB1"/>
    <w:rsid w:val="005C6966"/>
    <w:rsid w:val="005D2DFB"/>
    <w:rsid w:val="005D4484"/>
    <w:rsid w:val="005F02F1"/>
    <w:rsid w:val="005F398C"/>
    <w:rsid w:val="005F630B"/>
    <w:rsid w:val="00601056"/>
    <w:rsid w:val="00606D06"/>
    <w:rsid w:val="00610C88"/>
    <w:rsid w:val="00621221"/>
    <w:rsid w:val="006246C5"/>
    <w:rsid w:val="00631223"/>
    <w:rsid w:val="00635DFC"/>
    <w:rsid w:val="00650DB2"/>
    <w:rsid w:val="00652415"/>
    <w:rsid w:val="00654CFB"/>
    <w:rsid w:val="006716B4"/>
    <w:rsid w:val="0068268A"/>
    <w:rsid w:val="00693C7A"/>
    <w:rsid w:val="006B18CD"/>
    <w:rsid w:val="006C1CB9"/>
    <w:rsid w:val="006E05CA"/>
    <w:rsid w:val="006E2C7A"/>
    <w:rsid w:val="006E6682"/>
    <w:rsid w:val="006E6E27"/>
    <w:rsid w:val="006F1D81"/>
    <w:rsid w:val="00717BA8"/>
    <w:rsid w:val="00726264"/>
    <w:rsid w:val="0073046A"/>
    <w:rsid w:val="007305FD"/>
    <w:rsid w:val="00736697"/>
    <w:rsid w:val="007409C2"/>
    <w:rsid w:val="00746BED"/>
    <w:rsid w:val="007608B9"/>
    <w:rsid w:val="00765338"/>
    <w:rsid w:val="00772661"/>
    <w:rsid w:val="00776DAB"/>
    <w:rsid w:val="00777858"/>
    <w:rsid w:val="007827D6"/>
    <w:rsid w:val="00790E5C"/>
    <w:rsid w:val="007A38F8"/>
    <w:rsid w:val="007B5A65"/>
    <w:rsid w:val="007C2B62"/>
    <w:rsid w:val="007C77A6"/>
    <w:rsid w:val="007D144C"/>
    <w:rsid w:val="007D4860"/>
    <w:rsid w:val="007F5AEA"/>
    <w:rsid w:val="00802AD2"/>
    <w:rsid w:val="0080326C"/>
    <w:rsid w:val="00804993"/>
    <w:rsid w:val="00806AB6"/>
    <w:rsid w:val="00816A3E"/>
    <w:rsid w:val="0083616E"/>
    <w:rsid w:val="00841E59"/>
    <w:rsid w:val="00843E34"/>
    <w:rsid w:val="00846216"/>
    <w:rsid w:val="0085107A"/>
    <w:rsid w:val="00856C6C"/>
    <w:rsid w:val="008608F1"/>
    <w:rsid w:val="00862CB7"/>
    <w:rsid w:val="00871FE8"/>
    <w:rsid w:val="008726B5"/>
    <w:rsid w:val="00886AD2"/>
    <w:rsid w:val="00887EE4"/>
    <w:rsid w:val="008942FE"/>
    <w:rsid w:val="00895537"/>
    <w:rsid w:val="008A26F1"/>
    <w:rsid w:val="008A28D0"/>
    <w:rsid w:val="008A5B87"/>
    <w:rsid w:val="008A602C"/>
    <w:rsid w:val="008C1807"/>
    <w:rsid w:val="008C1A45"/>
    <w:rsid w:val="008D4F58"/>
    <w:rsid w:val="008E6C80"/>
    <w:rsid w:val="008E791F"/>
    <w:rsid w:val="008F50D0"/>
    <w:rsid w:val="00901E96"/>
    <w:rsid w:val="0090457B"/>
    <w:rsid w:val="009208AB"/>
    <w:rsid w:val="00921898"/>
    <w:rsid w:val="00956C90"/>
    <w:rsid w:val="0096126A"/>
    <w:rsid w:val="00971F90"/>
    <w:rsid w:val="00985ED6"/>
    <w:rsid w:val="009B1497"/>
    <w:rsid w:val="009C0891"/>
    <w:rsid w:val="009C238A"/>
    <w:rsid w:val="009C68D9"/>
    <w:rsid w:val="009C6968"/>
    <w:rsid w:val="009C6F6E"/>
    <w:rsid w:val="009C7F91"/>
    <w:rsid w:val="009D11E4"/>
    <w:rsid w:val="009E1099"/>
    <w:rsid w:val="009E2763"/>
    <w:rsid w:val="009E4429"/>
    <w:rsid w:val="009F42BC"/>
    <w:rsid w:val="009F45AF"/>
    <w:rsid w:val="009F7B4F"/>
    <w:rsid w:val="00A0316E"/>
    <w:rsid w:val="00A21DF1"/>
    <w:rsid w:val="00A46DA7"/>
    <w:rsid w:val="00A504F6"/>
    <w:rsid w:val="00A578A0"/>
    <w:rsid w:val="00A57970"/>
    <w:rsid w:val="00A60A9C"/>
    <w:rsid w:val="00A61A96"/>
    <w:rsid w:val="00A766B5"/>
    <w:rsid w:val="00A940C3"/>
    <w:rsid w:val="00A9518D"/>
    <w:rsid w:val="00AC2B65"/>
    <w:rsid w:val="00AD2D49"/>
    <w:rsid w:val="00AE16F4"/>
    <w:rsid w:val="00AE3523"/>
    <w:rsid w:val="00AE52BC"/>
    <w:rsid w:val="00B10ED1"/>
    <w:rsid w:val="00B131E6"/>
    <w:rsid w:val="00B40748"/>
    <w:rsid w:val="00B45F95"/>
    <w:rsid w:val="00B47980"/>
    <w:rsid w:val="00B91182"/>
    <w:rsid w:val="00B9670C"/>
    <w:rsid w:val="00BA71D6"/>
    <w:rsid w:val="00BB372D"/>
    <w:rsid w:val="00BC52C2"/>
    <w:rsid w:val="00BE1725"/>
    <w:rsid w:val="00BE2608"/>
    <w:rsid w:val="00BF00B7"/>
    <w:rsid w:val="00BF3B6C"/>
    <w:rsid w:val="00BF79B4"/>
    <w:rsid w:val="00C02DF4"/>
    <w:rsid w:val="00C04D4A"/>
    <w:rsid w:val="00C0779E"/>
    <w:rsid w:val="00C13AEC"/>
    <w:rsid w:val="00C24B0B"/>
    <w:rsid w:val="00C42C8A"/>
    <w:rsid w:val="00C447EE"/>
    <w:rsid w:val="00C54A7C"/>
    <w:rsid w:val="00C55058"/>
    <w:rsid w:val="00C5683F"/>
    <w:rsid w:val="00C659E5"/>
    <w:rsid w:val="00C70160"/>
    <w:rsid w:val="00C830C0"/>
    <w:rsid w:val="00C8680F"/>
    <w:rsid w:val="00C90877"/>
    <w:rsid w:val="00C90C21"/>
    <w:rsid w:val="00CA32A6"/>
    <w:rsid w:val="00CA480D"/>
    <w:rsid w:val="00CB550D"/>
    <w:rsid w:val="00CB6AE3"/>
    <w:rsid w:val="00CC0BF8"/>
    <w:rsid w:val="00CD1443"/>
    <w:rsid w:val="00CD3110"/>
    <w:rsid w:val="00CD4956"/>
    <w:rsid w:val="00CF5B08"/>
    <w:rsid w:val="00CF5E0F"/>
    <w:rsid w:val="00D01C65"/>
    <w:rsid w:val="00D04621"/>
    <w:rsid w:val="00D209F8"/>
    <w:rsid w:val="00D36809"/>
    <w:rsid w:val="00D46C5D"/>
    <w:rsid w:val="00D47DC7"/>
    <w:rsid w:val="00D62AF0"/>
    <w:rsid w:val="00D7382C"/>
    <w:rsid w:val="00D75920"/>
    <w:rsid w:val="00D83883"/>
    <w:rsid w:val="00D92768"/>
    <w:rsid w:val="00DB2B56"/>
    <w:rsid w:val="00DB7100"/>
    <w:rsid w:val="00DC4307"/>
    <w:rsid w:val="00DC461D"/>
    <w:rsid w:val="00DE5476"/>
    <w:rsid w:val="00DF24F0"/>
    <w:rsid w:val="00DF4B26"/>
    <w:rsid w:val="00E026C1"/>
    <w:rsid w:val="00E03D14"/>
    <w:rsid w:val="00E0537D"/>
    <w:rsid w:val="00E22A9C"/>
    <w:rsid w:val="00E27250"/>
    <w:rsid w:val="00E41C2F"/>
    <w:rsid w:val="00E6414F"/>
    <w:rsid w:val="00E66B3B"/>
    <w:rsid w:val="00E7286A"/>
    <w:rsid w:val="00E75746"/>
    <w:rsid w:val="00E75B4C"/>
    <w:rsid w:val="00E75BB7"/>
    <w:rsid w:val="00E7611A"/>
    <w:rsid w:val="00E830BA"/>
    <w:rsid w:val="00E85CB5"/>
    <w:rsid w:val="00EB3107"/>
    <w:rsid w:val="00EB7192"/>
    <w:rsid w:val="00ED06A1"/>
    <w:rsid w:val="00ED3C56"/>
    <w:rsid w:val="00ED69F9"/>
    <w:rsid w:val="00EF4ECD"/>
    <w:rsid w:val="00F07C9C"/>
    <w:rsid w:val="00F15C01"/>
    <w:rsid w:val="00F350BC"/>
    <w:rsid w:val="00F40472"/>
    <w:rsid w:val="00F42B86"/>
    <w:rsid w:val="00F5100C"/>
    <w:rsid w:val="00F5483C"/>
    <w:rsid w:val="00F55226"/>
    <w:rsid w:val="00F62C65"/>
    <w:rsid w:val="00F818B0"/>
    <w:rsid w:val="00F85446"/>
    <w:rsid w:val="00F854EF"/>
    <w:rsid w:val="00F934D4"/>
    <w:rsid w:val="00F96917"/>
    <w:rsid w:val="00F97B08"/>
    <w:rsid w:val="00FB5220"/>
    <w:rsid w:val="00FB7CB1"/>
    <w:rsid w:val="00FC0287"/>
    <w:rsid w:val="00FC18C4"/>
    <w:rsid w:val="00FC1CCA"/>
    <w:rsid w:val="00FC6D45"/>
    <w:rsid w:val="00FC70E8"/>
    <w:rsid w:val="00FC76FB"/>
    <w:rsid w:val="00FC7898"/>
    <w:rsid w:val="00FD2246"/>
    <w:rsid w:val="00FE00B0"/>
    <w:rsid w:val="00FE0CBC"/>
    <w:rsid w:val="00FE19DE"/>
    <w:rsid w:val="00FE2535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68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9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C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C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737C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82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6F6"/>
  </w:style>
  <w:style w:type="paragraph" w:styleId="aa">
    <w:name w:val="footer"/>
    <w:basedOn w:val="a"/>
    <w:link w:val="ab"/>
    <w:uiPriority w:val="99"/>
    <w:unhideWhenUsed/>
    <w:rsid w:val="00282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6F6"/>
  </w:style>
  <w:style w:type="character" w:customStyle="1" w:styleId="20">
    <w:name w:val="Заголовок 2 Знак"/>
    <w:basedOn w:val="a0"/>
    <w:link w:val="2"/>
    <w:uiPriority w:val="9"/>
    <w:rsid w:val="00C868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843E34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E03D1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C6F6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6F6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6F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68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9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C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C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737C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82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6F6"/>
  </w:style>
  <w:style w:type="paragraph" w:styleId="aa">
    <w:name w:val="footer"/>
    <w:basedOn w:val="a"/>
    <w:link w:val="ab"/>
    <w:uiPriority w:val="99"/>
    <w:unhideWhenUsed/>
    <w:rsid w:val="00282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6F6"/>
  </w:style>
  <w:style w:type="character" w:customStyle="1" w:styleId="20">
    <w:name w:val="Заголовок 2 Знак"/>
    <w:basedOn w:val="a0"/>
    <w:link w:val="2"/>
    <w:uiPriority w:val="9"/>
    <w:rsid w:val="00C868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843E34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E03D1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C6F6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6F6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6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raj-ognya@mail.ru" TargetMode="Externa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6.bin"/><Relationship Id="rId50" Type="http://schemas.openxmlformats.org/officeDocument/2006/relationships/image" Target="media/image20.wmf"/><Relationship Id="rId55" Type="http://schemas.openxmlformats.org/officeDocument/2006/relationships/image" Target="media/image23.wmf"/><Relationship Id="rId63" Type="http://schemas.openxmlformats.org/officeDocument/2006/relationships/hyperlink" Target="http://data.trendeconomy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oleObject" Target="embeddings/oleObject2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_russ@mail.ru" TargetMode="Externa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5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2.bin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7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61" Type="http://schemas.openxmlformats.org/officeDocument/2006/relationships/image" Target="media/image25.wmf"/><Relationship Id="rId10" Type="http://schemas.openxmlformats.org/officeDocument/2006/relationships/hyperlink" Target="mailto:o.sharnopolskaya@mail.ru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4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3.bin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elegeda.bg@gmail.com" TargetMode="External"/><Relationship Id="rId14" Type="http://schemas.openxmlformats.org/officeDocument/2006/relationships/image" Target="media/image1.png"/><Relationship Id="rId22" Type="http://schemas.openxmlformats.org/officeDocument/2006/relationships/oleObject" Target="embeddings/oleObject3.bin"/><Relationship Id="rId27" Type="http://schemas.openxmlformats.org/officeDocument/2006/relationships/image" Target="media/image9.wmf"/><Relationship Id="rId30" Type="http://schemas.openxmlformats.org/officeDocument/2006/relationships/oleObject" Target="embeddings/oleObject7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oleObject" Target="embeddings/oleObject20.bin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Relationship Id="rId3" Type="http://schemas.openxmlformats.org/officeDocument/2006/relationships/styles" Target="styles.xml"/><Relationship Id="rId12" Type="http://schemas.openxmlformats.org/officeDocument/2006/relationships/hyperlink" Target="mailto:omboldovskaya@mail.ru" TargetMode="Externa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5707-8427-4D09-827D-39377B6C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11</Pages>
  <Words>4481</Words>
  <Characters>25546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Oksana</cp:lastModifiedBy>
  <cp:revision>171</cp:revision>
  <cp:lastPrinted>2017-02-05T20:05:00Z</cp:lastPrinted>
  <dcterms:created xsi:type="dcterms:W3CDTF">2017-01-08T09:50:00Z</dcterms:created>
  <dcterms:modified xsi:type="dcterms:W3CDTF">2018-10-24T09:05:00Z</dcterms:modified>
</cp:coreProperties>
</file>