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97"/>
        <w:gridCol w:w="5095"/>
      </w:tblGrid>
      <w:tr w:rsidR="002774A7" w:rsidRPr="002774A7" w:rsidTr="00665C78">
        <w:trPr>
          <w:jc w:val="center"/>
        </w:trPr>
        <w:tc>
          <w:tcPr>
            <w:tcW w:w="9292" w:type="dxa"/>
            <w:gridSpan w:val="2"/>
            <w:hideMark/>
          </w:tcPr>
          <w:p w:rsidR="002774A7" w:rsidRPr="002774A7" w:rsidRDefault="002774A7" w:rsidP="002774A7">
            <w:pPr>
              <w:widowControl w:val="0"/>
              <w:shd w:val="clear" w:color="auto" w:fill="FFFFFF"/>
              <w:spacing w:after="0" w:line="240" w:lineRule="auto"/>
              <w:rPr>
                <w:rFonts w:ascii="Times New Roman" w:eastAsia="Times New Roman" w:hAnsi="Times New Roman" w:cs="Times New Roman"/>
                <w:b/>
                <w:sz w:val="28"/>
              </w:rPr>
            </w:pPr>
            <w:r w:rsidRPr="002774A7">
              <w:rPr>
                <w:rFonts w:ascii="Times New Roman" w:eastAsia="Calibri" w:hAnsi="Times New Roman" w:cs="Times New Roman"/>
                <w:b/>
                <w:sz w:val="28"/>
                <w:szCs w:val="24"/>
              </w:rPr>
              <w:t>УДК 658.589(470+571)</w:t>
            </w:r>
          </w:p>
        </w:tc>
      </w:tr>
      <w:tr w:rsidR="002774A7" w:rsidRPr="002774A7" w:rsidTr="00665C78">
        <w:trPr>
          <w:jc w:val="center"/>
        </w:trPr>
        <w:tc>
          <w:tcPr>
            <w:tcW w:w="4197" w:type="dxa"/>
          </w:tcPr>
          <w:p w:rsidR="002774A7" w:rsidRPr="002774A7" w:rsidRDefault="002774A7" w:rsidP="002774A7">
            <w:pPr>
              <w:widowControl w:val="0"/>
              <w:spacing w:after="0" w:line="240" w:lineRule="auto"/>
              <w:jc w:val="right"/>
              <w:rPr>
                <w:rFonts w:ascii="Times New Roman" w:eastAsia="Times New Roman" w:hAnsi="Times New Roman" w:cs="Times New Roman"/>
                <w:sz w:val="28"/>
              </w:rPr>
            </w:pPr>
          </w:p>
        </w:tc>
        <w:tc>
          <w:tcPr>
            <w:tcW w:w="5095" w:type="dxa"/>
            <w:tcMar>
              <w:left w:w="0" w:type="dxa"/>
              <w:right w:w="0" w:type="dxa"/>
            </w:tcMar>
          </w:tcPr>
          <w:p w:rsidR="002774A7" w:rsidRPr="002774A7" w:rsidRDefault="002774A7" w:rsidP="002774A7">
            <w:pPr>
              <w:spacing w:after="0" w:line="240" w:lineRule="auto"/>
              <w:rPr>
                <w:rFonts w:ascii="Times New Roman" w:eastAsia="Calibri" w:hAnsi="Times New Roman" w:cs="Times New Roman"/>
                <w:sz w:val="28"/>
              </w:rPr>
            </w:pPr>
            <w:bookmarkStart w:id="0" w:name="_Toc7971571"/>
            <w:bookmarkStart w:id="1" w:name="_Toc9105942"/>
            <w:r w:rsidRPr="002774A7">
              <w:rPr>
                <w:rFonts w:ascii="Times New Roman Полужирный" w:eastAsiaTheme="majorEastAsia" w:hAnsi="Times New Roman Полужирный" w:cs="Times New Roman"/>
                <w:b/>
                <w:bCs/>
                <w:iCs/>
                <w:sz w:val="28"/>
              </w:rPr>
              <w:t>Е.Г. Курган,</w:t>
            </w:r>
            <w:bookmarkEnd w:id="0"/>
            <w:bookmarkEnd w:id="1"/>
            <w:r w:rsidRPr="002774A7">
              <w:rPr>
                <w:rFonts w:ascii="Times New Roman" w:eastAsia="Times New Roman" w:hAnsi="Times New Roman" w:cs="Times New Roman"/>
                <w:sz w:val="28"/>
              </w:rPr>
              <w:t xml:space="preserve"> </w:t>
            </w:r>
            <w:r w:rsidRPr="002774A7">
              <w:rPr>
                <w:rFonts w:ascii="Times New Roman" w:eastAsia="Calibri" w:hAnsi="Times New Roman" w:cs="Times New Roman"/>
                <w:i/>
                <w:sz w:val="28"/>
              </w:rPr>
              <w:t>к.э.н., доц.</w:t>
            </w:r>
            <w:r w:rsidRPr="002774A7">
              <w:rPr>
                <w:rFonts w:ascii="Times New Roman" w:eastAsia="Calibri" w:hAnsi="Times New Roman" w:cs="Times New Roman"/>
                <w:sz w:val="28"/>
              </w:rPr>
              <w:t xml:space="preserve"> </w:t>
            </w:r>
          </w:p>
          <w:p w:rsidR="002774A7" w:rsidRPr="002774A7" w:rsidRDefault="002774A7" w:rsidP="002774A7">
            <w:pPr>
              <w:spacing w:after="0" w:line="240" w:lineRule="auto"/>
              <w:rPr>
                <w:rFonts w:ascii="Times New Roman" w:eastAsia="Calibri" w:hAnsi="Times New Roman" w:cs="Times New Roman"/>
                <w:sz w:val="28"/>
              </w:rPr>
            </w:pPr>
            <w:bookmarkStart w:id="2" w:name="_Toc7971572"/>
            <w:bookmarkStart w:id="3" w:name="_Toc9105943"/>
            <w:r w:rsidRPr="002774A7">
              <w:rPr>
                <w:rFonts w:ascii="Times New Roman Полужирный" w:eastAsiaTheme="majorEastAsia" w:hAnsi="Times New Roman Полужирный" w:cs="Times New Roman"/>
                <w:b/>
                <w:bCs/>
                <w:iCs/>
                <w:sz w:val="28"/>
              </w:rPr>
              <w:t>Е.А. Шумаева,</w:t>
            </w:r>
            <w:bookmarkEnd w:id="2"/>
            <w:bookmarkEnd w:id="3"/>
            <w:r w:rsidRPr="002774A7">
              <w:rPr>
                <w:rFonts w:ascii="Times New Roman" w:eastAsia="Calibri" w:hAnsi="Times New Roman" w:cs="Times New Roman"/>
                <w:sz w:val="28"/>
              </w:rPr>
              <w:t xml:space="preserve"> </w:t>
            </w:r>
            <w:r w:rsidRPr="002774A7">
              <w:rPr>
                <w:rFonts w:ascii="Times New Roman" w:eastAsia="Calibri" w:hAnsi="Times New Roman" w:cs="Times New Roman"/>
                <w:i/>
                <w:sz w:val="28"/>
              </w:rPr>
              <w:t>к. гос. упр. доц.</w:t>
            </w:r>
            <w:r w:rsidRPr="002774A7">
              <w:rPr>
                <w:rFonts w:ascii="Times New Roman" w:eastAsia="Calibri" w:hAnsi="Times New Roman" w:cs="Times New Roman"/>
                <w:sz w:val="28"/>
              </w:rPr>
              <w:t xml:space="preserve"> </w:t>
            </w:r>
          </w:p>
          <w:p w:rsidR="002774A7" w:rsidRPr="002774A7" w:rsidRDefault="002774A7" w:rsidP="002774A7">
            <w:pPr>
              <w:keepNext/>
              <w:spacing w:after="0" w:line="240" w:lineRule="auto"/>
              <w:jc w:val="both"/>
              <w:outlineLvl w:val="1"/>
              <w:rPr>
                <w:rFonts w:ascii="Times New Roman Полужирный" w:eastAsiaTheme="majorEastAsia" w:hAnsi="Times New Roman Полужирный" w:cs="Times New Roman"/>
                <w:b/>
                <w:bCs/>
                <w:iCs/>
                <w:sz w:val="28"/>
                <w:szCs w:val="28"/>
              </w:rPr>
            </w:pPr>
            <w:bookmarkStart w:id="4" w:name="_Toc7971573"/>
            <w:bookmarkStart w:id="5" w:name="_Toc9105944"/>
            <w:r w:rsidRPr="002774A7">
              <w:rPr>
                <w:rFonts w:ascii="Times New Roman Полужирный" w:eastAsiaTheme="majorEastAsia" w:hAnsi="Times New Roman Полужирный" w:cs="Times New Roman"/>
                <w:b/>
                <w:bCs/>
                <w:iCs/>
                <w:sz w:val="28"/>
                <w:szCs w:val="28"/>
              </w:rPr>
              <w:t>С. А. Бутенко</w:t>
            </w:r>
            <w:bookmarkEnd w:id="4"/>
            <w:bookmarkEnd w:id="5"/>
          </w:p>
          <w:p w:rsidR="002774A7" w:rsidRPr="002774A7" w:rsidRDefault="002774A7" w:rsidP="002774A7">
            <w:pPr>
              <w:spacing w:after="0" w:line="240" w:lineRule="auto"/>
              <w:rPr>
                <w:rFonts w:ascii="Times New Roman" w:eastAsia="Calibri" w:hAnsi="Times New Roman" w:cs="Times New Roman"/>
                <w:i/>
                <w:sz w:val="28"/>
              </w:rPr>
            </w:pPr>
            <w:r w:rsidRPr="002774A7">
              <w:rPr>
                <w:rFonts w:ascii="Times New Roman" w:eastAsia="Calibri" w:hAnsi="Times New Roman" w:cs="Times New Roman"/>
                <w:i/>
                <w:sz w:val="28"/>
              </w:rPr>
              <w:t xml:space="preserve">ГОУВПО «Донецкий национальный </w:t>
            </w:r>
          </w:p>
          <w:p w:rsidR="002774A7" w:rsidRPr="002774A7" w:rsidRDefault="002774A7" w:rsidP="002774A7">
            <w:pPr>
              <w:spacing w:after="0" w:line="240" w:lineRule="auto"/>
              <w:rPr>
                <w:rFonts w:ascii="Times New Roman" w:eastAsia="Calibri" w:hAnsi="Times New Roman" w:cs="Times New Roman"/>
                <w:i/>
                <w:sz w:val="28"/>
              </w:rPr>
            </w:pPr>
            <w:r w:rsidRPr="002774A7">
              <w:rPr>
                <w:rFonts w:ascii="Times New Roman" w:eastAsia="Calibri" w:hAnsi="Times New Roman" w:cs="Times New Roman"/>
                <w:i/>
                <w:sz w:val="28"/>
              </w:rPr>
              <w:t xml:space="preserve">технический университет», </w:t>
            </w:r>
          </w:p>
          <w:p w:rsidR="002774A7" w:rsidRPr="002774A7" w:rsidRDefault="002774A7" w:rsidP="002774A7">
            <w:pPr>
              <w:spacing w:after="0" w:line="240" w:lineRule="auto"/>
              <w:rPr>
                <w:rFonts w:ascii="Times New Roman" w:eastAsia="Calibri" w:hAnsi="Times New Roman" w:cs="Times New Roman"/>
                <w:i/>
                <w:sz w:val="28"/>
              </w:rPr>
            </w:pPr>
            <w:r w:rsidRPr="002774A7">
              <w:rPr>
                <w:rFonts w:ascii="Times New Roman" w:eastAsia="Calibri" w:hAnsi="Times New Roman" w:cs="Times New Roman"/>
                <w:i/>
                <w:sz w:val="28"/>
              </w:rPr>
              <w:t xml:space="preserve">Донецк, Донецкая Народная Республика </w:t>
            </w:r>
          </w:p>
          <w:p w:rsidR="002774A7" w:rsidRPr="002774A7" w:rsidRDefault="002774A7" w:rsidP="002774A7">
            <w:pPr>
              <w:spacing w:after="0" w:line="240" w:lineRule="auto"/>
              <w:rPr>
                <w:rFonts w:ascii="Times New Roman" w:eastAsia="Calibri" w:hAnsi="Times New Roman" w:cs="Times New Roman"/>
                <w:b/>
                <w:i/>
                <w:sz w:val="28"/>
                <w:lang w:val="en-US"/>
              </w:rPr>
            </w:pPr>
            <w:r w:rsidRPr="002774A7">
              <w:rPr>
                <w:rFonts w:ascii="Times New Roman" w:eastAsia="Calibri" w:hAnsi="Times New Roman" w:cs="Times New Roman"/>
                <w:b/>
                <w:i/>
                <w:sz w:val="28"/>
                <w:lang w:val="en-US"/>
              </w:rPr>
              <w:t xml:space="preserve">E.G. Kurgan, E.A. Shumaeva, </w:t>
            </w:r>
          </w:p>
          <w:p w:rsidR="002774A7" w:rsidRPr="002774A7" w:rsidRDefault="002774A7" w:rsidP="002774A7">
            <w:pPr>
              <w:spacing w:after="0" w:line="240" w:lineRule="auto"/>
              <w:rPr>
                <w:rFonts w:ascii="Times New Roman" w:eastAsia="Calibri" w:hAnsi="Times New Roman" w:cs="Times New Roman"/>
                <w:b/>
                <w:i/>
                <w:sz w:val="28"/>
                <w:lang w:val="en-US"/>
              </w:rPr>
            </w:pPr>
            <w:r w:rsidRPr="002774A7">
              <w:rPr>
                <w:rFonts w:ascii="Times New Roman" w:eastAsia="Calibri" w:hAnsi="Times New Roman" w:cs="Times New Roman"/>
                <w:b/>
                <w:i/>
                <w:sz w:val="28"/>
                <w:lang w:val="en-US"/>
              </w:rPr>
              <w:t xml:space="preserve">S.A. </w:t>
            </w:r>
            <w:r w:rsidRPr="002774A7">
              <w:rPr>
                <w:rFonts w:ascii="Times New Roman" w:eastAsia="Calibri" w:hAnsi="Times New Roman" w:cs="Times New Roman"/>
                <w:b/>
                <w:i/>
                <w:sz w:val="28"/>
              </w:rPr>
              <w:t>В</w:t>
            </w:r>
            <w:r w:rsidRPr="002774A7">
              <w:rPr>
                <w:rFonts w:ascii="Times New Roman" w:eastAsia="Calibri" w:hAnsi="Times New Roman" w:cs="Times New Roman"/>
                <w:b/>
                <w:i/>
                <w:sz w:val="28"/>
                <w:lang w:val="en-US"/>
              </w:rPr>
              <w:t xml:space="preserve">utenko </w:t>
            </w:r>
          </w:p>
          <w:p w:rsidR="002774A7" w:rsidRPr="002774A7" w:rsidRDefault="002774A7" w:rsidP="002774A7">
            <w:pPr>
              <w:tabs>
                <w:tab w:val="left" w:pos="3686"/>
              </w:tabs>
              <w:spacing w:after="0" w:line="240" w:lineRule="auto"/>
              <w:rPr>
                <w:rFonts w:ascii="Times New Roman" w:eastAsia="Calibri" w:hAnsi="Times New Roman" w:cs="Times New Roman"/>
                <w:i/>
                <w:sz w:val="28"/>
                <w:lang w:val="en-US"/>
              </w:rPr>
            </w:pPr>
            <w:r w:rsidRPr="002774A7">
              <w:rPr>
                <w:rFonts w:ascii="Times New Roman" w:eastAsia="Calibri" w:hAnsi="Times New Roman" w:cs="Times New Roman"/>
                <w:i/>
                <w:sz w:val="28"/>
                <w:lang w:val="en-US"/>
              </w:rPr>
              <w:t>State educational institution Donetsk national technical University.</w:t>
            </w:r>
          </w:p>
          <w:p w:rsidR="002774A7" w:rsidRPr="002774A7" w:rsidRDefault="002774A7" w:rsidP="002774A7">
            <w:pPr>
              <w:spacing w:after="0" w:line="240" w:lineRule="auto"/>
              <w:rPr>
                <w:rFonts w:ascii="Times New Roman" w:eastAsia="Times New Roman" w:hAnsi="Times New Roman" w:cs="Times New Roman"/>
                <w:sz w:val="28"/>
                <w:lang w:val="en-US"/>
              </w:rPr>
            </w:pPr>
            <w:r w:rsidRPr="002774A7">
              <w:rPr>
                <w:rFonts w:ascii="Times New Roman" w:eastAsia="Calibri" w:hAnsi="Times New Roman" w:cs="Times New Roman"/>
                <w:i/>
                <w:sz w:val="28"/>
                <w:lang w:val="en-US"/>
              </w:rPr>
              <w:t>Donetsk, Donetsk People's Republic</w:t>
            </w:r>
          </w:p>
        </w:tc>
      </w:tr>
      <w:tr w:rsidR="002774A7" w:rsidRPr="002774A7" w:rsidTr="00665C78">
        <w:trPr>
          <w:jc w:val="center"/>
        </w:trPr>
        <w:tc>
          <w:tcPr>
            <w:tcW w:w="4197" w:type="dxa"/>
          </w:tcPr>
          <w:p w:rsidR="002774A7" w:rsidRPr="002774A7" w:rsidRDefault="002774A7" w:rsidP="002774A7">
            <w:pPr>
              <w:widowControl w:val="0"/>
              <w:spacing w:after="0" w:line="240" w:lineRule="auto"/>
              <w:jc w:val="center"/>
              <w:outlineLvl w:val="0"/>
              <w:rPr>
                <w:rFonts w:ascii="Times New Roman" w:eastAsia="Times New Roman" w:hAnsi="Times New Roman" w:cs="Times New Roman"/>
                <w:caps/>
                <w:sz w:val="28"/>
                <w:szCs w:val="48"/>
                <w:lang w:val="en-US"/>
              </w:rPr>
            </w:pPr>
          </w:p>
        </w:tc>
        <w:tc>
          <w:tcPr>
            <w:tcW w:w="5095" w:type="dxa"/>
          </w:tcPr>
          <w:p w:rsidR="002774A7" w:rsidRPr="002774A7" w:rsidRDefault="002774A7" w:rsidP="002774A7">
            <w:pPr>
              <w:widowControl w:val="0"/>
              <w:spacing w:after="0" w:line="240" w:lineRule="auto"/>
              <w:rPr>
                <w:rFonts w:ascii="Times New Roman" w:eastAsia="Times New Roman" w:hAnsi="Times New Roman" w:cs="Times New Roman"/>
                <w:sz w:val="28"/>
                <w:lang w:val="en-US"/>
              </w:rPr>
            </w:pPr>
          </w:p>
        </w:tc>
      </w:tr>
      <w:tr w:rsidR="002774A7" w:rsidRPr="002774A7" w:rsidTr="00665C78">
        <w:trPr>
          <w:jc w:val="center"/>
        </w:trPr>
        <w:tc>
          <w:tcPr>
            <w:tcW w:w="9292" w:type="dxa"/>
            <w:gridSpan w:val="2"/>
          </w:tcPr>
          <w:p w:rsidR="002774A7" w:rsidRPr="002774A7" w:rsidRDefault="002774A7" w:rsidP="002774A7">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6" w:name="_Toc7971574"/>
            <w:bookmarkStart w:id="7" w:name="_Toc9105945"/>
            <w:r w:rsidRPr="002774A7">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t>ОБЗОР СОСТОЯНИЯ ИННОВАЦИОННОЙ ДЕЯТЕЛЬНОСТИ В ПРОМЫШЛЕННОСТИ РОССИЙСКОЙ ФЕДЕРАЦИИ</w:t>
            </w:r>
            <w:bookmarkEnd w:id="6"/>
            <w:bookmarkEnd w:id="7"/>
          </w:p>
        </w:tc>
      </w:tr>
      <w:tr w:rsidR="002774A7" w:rsidRPr="002774A7" w:rsidTr="00665C78">
        <w:trPr>
          <w:jc w:val="center"/>
        </w:trPr>
        <w:tc>
          <w:tcPr>
            <w:tcW w:w="9292" w:type="dxa"/>
            <w:gridSpan w:val="2"/>
          </w:tcPr>
          <w:p w:rsidR="002774A7" w:rsidRPr="002774A7" w:rsidRDefault="002774A7" w:rsidP="002774A7">
            <w:pPr>
              <w:spacing w:after="0" w:line="240" w:lineRule="auto"/>
              <w:rPr>
                <w:rFonts w:ascii="Times New Roman" w:eastAsia="Times New Roman" w:hAnsi="Times New Roman" w:cs="Times New Roman"/>
                <w:sz w:val="28"/>
              </w:rPr>
            </w:pPr>
          </w:p>
        </w:tc>
      </w:tr>
      <w:tr w:rsidR="002774A7" w:rsidRPr="002774A7" w:rsidTr="00665C78">
        <w:trPr>
          <w:jc w:val="center"/>
        </w:trPr>
        <w:tc>
          <w:tcPr>
            <w:tcW w:w="9292" w:type="dxa"/>
            <w:gridSpan w:val="2"/>
          </w:tcPr>
          <w:p w:rsidR="002774A7" w:rsidRPr="002774A7" w:rsidRDefault="002774A7" w:rsidP="002774A7">
            <w:pPr>
              <w:spacing w:after="0" w:line="240" w:lineRule="auto"/>
              <w:jc w:val="center"/>
              <w:rPr>
                <w:rFonts w:ascii="Times New Roman" w:eastAsia="Times New Roman" w:hAnsi="Times New Roman" w:cs="Times New Roman"/>
                <w:b/>
                <w:sz w:val="28"/>
                <w:lang w:val="en-US"/>
              </w:rPr>
            </w:pPr>
            <w:r w:rsidRPr="002774A7">
              <w:rPr>
                <w:rFonts w:ascii="Times New Roman" w:eastAsia="Calibri" w:hAnsi="Times New Roman" w:cs="Times New Roman"/>
                <w:b/>
                <w:sz w:val="28"/>
                <w:szCs w:val="27"/>
                <w:lang w:val="en-US"/>
              </w:rPr>
              <w:t>AN OVERVIEW OF THE STATE OF INNOVATION ACTIVITY IN INDUSTRY OF THE RUSSIAN FEDERATION</w:t>
            </w:r>
          </w:p>
        </w:tc>
      </w:tr>
    </w:tbl>
    <w:p w:rsidR="002774A7" w:rsidRPr="002774A7" w:rsidRDefault="002774A7" w:rsidP="002774A7">
      <w:pPr>
        <w:spacing w:after="0" w:line="240" w:lineRule="auto"/>
        <w:jc w:val="center"/>
        <w:rPr>
          <w:rFonts w:ascii="Times New Roman" w:eastAsia="Calibri" w:hAnsi="Times New Roman" w:cs="Times New Roman"/>
          <w:sz w:val="32"/>
          <w:lang w:val="en-US"/>
        </w:rPr>
      </w:pPr>
    </w:p>
    <w:p w:rsidR="002774A7" w:rsidRPr="002774A7" w:rsidRDefault="002774A7" w:rsidP="002774A7">
      <w:pPr>
        <w:spacing w:after="0" w:line="240" w:lineRule="auto"/>
        <w:ind w:firstLine="709"/>
        <w:jc w:val="both"/>
        <w:rPr>
          <w:rFonts w:ascii="Times New Roman" w:eastAsia="Calibri" w:hAnsi="Times New Roman" w:cs="Times New Roman"/>
          <w:i/>
          <w:sz w:val="24"/>
          <w:szCs w:val="24"/>
        </w:rPr>
      </w:pPr>
      <w:r w:rsidRPr="002774A7">
        <w:rPr>
          <w:rFonts w:ascii="Times New Roman" w:eastAsia="Calibri" w:hAnsi="Times New Roman" w:cs="Times New Roman"/>
          <w:i/>
          <w:sz w:val="24"/>
          <w:szCs w:val="24"/>
        </w:rPr>
        <w:t>Аннотация. Статья посвящена анализу состояния инновационной деятельности в промышленности Российской Федерации. Проанализированы показатели инновационной активности предприятий промышленности Российской Федерации. Рассмотрены факторы, оказывающие негативное и положительное воздействие на состояние инновационной деятельности. Определены направления активизации инновационной деятельности.</w:t>
      </w:r>
    </w:p>
    <w:p w:rsidR="002774A7" w:rsidRPr="002774A7" w:rsidRDefault="002774A7" w:rsidP="002774A7">
      <w:pPr>
        <w:spacing w:after="0" w:line="240" w:lineRule="auto"/>
        <w:ind w:firstLine="709"/>
        <w:jc w:val="both"/>
        <w:rPr>
          <w:rFonts w:ascii="Times New Roman" w:eastAsia="Calibri" w:hAnsi="Times New Roman" w:cs="Times New Roman"/>
          <w:i/>
          <w:sz w:val="24"/>
          <w:szCs w:val="24"/>
          <w:shd w:val="clear" w:color="auto" w:fill="FFFFFF"/>
        </w:rPr>
      </w:pPr>
      <w:r w:rsidRPr="002774A7">
        <w:rPr>
          <w:rFonts w:ascii="Times New Roman" w:eastAsia="Calibri" w:hAnsi="Times New Roman" w:cs="Times New Roman"/>
          <w:i/>
          <w:sz w:val="24"/>
          <w:szCs w:val="24"/>
        </w:rPr>
        <w:t xml:space="preserve">Ключевые слова: </w:t>
      </w:r>
      <w:r w:rsidRPr="002774A7">
        <w:rPr>
          <w:rFonts w:ascii="Times New Roman" w:eastAsia="Calibri" w:hAnsi="Times New Roman" w:cs="Times New Roman"/>
          <w:i/>
          <w:sz w:val="24"/>
          <w:szCs w:val="24"/>
          <w:shd w:val="clear" w:color="auto" w:fill="FFFFFF"/>
        </w:rPr>
        <w:t>инновации, инновационная процесс, инновационная деятельность.</w:t>
      </w:r>
    </w:p>
    <w:p w:rsidR="002774A7" w:rsidRPr="002774A7" w:rsidRDefault="002774A7" w:rsidP="002774A7">
      <w:pPr>
        <w:spacing w:after="0" w:line="240" w:lineRule="auto"/>
        <w:ind w:firstLine="709"/>
        <w:jc w:val="both"/>
        <w:rPr>
          <w:rFonts w:ascii="Times New Roman" w:eastAsia="Calibri" w:hAnsi="Times New Roman" w:cs="Times New Roman"/>
          <w:i/>
          <w:sz w:val="28"/>
          <w:shd w:val="clear" w:color="auto" w:fill="FFFFFF"/>
        </w:rPr>
      </w:pPr>
    </w:p>
    <w:p w:rsidR="002774A7" w:rsidRPr="002774A7" w:rsidRDefault="002774A7" w:rsidP="002774A7">
      <w:pPr>
        <w:spacing w:after="0" w:line="240" w:lineRule="auto"/>
        <w:ind w:firstLine="709"/>
        <w:jc w:val="both"/>
        <w:rPr>
          <w:rFonts w:ascii="Times New Roman" w:eastAsia="Calibri" w:hAnsi="Times New Roman" w:cs="Times New Roman"/>
          <w:i/>
          <w:sz w:val="24"/>
          <w:szCs w:val="24"/>
          <w:lang w:val="en-US"/>
        </w:rPr>
      </w:pPr>
      <w:r w:rsidRPr="002774A7">
        <w:rPr>
          <w:rFonts w:ascii="Times New Roman" w:eastAsia="Calibri" w:hAnsi="Times New Roman" w:cs="Times New Roman"/>
          <w:i/>
          <w:sz w:val="24"/>
          <w:lang w:val="en-US" w:eastAsia="ru-RU"/>
        </w:rPr>
        <w:t>Abstract</w:t>
      </w:r>
      <w:r w:rsidRPr="002774A7">
        <w:rPr>
          <w:rFonts w:ascii="Times New Roman" w:eastAsia="Calibri" w:hAnsi="Times New Roman" w:cs="Times New Roman"/>
          <w:i/>
          <w:sz w:val="24"/>
          <w:szCs w:val="24"/>
          <w:lang w:val="en-US"/>
        </w:rPr>
        <w:t>. The article is devoted to the analysis of the state of innovative activity in the industry of the Russian Federation. Indicators of innovative activity of the enterprises of the industry of the Russian Federation are analyzed. The factors that have a negative and positive impact on the state of innovation are considered. Directions of activation of innovative activity are defined.</w:t>
      </w:r>
    </w:p>
    <w:p w:rsidR="002774A7" w:rsidRPr="002774A7" w:rsidRDefault="002774A7" w:rsidP="002774A7">
      <w:pPr>
        <w:spacing w:after="0" w:line="240" w:lineRule="auto"/>
        <w:ind w:firstLine="709"/>
        <w:jc w:val="both"/>
        <w:rPr>
          <w:rFonts w:ascii="Times New Roman" w:eastAsia="Calibri" w:hAnsi="Times New Roman" w:cs="Times New Roman"/>
          <w:i/>
          <w:sz w:val="24"/>
          <w:szCs w:val="24"/>
          <w:shd w:val="clear" w:color="auto" w:fill="FFFFFF"/>
          <w:lang w:val="en-US"/>
        </w:rPr>
      </w:pPr>
      <w:r w:rsidRPr="002774A7">
        <w:rPr>
          <w:rFonts w:ascii="Times New Roman" w:eastAsia="Calibri" w:hAnsi="Times New Roman" w:cs="Times New Roman"/>
          <w:i/>
          <w:sz w:val="24"/>
          <w:szCs w:val="24"/>
          <w:lang w:val="en-US"/>
        </w:rPr>
        <w:t>Keywords: innovations, innovative process, innovative activity.</w:t>
      </w:r>
    </w:p>
    <w:p w:rsidR="002774A7" w:rsidRPr="002774A7" w:rsidRDefault="002774A7" w:rsidP="002774A7">
      <w:pPr>
        <w:spacing w:after="0" w:line="240" w:lineRule="auto"/>
        <w:ind w:firstLine="709"/>
        <w:jc w:val="both"/>
        <w:rPr>
          <w:rFonts w:ascii="Times New Roman" w:eastAsia="Calibri" w:hAnsi="Times New Roman" w:cs="Times New Roman"/>
          <w:sz w:val="28"/>
          <w:lang w:val="en-US"/>
        </w:rPr>
      </w:pPr>
    </w:p>
    <w:p w:rsidR="002774A7" w:rsidRPr="002774A7" w:rsidRDefault="002774A7" w:rsidP="002774A7">
      <w:pPr>
        <w:spacing w:after="0" w:line="240" w:lineRule="auto"/>
        <w:ind w:firstLine="709"/>
        <w:jc w:val="both"/>
        <w:rPr>
          <w:rFonts w:ascii="Times New Roman" w:eastAsia="Calibri" w:hAnsi="Times New Roman" w:cs="Times New Roman"/>
          <w:sz w:val="28"/>
        </w:rPr>
      </w:pPr>
      <w:r w:rsidRPr="002774A7">
        <w:rPr>
          <w:rFonts w:ascii="Times New Roman" w:eastAsia="Calibri" w:hAnsi="Times New Roman" w:cs="Times New Roman"/>
          <w:b/>
          <w:sz w:val="28"/>
        </w:rPr>
        <w:t>Постановка проблемы.</w:t>
      </w:r>
      <w:r w:rsidRPr="002774A7">
        <w:rPr>
          <w:rFonts w:ascii="Times New Roman" w:eastAsia="Calibri" w:hAnsi="Times New Roman" w:cs="Times New Roman"/>
          <w:sz w:val="28"/>
        </w:rPr>
        <w:t xml:space="preserve"> </w:t>
      </w:r>
      <w:r w:rsidRPr="002774A7">
        <w:rPr>
          <w:rFonts w:ascii="Times New Roman" w:eastAsia="Calibri" w:hAnsi="Times New Roman" w:cs="Times New Roman"/>
          <w:sz w:val="28"/>
          <w:szCs w:val="23"/>
        </w:rPr>
        <w:t>Многие промышленно-развитые страны связывают с инновационным ростом стабильное долгосрочное экономическое развитие. Исходя из этого, важной задачей современного развитого государства является повышение инновационной восприимчивости народного хозяйства. Очевидна необходимость повсеместного и эффективного внедрения инноваций во все сферы экономики для создания устойчивого потенциала развития страны. </w:t>
      </w:r>
    </w:p>
    <w:p w:rsidR="002774A7" w:rsidRPr="002774A7" w:rsidRDefault="002774A7" w:rsidP="002774A7">
      <w:pPr>
        <w:spacing w:after="0" w:line="240" w:lineRule="auto"/>
        <w:ind w:firstLine="709"/>
        <w:jc w:val="both"/>
        <w:rPr>
          <w:rFonts w:ascii="Times New Roman" w:eastAsia="Calibri" w:hAnsi="Times New Roman" w:cs="Times New Roman"/>
          <w:sz w:val="28"/>
          <w:szCs w:val="27"/>
        </w:rPr>
      </w:pPr>
      <w:r w:rsidRPr="002774A7">
        <w:rPr>
          <w:rFonts w:ascii="Times New Roman" w:eastAsia="Calibri" w:hAnsi="Times New Roman" w:cs="Times New Roman"/>
          <w:b/>
          <w:sz w:val="28"/>
        </w:rPr>
        <w:t>Анализ предыдущих исследований и публикаций</w:t>
      </w:r>
      <w:r w:rsidRPr="002774A7">
        <w:rPr>
          <w:rFonts w:ascii="Times New Roman" w:eastAsia="Calibri" w:hAnsi="Times New Roman" w:cs="Times New Roman"/>
          <w:sz w:val="28"/>
        </w:rPr>
        <w:t xml:space="preserve">. </w:t>
      </w:r>
      <w:r w:rsidRPr="002774A7">
        <w:rPr>
          <w:rFonts w:ascii="Times New Roman" w:eastAsia="Calibri" w:hAnsi="Times New Roman" w:cs="Times New Roman"/>
          <w:sz w:val="28"/>
          <w:szCs w:val="27"/>
        </w:rPr>
        <w:t xml:space="preserve">Исследование проблемы инновационного развития организаций и управления инновационными процессами осуществляется отечественными и зарубежными учеными, такими как М. Денисенко, Т. Воронковой, С. Ладыкой, П. Гончаровой, М. Боярской, Н. Краснокутской, Ю. Бажал, </w:t>
      </w:r>
      <w:r w:rsidRPr="002774A7">
        <w:rPr>
          <w:rFonts w:ascii="Times New Roman" w:eastAsia="Calibri" w:hAnsi="Times New Roman" w:cs="Times New Roman"/>
          <w:sz w:val="28"/>
          <w:szCs w:val="27"/>
        </w:rPr>
        <w:lastRenderedPageBreak/>
        <w:t>Ф. Поклонским. В своих работах эти ученые отображают такие аспекты как проблемы формирования национальной инновационной политики, экономической целесообразности введения новых технологий, возможности ускорения инновационных процессов.</w:t>
      </w:r>
    </w:p>
    <w:p w:rsidR="002774A7" w:rsidRPr="002774A7" w:rsidRDefault="002774A7" w:rsidP="002774A7">
      <w:pPr>
        <w:spacing w:after="0" w:line="240" w:lineRule="auto"/>
        <w:ind w:firstLine="709"/>
        <w:jc w:val="both"/>
        <w:rPr>
          <w:rFonts w:ascii="Times New Roman" w:eastAsia="Calibri" w:hAnsi="Times New Roman" w:cs="Times New Roman"/>
          <w:sz w:val="28"/>
        </w:rPr>
      </w:pPr>
      <w:r w:rsidRPr="002774A7">
        <w:rPr>
          <w:rFonts w:ascii="Times New Roman" w:eastAsia="Calibri" w:hAnsi="Times New Roman" w:cs="Times New Roman"/>
          <w:b/>
          <w:sz w:val="28"/>
        </w:rPr>
        <w:t xml:space="preserve"> Цель статьи</w:t>
      </w:r>
      <w:r w:rsidRPr="002774A7">
        <w:rPr>
          <w:rFonts w:ascii="Times New Roman" w:eastAsia="Calibri" w:hAnsi="Times New Roman" w:cs="Times New Roman"/>
          <w:sz w:val="28"/>
        </w:rPr>
        <w:t xml:space="preserve"> – </w:t>
      </w:r>
      <w:r w:rsidRPr="002774A7">
        <w:rPr>
          <w:rFonts w:ascii="Times New Roman" w:eastAsia="Calibri" w:hAnsi="Times New Roman" w:cs="Times New Roman"/>
          <w:sz w:val="28"/>
          <w:szCs w:val="23"/>
        </w:rPr>
        <w:t>анализ тенденций развития инновационной деятельности в промышленности в Российской Федерации. </w:t>
      </w:r>
    </w:p>
    <w:p w:rsidR="002774A7" w:rsidRPr="002774A7" w:rsidRDefault="002774A7" w:rsidP="002774A7">
      <w:pPr>
        <w:spacing w:after="0" w:line="240" w:lineRule="auto"/>
        <w:ind w:firstLine="709"/>
        <w:jc w:val="both"/>
        <w:rPr>
          <w:rFonts w:ascii="Times New Roman" w:eastAsia="Calibri" w:hAnsi="Times New Roman" w:cs="Times New Roman"/>
          <w:sz w:val="28"/>
          <w:szCs w:val="21"/>
          <w:shd w:val="clear" w:color="auto" w:fill="FFFFFF"/>
        </w:rPr>
      </w:pPr>
      <w:r w:rsidRPr="002774A7">
        <w:rPr>
          <w:rFonts w:ascii="Times New Roman" w:eastAsia="Calibri" w:hAnsi="Times New Roman" w:cs="Times New Roman"/>
          <w:b/>
          <w:sz w:val="28"/>
        </w:rPr>
        <w:t>Основные результаты исследования</w:t>
      </w:r>
      <w:r w:rsidRPr="002774A7">
        <w:rPr>
          <w:rFonts w:ascii="Times New Roman" w:eastAsia="Calibri" w:hAnsi="Times New Roman" w:cs="Times New Roman"/>
          <w:sz w:val="28"/>
        </w:rPr>
        <w:t xml:space="preserve">. У </w:t>
      </w:r>
      <w:r w:rsidRPr="002774A7">
        <w:rPr>
          <w:rFonts w:ascii="Times New Roman" w:eastAsia="Calibri" w:hAnsi="Times New Roman" w:cs="Times New Roman"/>
          <w:sz w:val="28"/>
          <w:szCs w:val="21"/>
          <w:shd w:val="clear" w:color="auto" w:fill="FFFFFF"/>
        </w:rPr>
        <w:t>РФ есть большой потенциал для инновационного развития промышленных предприятий. Грамотная государственная политика в этой области способна подтолкнуть предприятия к модернизации и изменениям, которые, в свою очередь, повысят конкурентоспособность как российских компаний, так и страны в целом.</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Успех любого предприятия зависит от количества, а, главное, качества разработанных и внедренных им инноваций в производство. Инновации и инновационная деятельность традиционно представляются как направление научно-технического прогресса и как процесс, связанный с внедрением результатов научных исследований и разработок в практику. Однако смысл и содержание понятия «инновация» более широк. Сфера инноваций всеобъемлюща, она не только охватывает практическое использование научно-технических разработок и изобретений, но и включает перемены в продукте, процессах, маркетинге, организации [1, 2]. Инновация выступает в качестве явного фактора перемены, как результат деятельности, воплощенный в новый или усовершенствованный продукт, технологические процессы, новые услуги и новые подходы к удовлетворению социальных потребностей [1].</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Опыт развитых стран доказывает, что инновационная деятельность является залогом обеспечения экономической безопасности и снижения зависимости национальных экономик от конъюнктуры мирового рынка.</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На 2018 г. в рейтинге по глобальному индексу инноваций РФ занимает 46 место из 126 стран. Рейтинг РФ за последнее 13 лет представлен на рис. 1. </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ab/>
      </w:r>
    </w:p>
    <w:p w:rsidR="002774A7" w:rsidRPr="002774A7" w:rsidRDefault="002774A7" w:rsidP="002774A7">
      <w:pPr>
        <w:shd w:val="clear" w:color="auto" w:fill="FFFFFF"/>
        <w:spacing w:after="0" w:line="240" w:lineRule="auto"/>
        <w:jc w:val="both"/>
        <w:textAlignment w:val="baseline"/>
        <w:rPr>
          <w:rFonts w:ascii="Times New Roman" w:eastAsia="Times New Roman" w:hAnsi="Times New Roman" w:cs="Times New Roman"/>
          <w:sz w:val="28"/>
          <w:lang w:eastAsia="ru-RU"/>
        </w:rPr>
      </w:pPr>
      <w:r w:rsidRPr="002774A7">
        <w:rPr>
          <w:rFonts w:ascii="Times New Roman" w:eastAsia="Calibri" w:hAnsi="Times New Roman" w:cs="Times New Roman"/>
          <w:noProof/>
          <w:lang w:eastAsia="ru-RU"/>
        </w:rPr>
        <w:drawing>
          <wp:inline distT="0" distB="0" distL="0" distR="0" wp14:anchorId="60A38F54" wp14:editId="7DBE6B38">
            <wp:extent cx="6134100" cy="2343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Рис. 1. Рейтинг РФ по глобальному индексу инноваций за период </w:t>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2005-2018 гг.</w:t>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p>
    <w:p w:rsidR="002774A7" w:rsidRPr="002774A7" w:rsidRDefault="002774A7" w:rsidP="002774A7">
      <w:pPr>
        <w:shd w:val="clear" w:color="auto" w:fill="FFFFFF"/>
        <w:spacing w:after="0" w:line="240" w:lineRule="auto"/>
        <w:ind w:firstLine="709"/>
        <w:jc w:val="both"/>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lastRenderedPageBreak/>
        <w:t xml:space="preserve"> </w:t>
      </w:r>
      <w:r w:rsidRPr="002774A7">
        <w:rPr>
          <w:rFonts w:ascii="Times New Roman" w:eastAsia="Times New Roman" w:hAnsi="Times New Roman" w:cs="Times New Roman"/>
          <w:sz w:val="28"/>
          <w:shd w:val="clear" w:color="auto" w:fill="FFFFFF"/>
          <w:lang w:eastAsia="ru-RU"/>
        </w:rPr>
        <w:t>Глобальный индекс инноваций (The Global Innovation Index) представляет собой глобальное исследование и сопровождающий его рейтинг стран мира по показателю развития инноваций по версии международной бизнес-школы INSEAD.</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Данный Индекс рассчитывается как взвешенная сумма оценок двух групп показателей:</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1. Располагаемые ресурсы и условия для проведения инноваций (Innovation Input).</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2. Достигнутые практические результаты осуществления инноваций (Innovation Output).</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Таким образом, итоговый Индекс представляет собой соотношение затрат и эффекта, что позволяет объективно оценить эффективность усилий по развитию инноваций в той или иной стране [3]. </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В</w:t>
      </w:r>
      <w:r w:rsidRPr="002774A7">
        <w:rPr>
          <w:rFonts w:ascii="Times New Roman" w:eastAsia="Calibri" w:hAnsi="Times New Roman" w:cs="Times New Roman"/>
          <w:sz w:val="28"/>
        </w:rPr>
        <w:t xml:space="preserve"> течение последних четырех лет показатели результатов инноваций РФ варьировались, при этом в целом наблюдается положительная динамика. Однако, несмотря на наличие ярко выраженных конкурентных преимуществ, сравнение с лидерами (рис. 2) демонстрирует масштабное отставание по многим измерениям рейтинга. Подобные итоги межстрановых сопоставлений подтверждают необходимость комплексной и сбалансированной политики, нацеленной на всестороннее развитие национальной инновационной системы РФ. Рейтинг по </w:t>
      </w:r>
      <w:r w:rsidRPr="002774A7">
        <w:rPr>
          <w:rFonts w:ascii="Times New Roman" w:eastAsia="Times New Roman" w:hAnsi="Times New Roman" w:cs="Times New Roman"/>
          <w:sz w:val="28"/>
          <w:lang w:eastAsia="ru-RU"/>
        </w:rPr>
        <w:t>глобальному индексу инноваций за 2018 г. в сравнении с другими странами показан на рис. 2.</w:t>
      </w:r>
    </w:p>
    <w:p w:rsidR="002774A7" w:rsidRPr="002774A7" w:rsidRDefault="002774A7" w:rsidP="002774A7">
      <w:pPr>
        <w:shd w:val="clear" w:color="auto" w:fill="FFFFFF"/>
        <w:spacing w:after="0" w:line="240" w:lineRule="auto"/>
        <w:jc w:val="both"/>
        <w:textAlignment w:val="baseline"/>
        <w:rPr>
          <w:rFonts w:ascii="Times New Roman" w:eastAsia="Times New Roman" w:hAnsi="Times New Roman" w:cs="Times New Roman"/>
          <w:sz w:val="28"/>
          <w:lang w:eastAsia="ru-RU"/>
        </w:rPr>
      </w:pPr>
    </w:p>
    <w:p w:rsidR="002774A7" w:rsidRPr="002774A7" w:rsidRDefault="002774A7" w:rsidP="002774A7">
      <w:pPr>
        <w:shd w:val="clear" w:color="auto" w:fill="FFFFFF"/>
        <w:spacing w:after="0" w:line="240" w:lineRule="auto"/>
        <w:ind w:left="142"/>
        <w:jc w:val="both"/>
        <w:textAlignment w:val="baseline"/>
        <w:rPr>
          <w:rFonts w:ascii="Times New Roman" w:eastAsia="Times New Roman" w:hAnsi="Times New Roman" w:cs="Times New Roman"/>
          <w:sz w:val="28"/>
          <w:lang w:eastAsia="ru-RU"/>
        </w:rPr>
      </w:pPr>
      <w:r w:rsidRPr="002774A7">
        <w:rPr>
          <w:rFonts w:ascii="Times New Roman" w:eastAsia="Calibri" w:hAnsi="Times New Roman" w:cs="Times New Roman"/>
          <w:noProof/>
          <w:lang w:eastAsia="ru-RU"/>
        </w:rPr>
        <w:drawing>
          <wp:inline distT="0" distB="0" distL="0" distR="0" wp14:anchorId="0D243E28" wp14:editId="42712CEB">
            <wp:extent cx="6120130" cy="2535473"/>
            <wp:effectExtent l="0" t="0" r="13970"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74A7" w:rsidRPr="002774A7" w:rsidRDefault="002774A7" w:rsidP="002774A7">
      <w:pPr>
        <w:shd w:val="clear" w:color="auto" w:fill="FFFFFF"/>
        <w:spacing w:after="0" w:line="240" w:lineRule="auto"/>
        <w:jc w:val="center"/>
        <w:textAlignment w:val="baseline"/>
        <w:rPr>
          <w:rFonts w:ascii="Times New Roman" w:eastAsia="Calibri" w:hAnsi="Times New Roman" w:cs="Times New Roman"/>
          <w:sz w:val="28"/>
        </w:rPr>
      </w:pPr>
      <w:r w:rsidRPr="002774A7">
        <w:rPr>
          <w:rFonts w:ascii="Times New Roman" w:eastAsia="Calibri" w:hAnsi="Times New Roman" w:cs="Times New Roman"/>
          <w:sz w:val="28"/>
        </w:rPr>
        <w:t>Рис. 2. Рейтинг стран по глобальному индексу инноваций за 2018 г.</w:t>
      </w:r>
    </w:p>
    <w:p w:rsidR="002774A7" w:rsidRPr="002774A7" w:rsidRDefault="002774A7" w:rsidP="002774A7">
      <w:pPr>
        <w:shd w:val="clear" w:color="auto" w:fill="FFFFFF"/>
        <w:spacing w:after="0" w:line="240" w:lineRule="auto"/>
        <w:jc w:val="center"/>
        <w:textAlignment w:val="baseline"/>
        <w:rPr>
          <w:rFonts w:ascii="Times New Roman" w:eastAsia="Calibri" w:hAnsi="Times New Roman" w:cs="Times New Roman"/>
          <w:sz w:val="28"/>
        </w:rPr>
      </w:pPr>
    </w:p>
    <w:p w:rsidR="002774A7" w:rsidRPr="002774A7" w:rsidRDefault="002774A7" w:rsidP="002774A7">
      <w:pPr>
        <w:shd w:val="clear" w:color="auto" w:fill="FFFFFF"/>
        <w:spacing w:after="0" w:line="240" w:lineRule="auto"/>
        <w:ind w:firstLine="709"/>
        <w:jc w:val="both"/>
        <w:textAlignment w:val="baseline"/>
        <w:rPr>
          <w:rFonts w:ascii="Times New Roman" w:eastAsia="Calibri" w:hAnsi="Times New Roman" w:cs="Times New Roman"/>
          <w:sz w:val="28"/>
        </w:rPr>
      </w:pPr>
      <w:r w:rsidRPr="002774A7">
        <w:rPr>
          <w:rFonts w:ascii="Times New Roman" w:eastAsia="Calibri" w:hAnsi="Times New Roman" w:cs="Times New Roman"/>
          <w:sz w:val="23"/>
          <w:szCs w:val="23"/>
          <w:shd w:val="clear" w:color="auto" w:fill="FFFFFF"/>
        </w:rPr>
        <w:t xml:space="preserve"> </w:t>
      </w:r>
      <w:r w:rsidRPr="002774A7">
        <w:rPr>
          <w:rFonts w:ascii="Times New Roman" w:eastAsia="Calibri" w:hAnsi="Times New Roman" w:cs="Times New Roman"/>
          <w:sz w:val="28"/>
          <w:shd w:val="clear" w:color="auto" w:fill="FFFFFF"/>
        </w:rPr>
        <w:t xml:space="preserve">Страны с наилучшими показателями уровня развития инноваций демонстрируют удивительную стабильность. Если взглянуть на 25 ведущих стран по уровню развития инноваций, то рейтинги показывают, что отдельные государства меняют свои места в рамках соответствующих групп, но при этом ни одно из них не покидает своей группы. Это можно объяснить, тем, что успешная инновационная деятельность ведёт к появлению своего рода замкнутого круга: по достижении определённого критического уровня </w:t>
      </w:r>
      <w:r w:rsidRPr="002774A7">
        <w:rPr>
          <w:rFonts w:ascii="Times New Roman" w:eastAsia="Calibri" w:hAnsi="Times New Roman" w:cs="Times New Roman"/>
          <w:sz w:val="28"/>
          <w:shd w:val="clear" w:color="auto" w:fill="FFFFFF"/>
        </w:rPr>
        <w:lastRenderedPageBreak/>
        <w:t>инвестиции привлекают инвестиции, таланты привлекают таланты, а инновации порождают инновации.</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pacing w:val="-4"/>
          <w:sz w:val="36"/>
          <w:lang w:eastAsia="ru-RU"/>
        </w:rPr>
      </w:pPr>
      <w:r w:rsidRPr="002774A7">
        <w:rPr>
          <w:rFonts w:ascii="Times New Roman" w:eastAsia="Calibri" w:hAnsi="Times New Roman" w:cs="Times New Roman"/>
          <w:spacing w:val="-4"/>
          <w:sz w:val="28"/>
        </w:rPr>
        <w:t>Для оценки развития промышленности в РФ проанализируем динамику индекса промышленного производства в целом, а также по отраслям, табл. 1 [4].</w:t>
      </w:r>
      <w:r w:rsidRPr="002774A7">
        <w:rPr>
          <w:rFonts w:ascii="Times New Roman" w:eastAsia="Times New Roman" w:hAnsi="Times New Roman" w:cs="Times New Roman"/>
          <w:spacing w:val="-4"/>
          <w:sz w:val="36"/>
          <w:lang w:eastAsia="ru-RU"/>
        </w:rPr>
        <w:t xml:space="preserve"> </w:t>
      </w:r>
    </w:p>
    <w:p w:rsidR="002774A7" w:rsidRPr="002774A7" w:rsidRDefault="002774A7" w:rsidP="002774A7">
      <w:pPr>
        <w:shd w:val="clear" w:color="auto" w:fill="FFFFFF"/>
        <w:spacing w:after="0" w:line="240" w:lineRule="auto"/>
        <w:jc w:val="both"/>
        <w:textAlignment w:val="baseline"/>
        <w:rPr>
          <w:rFonts w:ascii="Times New Roman" w:eastAsia="Times New Roman" w:hAnsi="Times New Roman" w:cs="Times New Roman"/>
          <w:sz w:val="28"/>
          <w:lang w:eastAsia="ru-RU"/>
        </w:rPr>
      </w:pPr>
    </w:p>
    <w:p w:rsidR="002774A7" w:rsidRPr="002774A7" w:rsidRDefault="002774A7" w:rsidP="002774A7">
      <w:pPr>
        <w:shd w:val="clear" w:color="auto" w:fill="FFFFFF"/>
        <w:spacing w:after="0" w:line="240" w:lineRule="auto"/>
        <w:jc w:val="right"/>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Таблица 1 </w:t>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Динамика индекса промышленного производства в РФ по отраслям, за 2010-2018 гг., %</w:t>
      </w:r>
    </w:p>
    <w:tbl>
      <w:tblPr>
        <w:tblW w:w="5000" w:type="pct"/>
        <w:tblLook w:val="04A0" w:firstRow="1" w:lastRow="0" w:firstColumn="1" w:lastColumn="0" w:noHBand="0" w:noVBand="1"/>
      </w:tblPr>
      <w:tblGrid>
        <w:gridCol w:w="3220"/>
        <w:gridCol w:w="905"/>
        <w:gridCol w:w="691"/>
        <w:gridCol w:w="689"/>
        <w:gridCol w:w="690"/>
        <w:gridCol w:w="690"/>
        <w:gridCol w:w="690"/>
        <w:gridCol w:w="690"/>
        <w:gridCol w:w="690"/>
        <w:gridCol w:w="616"/>
      </w:tblGrid>
      <w:tr w:rsidR="002774A7" w:rsidRPr="002774A7" w:rsidTr="00665C78">
        <w:trPr>
          <w:trHeight w:val="260"/>
        </w:trPr>
        <w:tc>
          <w:tcPr>
            <w:tcW w:w="1683" w:type="pct"/>
            <w:vMerge w:val="restart"/>
            <w:tcBorders>
              <w:top w:val="single" w:sz="4" w:space="0" w:color="auto"/>
              <w:left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 Показатели (%)</w:t>
            </w:r>
          </w:p>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 </w:t>
            </w:r>
          </w:p>
        </w:tc>
        <w:tc>
          <w:tcPr>
            <w:tcW w:w="3317" w:type="pct"/>
            <w:gridSpan w:val="9"/>
            <w:tcBorders>
              <w:top w:val="single" w:sz="4" w:space="0" w:color="auto"/>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 Год </w:t>
            </w:r>
          </w:p>
        </w:tc>
      </w:tr>
      <w:tr w:rsidR="002774A7" w:rsidRPr="002774A7" w:rsidTr="00665C78">
        <w:trPr>
          <w:trHeight w:val="277"/>
        </w:trPr>
        <w:tc>
          <w:tcPr>
            <w:tcW w:w="1683" w:type="pct"/>
            <w:vMerge/>
            <w:tcBorders>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2010</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2011</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2013</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2014</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2015</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2016</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2017</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2018</w:t>
            </w:r>
          </w:p>
        </w:tc>
      </w:tr>
      <w:tr w:rsidR="002774A7" w:rsidRPr="002774A7" w:rsidTr="00665C78">
        <w:trPr>
          <w:trHeight w:val="300"/>
        </w:trPr>
        <w:tc>
          <w:tcPr>
            <w:tcW w:w="1683" w:type="pct"/>
            <w:tcBorders>
              <w:top w:val="nil"/>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Промышленность, всего</w:t>
            </w: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107,3</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105</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103,4</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100,4</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101,7</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96,6</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101,1</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102</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105</w:t>
            </w:r>
          </w:p>
        </w:tc>
      </w:tr>
      <w:tr w:rsidR="002774A7" w:rsidRPr="002774A7" w:rsidTr="00665C78">
        <w:trPr>
          <w:trHeight w:val="329"/>
        </w:trPr>
        <w:tc>
          <w:tcPr>
            <w:tcW w:w="1683" w:type="pct"/>
            <w:tcBorders>
              <w:top w:val="nil"/>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Обрабатывающая промышленность</w:t>
            </w: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79,1</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87,2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94,3</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100,4</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93</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99,1</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100,3</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103</w:t>
            </w:r>
          </w:p>
        </w:tc>
      </w:tr>
      <w:tr w:rsidR="002774A7" w:rsidRPr="002774A7" w:rsidTr="00665C78">
        <w:trPr>
          <w:trHeight w:val="300"/>
        </w:trPr>
        <w:tc>
          <w:tcPr>
            <w:tcW w:w="1683" w:type="pct"/>
            <w:tcBorders>
              <w:top w:val="nil"/>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Добывающая промышленность</w:t>
            </w: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95,2</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96</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96</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100,6</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101,3</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104</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110</w:t>
            </w:r>
          </w:p>
        </w:tc>
      </w:tr>
      <w:tr w:rsidR="002774A7" w:rsidRPr="002774A7" w:rsidTr="00665C78">
        <w:trPr>
          <w:trHeight w:val="437"/>
        </w:trPr>
        <w:tc>
          <w:tcPr>
            <w:tcW w:w="1683" w:type="pct"/>
            <w:tcBorders>
              <w:top w:val="nil"/>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Производство и распределение газа и воды</w:t>
            </w: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100,6</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100,5</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101,6</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103</w:t>
            </w:r>
          </w:p>
        </w:tc>
      </w:tr>
      <w:tr w:rsidR="002774A7" w:rsidRPr="002774A7" w:rsidTr="00665C78">
        <w:trPr>
          <w:trHeight w:val="95"/>
        </w:trPr>
        <w:tc>
          <w:tcPr>
            <w:tcW w:w="1683" w:type="pct"/>
            <w:tcBorders>
              <w:top w:val="nil"/>
              <w:left w:val="single" w:sz="4" w:space="0" w:color="auto"/>
              <w:bottom w:val="single" w:sz="4" w:space="0" w:color="auto"/>
              <w:right w:val="single" w:sz="4" w:space="0" w:color="auto"/>
            </w:tcBorders>
            <w:shd w:val="clear" w:color="auto" w:fill="auto"/>
            <w:vAlign w:val="bottom"/>
            <w:hideMark/>
          </w:tcPr>
          <w:p w:rsidR="002774A7" w:rsidRPr="002774A7" w:rsidRDefault="002774A7" w:rsidP="002774A7">
            <w:pPr>
              <w:spacing w:after="0" w:line="240" w:lineRule="auto"/>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Водоснабжение, ликвидация загрязнений</w:t>
            </w:r>
          </w:p>
        </w:tc>
        <w:tc>
          <w:tcPr>
            <w:tcW w:w="474"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87,2</w:t>
            </w:r>
          </w:p>
        </w:tc>
        <w:tc>
          <w:tcPr>
            <w:tcW w:w="362"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94,3</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98,5</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100</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97</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93,1</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94,2</w:t>
            </w:r>
          </w:p>
        </w:tc>
        <w:tc>
          <w:tcPr>
            <w:tcW w:w="361"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92,3</w:t>
            </w:r>
          </w:p>
        </w:tc>
        <w:tc>
          <w:tcPr>
            <w:tcW w:w="317" w:type="pct"/>
            <w:tcBorders>
              <w:top w:val="nil"/>
              <w:left w:val="nil"/>
              <w:bottom w:val="single" w:sz="4" w:space="0" w:color="auto"/>
              <w:right w:val="single" w:sz="4" w:space="0" w:color="auto"/>
            </w:tcBorders>
            <w:shd w:val="clear" w:color="auto" w:fill="auto"/>
            <w:noWrap/>
            <w:vAlign w:val="bottom"/>
            <w:hideMark/>
          </w:tcPr>
          <w:p w:rsidR="002774A7" w:rsidRPr="002774A7" w:rsidRDefault="002774A7" w:rsidP="002774A7">
            <w:pPr>
              <w:spacing w:after="0" w:line="240" w:lineRule="auto"/>
              <w:jc w:val="center"/>
              <w:rPr>
                <w:rFonts w:ascii="Times New Roman" w:eastAsia="Times New Roman" w:hAnsi="Times New Roman" w:cs="Times New Roman"/>
                <w:sz w:val="20"/>
                <w:szCs w:val="20"/>
                <w:lang w:eastAsia="ru-RU"/>
              </w:rPr>
            </w:pPr>
            <w:r w:rsidRPr="002774A7">
              <w:rPr>
                <w:rFonts w:ascii="Times New Roman" w:eastAsia="Times New Roman" w:hAnsi="Times New Roman" w:cs="Times New Roman"/>
                <w:sz w:val="20"/>
                <w:szCs w:val="20"/>
                <w:lang w:eastAsia="ru-RU"/>
              </w:rPr>
              <w:t>90</w:t>
            </w:r>
          </w:p>
        </w:tc>
      </w:tr>
    </w:tbl>
    <w:p w:rsidR="002774A7" w:rsidRPr="002774A7" w:rsidRDefault="002774A7" w:rsidP="002774A7">
      <w:pPr>
        <w:shd w:val="clear" w:color="auto" w:fill="FFFFFF"/>
        <w:spacing w:after="0" w:line="240" w:lineRule="auto"/>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 </w:t>
      </w:r>
      <w:r w:rsidRPr="002774A7">
        <w:rPr>
          <w:rFonts w:ascii="Times New Roman" w:eastAsia="Times New Roman" w:hAnsi="Times New Roman" w:cs="Times New Roman"/>
          <w:sz w:val="28"/>
          <w:lang w:eastAsia="ru-RU"/>
        </w:rPr>
        <w:tab/>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 Динамика промышленного производства за анализируемый период неравномерна. Это характеризуется тем, что в период 2010-2014 гг., наблюдается положительная динамика ежегодного прироста всех показателей промышленного производства, а в 2015 г. идет заметный спад индексов по видам деятельности «Обрабатывающая промышленность» и «Водоснабжение, ликвидация загрязнений». С 2016 г. наблюдается увеличение индексов по всем показателям. </w:t>
      </w: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Calibri" w:hAnsi="Times New Roman" w:cs="Times New Roman"/>
          <w:sz w:val="28"/>
        </w:rPr>
        <w:t>Для более наглядного рассмотрения, динамика индекса промышленного производства представлена на рис. 3.</w:t>
      </w:r>
    </w:p>
    <w:p w:rsidR="002774A7" w:rsidRPr="002774A7" w:rsidRDefault="002774A7" w:rsidP="002774A7">
      <w:pPr>
        <w:shd w:val="clear" w:color="auto" w:fill="FFFFFF"/>
        <w:spacing w:after="0" w:line="240" w:lineRule="auto"/>
        <w:jc w:val="both"/>
        <w:textAlignment w:val="baseline"/>
        <w:rPr>
          <w:rFonts w:ascii="Times New Roman" w:eastAsia="Times New Roman" w:hAnsi="Times New Roman" w:cs="Times New Roman"/>
          <w:sz w:val="28"/>
          <w:lang w:eastAsia="ru-RU"/>
        </w:rPr>
      </w:pP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r w:rsidRPr="002774A7">
        <w:rPr>
          <w:rFonts w:ascii="Times New Roman" w:eastAsia="Calibri" w:hAnsi="Times New Roman" w:cs="Times New Roman"/>
          <w:noProof/>
          <w:lang w:eastAsia="ru-RU"/>
        </w:rPr>
        <w:drawing>
          <wp:inline distT="0" distB="0" distL="0" distR="0" wp14:anchorId="0AD5098B" wp14:editId="29DBC8A1">
            <wp:extent cx="6172200" cy="23145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Рис. 3. Динамика индекса промышленного производства в РФ по отраслям, за 2010-2018 гг., %</w:t>
      </w:r>
    </w:p>
    <w:p w:rsidR="002774A7" w:rsidRPr="002774A7" w:rsidRDefault="002774A7" w:rsidP="002774A7">
      <w:pPr>
        <w:shd w:val="clear" w:color="auto" w:fill="FFFFFF"/>
        <w:spacing w:after="0" w:line="240" w:lineRule="auto"/>
        <w:jc w:val="center"/>
        <w:textAlignment w:val="baseline"/>
        <w:rPr>
          <w:rFonts w:ascii="Times New Roman" w:eastAsia="Times New Roman" w:hAnsi="Times New Roman" w:cs="Times New Roman"/>
          <w:sz w:val="28"/>
          <w:lang w:eastAsia="ru-RU"/>
        </w:rPr>
      </w:pPr>
    </w:p>
    <w:p w:rsidR="002774A7" w:rsidRPr="002774A7" w:rsidRDefault="002774A7" w:rsidP="002774A7">
      <w:pPr>
        <w:shd w:val="clear" w:color="auto" w:fill="FFFFFF"/>
        <w:spacing w:after="0" w:line="240" w:lineRule="auto"/>
        <w:ind w:firstLine="709"/>
        <w:jc w:val="both"/>
        <w:textAlignment w:val="baseline"/>
        <w:rPr>
          <w:rFonts w:ascii="Times New Roman" w:eastAsia="Times New Roman" w:hAnsi="Times New Roman" w:cs="Times New Roman"/>
          <w:sz w:val="28"/>
          <w:lang w:eastAsia="ru-RU"/>
        </w:rPr>
      </w:pPr>
      <w:r w:rsidRPr="002774A7">
        <w:rPr>
          <w:rFonts w:ascii="Times New Roman" w:eastAsia="Calibri" w:hAnsi="Times New Roman" w:cs="Times New Roman"/>
          <w:sz w:val="28"/>
        </w:rPr>
        <w:t xml:space="preserve"> По данным Росстата, рост промышленного производства в 2018 г. составил 3,8% в годовом выражении, при этом сохраняя положительную динамику на протяжении всего года. Экономическая политика на </w:t>
      </w:r>
      <w:r w:rsidRPr="002774A7">
        <w:rPr>
          <w:rFonts w:ascii="Times New Roman" w:eastAsia="Calibri" w:hAnsi="Times New Roman" w:cs="Times New Roman"/>
          <w:sz w:val="28"/>
        </w:rPr>
        <w:lastRenderedPageBreak/>
        <w:t xml:space="preserve">современном этапе развития общества должна строиться на основе трансформации национальной промышленности путем перехода от «сырьевой экономики» к формированию конкурентоспособности обрабатывающих производств на внутреннем и внешних рынках продукции. С формальной точки зрения необходимо ставить задачу по обеспечению роста объема обрабатывающих производств в структуре национального ВНП. Причем не только валового объема, но и его качественной характеристики – доли инновационной продукции. Рост инновационности промышленного сектора, обрабатывающих производств, в первую очередь, рассматривается как актуальная задача социально-экономического развития РФ, требующая научно-теоретического исследования и разработки организационно-экономических методов ее решения [5].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lang w:eastAsia="ru-RU"/>
        </w:rPr>
        <w:t xml:space="preserve"> </w:t>
      </w:r>
      <w:r w:rsidRPr="002774A7">
        <w:rPr>
          <w:rFonts w:ascii="Times New Roman" w:eastAsia="Times New Roman" w:hAnsi="Times New Roman" w:cs="Times New Roman"/>
          <w:sz w:val="28"/>
          <w:bdr w:val="none" w:sz="0" w:space="0" w:color="auto" w:frame="1"/>
          <w:lang w:eastAsia="ru-RU"/>
        </w:rPr>
        <w:t>Динамика основных показателей инновационной деятельности организаций промышленного производства РФ за 2012-2018 гг. обобщены и показаны в табл. 2.</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jc w:val="right"/>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Таблица 2</w:t>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Динамика показателей инновационной деятельность организаций промышленного производства РФ за 2012-2018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616"/>
        <w:gridCol w:w="828"/>
        <w:gridCol w:w="701"/>
        <w:gridCol w:w="701"/>
        <w:gridCol w:w="701"/>
        <w:gridCol w:w="700"/>
        <w:gridCol w:w="661"/>
      </w:tblGrid>
      <w:tr w:rsidR="002774A7" w:rsidRPr="002774A7" w:rsidTr="00665C78">
        <w:trPr>
          <w:trHeight w:val="382"/>
        </w:trPr>
        <w:tc>
          <w:tcPr>
            <w:tcW w:w="4820" w:type="dxa"/>
            <w:vMerge w:val="restart"/>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Показатели</w:t>
            </w:r>
          </w:p>
        </w:tc>
        <w:tc>
          <w:tcPr>
            <w:tcW w:w="4917" w:type="dxa"/>
            <w:gridSpan w:val="7"/>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Год</w:t>
            </w:r>
          </w:p>
        </w:tc>
      </w:tr>
      <w:tr w:rsidR="002774A7" w:rsidRPr="002774A7" w:rsidTr="00665C78">
        <w:tc>
          <w:tcPr>
            <w:tcW w:w="4820" w:type="dxa"/>
            <w:vMerge/>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2012</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2013</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2014</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2015</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2016</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2017</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2018</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 Совокупный уровень</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инновационной активности, %</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10,8</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10,6</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10,5</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 Удельный вес организаций,</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осуществлявших технологические</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инновации, в общем числе организаций,%</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9,3</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9,6</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9,9</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9,7</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9,7</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9,5</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9,5</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 Объем инновационных товаров, работ, млн руб.:</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в действующих ценах</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1165</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748</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1847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370</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2509</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604</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3072</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531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3037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407</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3258</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255</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3723</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693</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на рубль затрат на</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технологические инновации, руб.</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3,03</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3,9</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4,3</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4,0</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4,4</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4,8</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 Удельный вес инновационных</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товаров, работ, услуг в общем</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объеме отгруженных товаров,</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работ, услуг, %</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4,9</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7,8</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8,9</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8,2</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7,9</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8,4</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 Затраты на технологические инновации. млн руб.:</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3497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63</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4694</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42</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5836</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61</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4767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78</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7637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74</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7357</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58</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7775</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19</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 Удельный вес затрат на технологические инновации в общем объеме товаров, работ, услуг, %</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1,5</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1,5</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2,2</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2,1</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 Затраты на технологические, маркетинговые, организационные инновации, млн руб.:</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3561</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63</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4745</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87</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5903</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42</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7561</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84</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7782</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63</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7412</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84</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7872</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32</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 Удельный вес затрат на технологические, маркетинговые‚ организационные инновации в общем товаров, работ, услуг, %</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1,5</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1,6</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2,2</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2,1</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1,8</w:t>
            </w:r>
          </w:p>
        </w:tc>
      </w:tr>
      <w:tr w:rsidR="002774A7" w:rsidRPr="002774A7" w:rsidTr="00665C78">
        <w:tc>
          <w:tcPr>
            <w:tcW w:w="482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 Удельный вес организаций, имевших научно-</w:t>
            </w:r>
          </w:p>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исследовательские, проектно-конструкторские подразделения, в общем числе организаций, %</w:t>
            </w:r>
          </w:p>
        </w:tc>
        <w:tc>
          <w:tcPr>
            <w:tcW w:w="567"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10,2</w:t>
            </w:r>
          </w:p>
        </w:tc>
        <w:tc>
          <w:tcPr>
            <w:tcW w:w="850"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10,4</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11,0</w:t>
            </w:r>
          </w:p>
        </w:tc>
        <w:tc>
          <w:tcPr>
            <w:tcW w:w="709"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11,3</w:t>
            </w:r>
          </w:p>
        </w:tc>
        <w:tc>
          <w:tcPr>
            <w:tcW w:w="708"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665" w:type="dxa"/>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10,3</w:t>
            </w:r>
          </w:p>
        </w:tc>
      </w:tr>
    </w:tbl>
    <w:p w:rsidR="002774A7" w:rsidRPr="002774A7" w:rsidRDefault="002774A7" w:rsidP="002774A7">
      <w:pPr>
        <w:spacing w:after="0" w:line="240" w:lineRule="auto"/>
        <w:jc w:val="both"/>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4"/>
          <w:szCs w:val="24"/>
          <w:lang w:eastAsia="ru-RU"/>
        </w:rPr>
        <w:t xml:space="preserve"> </w:t>
      </w:r>
      <w:r w:rsidRPr="002774A7">
        <w:rPr>
          <w:rFonts w:ascii="Times New Roman" w:eastAsia="Times New Roman" w:hAnsi="Times New Roman" w:cs="Times New Roman"/>
          <w:sz w:val="28"/>
          <w:szCs w:val="24"/>
          <w:lang w:eastAsia="ru-RU"/>
        </w:rPr>
        <w:t xml:space="preserve">Данные таблицы показывают, что инновационная активность в промышленности, определяемая долей инновационно-активных предприятий </w:t>
      </w:r>
      <w:r w:rsidRPr="002774A7">
        <w:rPr>
          <w:rFonts w:ascii="Times New Roman" w:eastAsia="Times New Roman" w:hAnsi="Times New Roman" w:cs="Times New Roman"/>
          <w:sz w:val="28"/>
          <w:szCs w:val="24"/>
          <w:lang w:eastAsia="ru-RU"/>
        </w:rPr>
        <w:lastRenderedPageBreak/>
        <w:t xml:space="preserve">в общей их численности, в РФ достаточна низка. В 2018 г. совокупный уровень инновационной активности национальной промышленности – 10,5 %. В период 2012-2013 гг. был зафиксирован максимальный показатель инновационной активности организаций – 11,1%. В последующие годы наблюдается негативная тенденция. К 2018 г. показатель уменьшился на 0,6 % по сравнению с уровнем </w:t>
      </w:r>
      <w:r w:rsidRPr="002774A7">
        <w:rPr>
          <w:rFonts w:ascii="Times New Roman" w:eastAsia="Times New Roman" w:hAnsi="Times New Roman" w:cs="Times New Roman"/>
          <w:sz w:val="28"/>
          <w:lang w:eastAsia="ru-RU"/>
        </w:rPr>
        <w:t xml:space="preserve">2013 г. </w:t>
      </w:r>
      <w:r w:rsidRPr="002774A7">
        <w:rPr>
          <w:rFonts w:ascii="Times New Roman" w:eastAsia="Times New Roman" w:hAnsi="Times New Roman" w:cs="Times New Roman"/>
          <w:spacing w:val="-4"/>
          <w:sz w:val="28"/>
          <w:shd w:val="clear" w:color="auto" w:fill="FFFFFF"/>
          <w:lang w:eastAsia="ru-RU"/>
        </w:rPr>
        <w:t xml:space="preserve">Причиной может быть падение цен на нефть и введенные секторальные санкции. На данный момент коэффициент извлечения нефти (КИН) для разрабатываемых месторождений в РФ составляет около 25%, в мире данный показатель – 45%. </w:t>
      </w:r>
      <w:r w:rsidRPr="002774A7">
        <w:rPr>
          <w:rFonts w:ascii="Times New Roman" w:eastAsia="Times New Roman" w:hAnsi="Times New Roman" w:cs="Times New Roman"/>
          <w:sz w:val="28"/>
          <w:lang w:eastAsia="ru-RU"/>
        </w:rPr>
        <w:t xml:space="preserve">Также в 2018 г. на реализацию инновационных программ и проектов в рамках государственного бюджета запланировано порядка 1,53 трлн. руб., это на 30% меньше прошлогодних показателей. Уровень расходов на инновации за 1-е полугодие, по сравнению с аналогичным периодом прошлого года уменьшился с 715 млрд руб. до 450 млрд руб. </w:t>
      </w:r>
    </w:p>
    <w:p w:rsidR="002774A7" w:rsidRPr="002774A7" w:rsidRDefault="002774A7" w:rsidP="002774A7">
      <w:pPr>
        <w:shd w:val="clear" w:color="auto" w:fill="FFFFFF"/>
        <w:spacing w:after="0" w:line="240" w:lineRule="auto"/>
        <w:ind w:firstLine="709"/>
        <w:jc w:val="both"/>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Данные свидетельствуют о недостаточной сбалансированности структуры национальной промышленности. Такую структуру промышленности нельзя считать эффективной. </w:t>
      </w:r>
    </w:p>
    <w:p w:rsidR="002774A7" w:rsidRPr="002774A7" w:rsidRDefault="002774A7" w:rsidP="002774A7">
      <w:pPr>
        <w:shd w:val="clear" w:color="auto" w:fill="FFFFFF"/>
        <w:spacing w:after="0" w:line="240" w:lineRule="auto"/>
        <w:ind w:firstLine="709"/>
        <w:jc w:val="both"/>
        <w:rPr>
          <w:rFonts w:ascii="Times New Roman" w:eastAsia="Times New Roman" w:hAnsi="Times New Roman" w:cs="Times New Roman"/>
          <w:sz w:val="28"/>
          <w:lang w:eastAsia="ru-RU"/>
        </w:rPr>
      </w:pPr>
      <w:r w:rsidRPr="002774A7">
        <w:rPr>
          <w:rFonts w:ascii="Times New Roman" w:eastAsia="Times New Roman" w:hAnsi="Times New Roman" w:cs="Times New Roman"/>
          <w:sz w:val="28"/>
          <w:szCs w:val="24"/>
          <w:lang w:eastAsia="ru-RU"/>
        </w:rPr>
        <w:t>Для сравнения, уровень инновационности промышленности европейских стран составляет 35-75 % (рис. 4).</w:t>
      </w:r>
    </w:p>
    <w:p w:rsidR="002774A7" w:rsidRPr="002774A7" w:rsidRDefault="002774A7" w:rsidP="002774A7">
      <w:pPr>
        <w:spacing w:after="0" w:line="240" w:lineRule="auto"/>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14:anchorId="6FAC85A1" wp14:editId="488F53B8">
                <wp:simplePos x="0" y="0"/>
                <wp:positionH relativeFrom="column">
                  <wp:posOffset>108585</wp:posOffset>
                </wp:positionH>
                <wp:positionV relativeFrom="paragraph">
                  <wp:posOffset>24130</wp:posOffset>
                </wp:positionV>
                <wp:extent cx="466725" cy="276225"/>
                <wp:effectExtent l="0" t="0" r="0" b="0"/>
                <wp:wrapNone/>
                <wp:docPr id="517" name="Прямоугольник 517"/>
                <wp:cNvGraphicFramePr/>
                <a:graphic xmlns:a="http://schemas.openxmlformats.org/drawingml/2006/main">
                  <a:graphicData uri="http://schemas.microsoft.com/office/word/2010/wordprocessingShape">
                    <wps:wsp>
                      <wps:cNvSpPr/>
                      <wps:spPr>
                        <a:xfrm>
                          <a:off x="0" y="0"/>
                          <a:ext cx="466725" cy="276225"/>
                        </a:xfrm>
                        <a:prstGeom prst="rect">
                          <a:avLst/>
                        </a:prstGeom>
                        <a:noFill/>
                        <a:ln w="25400" cap="flat" cmpd="sng" algn="ctr">
                          <a:noFill/>
                          <a:prstDash val="solid"/>
                        </a:ln>
                        <a:effectLst/>
                      </wps:spPr>
                      <wps:txbx>
                        <w:txbxContent>
                          <w:p w:rsidR="002774A7" w:rsidRPr="00E76966" w:rsidRDefault="002774A7" w:rsidP="002774A7">
                            <w:pPr>
                              <w:jc w:val="center"/>
                              <w:rPr>
                                <w:color w:val="000000"/>
                              </w:rPr>
                            </w:pPr>
                            <w:r w:rsidRPr="00E76966">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17" o:spid="_x0000_s1026" style="position:absolute;margin-left:8.55pt;margin-top:1.9pt;width:36.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" filled="f" stroked="f" strokeweight="2pt">
                <v:textbox>
                  <w:txbxContent>
                    <w:p w:rsidR="002774A7" w:rsidRPr="00E76966" w:rsidRDefault="002774A7" w:rsidP="002774A7">
                      <w:pPr>
                        <w:jc w:val="center"/>
                        <w:rPr>
                          <w:color w:val="000000"/>
                        </w:rPr>
                      </w:pPr>
                      <w:r w:rsidRPr="00E76966">
                        <w:rPr>
                          <w:color w:val="000000"/>
                        </w:rPr>
                        <w:t>%</w:t>
                      </w:r>
                    </w:p>
                  </w:txbxContent>
                </v:textbox>
              </v:rect>
            </w:pict>
          </mc:Fallback>
        </mc:AlternateContent>
      </w:r>
    </w:p>
    <w:p w:rsidR="002774A7" w:rsidRPr="002774A7" w:rsidRDefault="002774A7" w:rsidP="002774A7">
      <w:pPr>
        <w:spacing w:after="0" w:line="240" w:lineRule="auto"/>
        <w:jc w:val="center"/>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noProof/>
          <w:sz w:val="24"/>
          <w:szCs w:val="24"/>
          <w:lang w:eastAsia="ru-RU"/>
        </w:rPr>
        <w:drawing>
          <wp:inline distT="0" distB="0" distL="0" distR="0" wp14:anchorId="3D8B98C7" wp14:editId="2F70E974">
            <wp:extent cx="6124575" cy="35052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74A7" w:rsidRPr="002774A7" w:rsidRDefault="002774A7" w:rsidP="002774A7">
      <w:pPr>
        <w:spacing w:after="0" w:line="240" w:lineRule="auto"/>
        <w:jc w:val="center"/>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t>Рис. 4. Сравнительная характеристика совокупного уровня инновационной активности организаций промышленного сектора по странам (2018 г., %)</w:t>
      </w:r>
    </w:p>
    <w:p w:rsidR="002774A7" w:rsidRPr="002774A7" w:rsidRDefault="002774A7" w:rsidP="002774A7">
      <w:pPr>
        <w:spacing w:after="0" w:line="240" w:lineRule="auto"/>
        <w:textAlignment w:val="top"/>
        <w:rPr>
          <w:rFonts w:ascii="Times New Roman" w:eastAsia="Times New Roman" w:hAnsi="Times New Roman" w:cs="Times New Roman"/>
          <w:sz w:val="28"/>
          <w:szCs w:val="24"/>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szCs w:val="23"/>
          <w:lang w:eastAsia="ru-RU"/>
        </w:rPr>
        <w:t xml:space="preserve"> </w:t>
      </w:r>
      <w:r w:rsidRPr="002774A7">
        <w:rPr>
          <w:rFonts w:ascii="Times New Roman" w:eastAsia="Times New Roman" w:hAnsi="Times New Roman" w:cs="Times New Roman"/>
          <w:sz w:val="28"/>
          <w:bdr w:val="none" w:sz="0" w:space="0" w:color="auto" w:frame="1"/>
          <w:lang w:eastAsia="ru-RU"/>
        </w:rPr>
        <w:t>Динамика инновационной активности отраслей промышленности РФ по видам экономической деятельности и уровням технологичности за 2012-2018 гг. показана в табл. 3.</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3"/>
          <w:lang w:eastAsia="ru-RU"/>
        </w:rPr>
      </w:pPr>
      <w:r w:rsidRPr="002774A7">
        <w:rPr>
          <w:rFonts w:ascii="Times New Roman" w:eastAsia="Times New Roman" w:hAnsi="Times New Roman" w:cs="Times New Roman"/>
          <w:sz w:val="28"/>
          <w:szCs w:val="23"/>
          <w:lang w:eastAsia="ru-RU"/>
        </w:rPr>
        <w:t xml:space="preserve">Достаточно низко выглядят уровни инновационности добывающего сектора РФ – 7,4 %, обрабатывающего – 13,3 %, очень низкое значение имеет </w:t>
      </w:r>
      <w:r w:rsidRPr="002774A7">
        <w:rPr>
          <w:rFonts w:ascii="Times New Roman" w:eastAsia="Times New Roman" w:hAnsi="Times New Roman" w:cs="Times New Roman"/>
          <w:sz w:val="28"/>
          <w:szCs w:val="23"/>
          <w:lang w:eastAsia="ru-RU"/>
        </w:rPr>
        <w:lastRenderedPageBreak/>
        <w:t xml:space="preserve">высокотехнологичные отрасли – 8,3 %, также сектор производства и распределения электроэнергии, газа и воды – 4,8 %. </w:t>
      </w:r>
    </w:p>
    <w:p w:rsidR="002774A7" w:rsidRPr="002774A7" w:rsidRDefault="002774A7" w:rsidP="002774A7">
      <w:pPr>
        <w:spacing w:after="0" w:line="240" w:lineRule="auto"/>
        <w:jc w:val="right"/>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jc w:val="right"/>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jc w:val="right"/>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Таблица 3</w:t>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 xml:space="preserve">Динамика инновационной активности отраслей промышленности РФ по видам экономической деятельности и уровням технологичности </w:t>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за 2012-2018гг.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
        <w:gridCol w:w="709"/>
        <w:gridCol w:w="709"/>
        <w:gridCol w:w="709"/>
        <w:gridCol w:w="708"/>
        <w:gridCol w:w="709"/>
        <w:gridCol w:w="709"/>
        <w:gridCol w:w="1417"/>
      </w:tblGrid>
      <w:tr w:rsidR="002774A7" w:rsidRPr="002774A7" w:rsidTr="00665C78">
        <w:trPr>
          <w:trHeight w:val="291"/>
        </w:trPr>
        <w:tc>
          <w:tcPr>
            <w:tcW w:w="3261" w:type="dxa"/>
            <w:vMerge w:val="restart"/>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8"/>
              </w:rPr>
            </w:pPr>
            <w:r w:rsidRPr="002774A7">
              <w:rPr>
                <w:rFonts w:ascii="Times New Roman" w:eastAsia="Times New Roman" w:hAnsi="Times New Roman" w:cs="Times New Roman"/>
                <w:sz w:val="20"/>
                <w:szCs w:val="20"/>
              </w:rPr>
              <w:t>Показатели</w:t>
            </w:r>
          </w:p>
        </w:tc>
        <w:tc>
          <w:tcPr>
            <w:tcW w:w="4961" w:type="dxa"/>
            <w:gridSpan w:val="7"/>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8"/>
              </w:rPr>
            </w:pPr>
            <w:r w:rsidRPr="002774A7">
              <w:rPr>
                <w:rFonts w:ascii="Times New Roman" w:eastAsia="Times New Roman" w:hAnsi="Times New Roman" w:cs="Times New Roman"/>
                <w:sz w:val="20"/>
                <w:szCs w:val="20"/>
              </w:rPr>
              <w:t>Год</w:t>
            </w:r>
          </w:p>
        </w:tc>
        <w:tc>
          <w:tcPr>
            <w:tcW w:w="1417" w:type="dxa"/>
            <w:vMerge w:val="restart"/>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8"/>
              </w:rPr>
            </w:pPr>
            <w:r w:rsidRPr="002774A7">
              <w:rPr>
                <w:rFonts w:ascii="Times New Roman" w:eastAsia="Times New Roman" w:hAnsi="Times New Roman" w:cs="Times New Roman"/>
                <w:sz w:val="20"/>
              </w:rPr>
              <w:t>Изменения с 2018 от 2012 г. (%)</w:t>
            </w:r>
          </w:p>
        </w:tc>
      </w:tr>
      <w:tr w:rsidR="002774A7" w:rsidRPr="002774A7" w:rsidTr="00665C78">
        <w:tc>
          <w:tcPr>
            <w:tcW w:w="3261" w:type="dxa"/>
            <w:vMerge/>
            <w:shd w:val="clear" w:color="auto" w:fill="auto"/>
          </w:tcPr>
          <w:p w:rsidR="002774A7" w:rsidRPr="002774A7" w:rsidRDefault="002774A7" w:rsidP="002774A7">
            <w:pPr>
              <w:spacing w:after="0" w:line="240" w:lineRule="auto"/>
              <w:jc w:val="both"/>
              <w:rPr>
                <w:rFonts w:ascii="Times New Roman" w:eastAsia="Times New Roman" w:hAnsi="Times New Roman" w:cs="Times New Roman"/>
                <w:sz w:val="28"/>
              </w:rPr>
            </w:pPr>
          </w:p>
        </w:tc>
        <w:tc>
          <w:tcPr>
            <w:tcW w:w="708"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2012</w:t>
            </w:r>
          </w:p>
        </w:tc>
        <w:tc>
          <w:tcPr>
            <w:tcW w:w="709"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2013</w:t>
            </w:r>
          </w:p>
        </w:tc>
        <w:tc>
          <w:tcPr>
            <w:tcW w:w="709"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2014</w:t>
            </w:r>
          </w:p>
        </w:tc>
        <w:tc>
          <w:tcPr>
            <w:tcW w:w="709"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2015</w:t>
            </w:r>
          </w:p>
        </w:tc>
        <w:tc>
          <w:tcPr>
            <w:tcW w:w="708"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2016</w:t>
            </w:r>
          </w:p>
        </w:tc>
        <w:tc>
          <w:tcPr>
            <w:tcW w:w="709"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2017</w:t>
            </w:r>
          </w:p>
        </w:tc>
        <w:tc>
          <w:tcPr>
            <w:tcW w:w="709" w:type="dxa"/>
            <w:shd w:val="clear" w:color="auto" w:fill="auto"/>
          </w:tcPr>
          <w:p w:rsidR="002774A7" w:rsidRPr="002774A7" w:rsidRDefault="002774A7" w:rsidP="00277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2018</w:t>
            </w:r>
          </w:p>
        </w:tc>
        <w:tc>
          <w:tcPr>
            <w:tcW w:w="1417" w:type="dxa"/>
            <w:vMerge/>
            <w:shd w:val="clear" w:color="auto" w:fill="auto"/>
          </w:tcPr>
          <w:p w:rsidR="002774A7" w:rsidRPr="002774A7" w:rsidRDefault="002774A7" w:rsidP="002774A7">
            <w:pPr>
              <w:spacing w:after="0" w:line="240" w:lineRule="auto"/>
              <w:jc w:val="both"/>
              <w:rPr>
                <w:rFonts w:ascii="Times New Roman" w:eastAsia="Times New Roman" w:hAnsi="Times New Roman" w:cs="Times New Roman"/>
                <w:sz w:val="28"/>
              </w:rPr>
            </w:pPr>
          </w:p>
        </w:tc>
      </w:tr>
      <w:tr w:rsidR="002774A7" w:rsidRPr="002774A7" w:rsidTr="00665C78">
        <w:tc>
          <w:tcPr>
            <w:tcW w:w="3261" w:type="dxa"/>
            <w:shd w:val="clear" w:color="auto" w:fill="auto"/>
          </w:tcPr>
          <w:p w:rsidR="002774A7" w:rsidRPr="002774A7" w:rsidRDefault="002774A7" w:rsidP="002774A7">
            <w:pPr>
              <w:spacing w:after="0" w:line="240" w:lineRule="auto"/>
              <w:jc w:val="both"/>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Всего по РФ, %</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9,5</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10,4</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10,1</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9,9</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9,3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8,4</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Всего по промышленному производству, %</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10,8</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10,9</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10,5</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-0,3</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По видам экономической деятельности</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 добыча полезных ископаемых</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7,8</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8,4</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7,6</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7,5</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6,9</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7,4</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-0,4</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1.2 обрабатывающие производства</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13,0</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13,4</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13,3</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13,3</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0,3</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высокотехнологичные отрасли</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29,5</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29,6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31,8</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31,6</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31,6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31,7</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30,8</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среднетехнологичные отрасли высокого уровня</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16,8</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17,7</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17,5</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17,4</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17,2</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0,4</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среднетехнологичные отрасли низкого уровня</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13,3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12,7</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12,5</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12,2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12,3</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1,1</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 низкотехнологичные</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8,3</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8,1</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8,2</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7,8</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7,9</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-0,2</w:t>
            </w:r>
          </w:p>
        </w:tc>
      </w:tr>
      <w:tr w:rsidR="002774A7" w:rsidRPr="002774A7" w:rsidTr="00665C78">
        <w:tc>
          <w:tcPr>
            <w:tcW w:w="3261" w:type="dxa"/>
            <w:shd w:val="clear" w:color="auto" w:fill="auto"/>
          </w:tcPr>
          <w:p w:rsidR="002774A7" w:rsidRPr="002774A7" w:rsidRDefault="002774A7" w:rsidP="002774A7">
            <w:pPr>
              <w:spacing w:after="0" w:line="240" w:lineRule="auto"/>
              <w:rPr>
                <w:rFonts w:ascii="Times New Roman" w:eastAsia="Times New Roman" w:hAnsi="Times New Roman" w:cs="Times New Roman"/>
                <w:sz w:val="28"/>
              </w:rPr>
            </w:pPr>
            <w:r w:rsidRPr="002774A7">
              <w:rPr>
                <w:rFonts w:ascii="Times New Roman" w:eastAsia="Times New Roman" w:hAnsi="Times New Roman" w:cs="Times New Roman"/>
                <w:sz w:val="20"/>
              </w:rPr>
              <w:t>1.3 производство и распределение электроэнергии, газа и воды</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5,4</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5,6</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5,3</w:t>
            </w:r>
          </w:p>
        </w:tc>
        <w:tc>
          <w:tcPr>
            <w:tcW w:w="708"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5,1</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4,9</w:t>
            </w:r>
          </w:p>
        </w:tc>
        <w:tc>
          <w:tcPr>
            <w:tcW w:w="709"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4,8</w:t>
            </w:r>
          </w:p>
        </w:tc>
        <w:tc>
          <w:tcPr>
            <w:tcW w:w="1417" w:type="dxa"/>
            <w:shd w:val="clear" w:color="auto" w:fill="auto"/>
          </w:tcPr>
          <w:p w:rsidR="002774A7" w:rsidRPr="002774A7" w:rsidRDefault="002774A7" w:rsidP="002774A7">
            <w:pPr>
              <w:spacing w:after="0" w:line="240" w:lineRule="auto"/>
              <w:jc w:val="center"/>
              <w:rPr>
                <w:rFonts w:ascii="Times New Roman" w:eastAsia="Times New Roman" w:hAnsi="Times New Roman" w:cs="Times New Roman"/>
                <w:sz w:val="20"/>
                <w:szCs w:val="20"/>
              </w:rPr>
            </w:pPr>
            <w:r w:rsidRPr="002774A7">
              <w:rPr>
                <w:rFonts w:ascii="Times New Roman" w:eastAsia="Times New Roman" w:hAnsi="Times New Roman" w:cs="Times New Roman"/>
                <w:sz w:val="20"/>
                <w:szCs w:val="20"/>
              </w:rPr>
              <w:t>-0,6</w:t>
            </w:r>
          </w:p>
        </w:tc>
      </w:tr>
    </w:tbl>
    <w:p w:rsidR="002774A7" w:rsidRPr="002774A7" w:rsidRDefault="002774A7" w:rsidP="002774A7">
      <w:pPr>
        <w:spacing w:after="0" w:line="240" w:lineRule="auto"/>
        <w:jc w:val="right"/>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t xml:space="preserve">В 2018 г. по сравнению с 2012 г. наблюдается рост показателя инновационной активности только в обрабатывающей промышленности – на 0,3%. Показатель добычи полезных ископаемых уменьшился на 0,4% в 2018 г. по сравнению с 2012 г., показатель «Производство и распределение электроэнергии, газа и воды» на 0,6%. По состоянию на 2018 г. процент промышленных предприятий осуществляющие инновации всех типов – 10,5%, в том числе технологические инновации – 9,2%.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bdr w:val="none" w:sz="0" w:space="0" w:color="auto" w:frame="1"/>
          <w:lang w:eastAsia="ru-RU"/>
        </w:rPr>
        <w:t>Совокупный уровень инновационной активности организаций промышленного производства РФ по отраслям</w:t>
      </w:r>
      <w:r w:rsidRPr="002774A7">
        <w:rPr>
          <w:rFonts w:ascii="Times New Roman" w:eastAsia="Times New Roman" w:hAnsi="Times New Roman" w:cs="Times New Roman"/>
          <w:sz w:val="28"/>
          <w:szCs w:val="24"/>
          <w:lang w:eastAsia="ru-RU"/>
        </w:rPr>
        <w:t xml:space="preserve"> показан на рис. 5.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36"/>
          <w:bdr w:val="none" w:sz="0" w:space="0" w:color="auto" w:frame="1"/>
          <w:lang w:eastAsia="ru-RU"/>
        </w:rPr>
      </w:pPr>
      <w:r w:rsidRPr="002774A7">
        <w:rPr>
          <w:rFonts w:ascii="Times New Roman" w:eastAsia="Times New Roman" w:hAnsi="Times New Roman" w:cs="Times New Roman"/>
          <w:sz w:val="28"/>
          <w:szCs w:val="23"/>
          <w:lang w:eastAsia="ru-RU"/>
        </w:rPr>
        <w:t xml:space="preserve">Лидерами в числе инновационно-активных предприятий являются предприятия, занимающиеся производством электронных компонентов – 37,5 %, фармацевтической продукции – 35,6%, летальных аппаратов – 32,7% а также табачных изделий – 31,8%. Самый меньший процент предприятий РФ занимаются текстильным производством – 16 %.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t xml:space="preserve">Позитивная тенденция приемлемого уровня инновационной активности предприятий наблюдается в отдельных промышленных комплексах, которая не характерна для развития национальной экономики в целом. Также присутствуют и виды деятельности обрабатывающей промышленности с очень низким уровнем инновационной активности. Среди таких видов деятельности обработка вторичного сырья (2,7%) и издательская и полиграфическая деятельность (2,2%).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t xml:space="preserve">Одним из главных условий осуществления инновационной деятельности является обеспечение достаточного уровня финансирования </w:t>
      </w:r>
      <w:r w:rsidRPr="002774A7">
        <w:rPr>
          <w:rFonts w:ascii="Times New Roman" w:eastAsia="Times New Roman" w:hAnsi="Times New Roman" w:cs="Times New Roman"/>
          <w:sz w:val="28"/>
          <w:szCs w:val="24"/>
          <w:lang w:eastAsia="ru-RU"/>
        </w:rPr>
        <w:lastRenderedPageBreak/>
        <w:t xml:space="preserve">инновационных процессов. Структура затрат на инновационную деятельность по источникам финансирования в РФ представлена на рис. 6.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p>
    <w:p w:rsidR="002774A7" w:rsidRPr="002774A7" w:rsidRDefault="002774A7" w:rsidP="002774A7">
      <w:pPr>
        <w:spacing w:after="0" w:line="240" w:lineRule="auto"/>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9B8D4D8" wp14:editId="62CA23CE">
                <wp:simplePos x="0" y="0"/>
                <wp:positionH relativeFrom="column">
                  <wp:posOffset>-28974</wp:posOffset>
                </wp:positionH>
                <wp:positionV relativeFrom="paragraph">
                  <wp:posOffset>68093</wp:posOffset>
                </wp:positionV>
                <wp:extent cx="523875" cy="331603"/>
                <wp:effectExtent l="0" t="0" r="9525" b="0"/>
                <wp:wrapNone/>
                <wp:docPr id="518" name="Прямоугольник 518"/>
                <wp:cNvGraphicFramePr/>
                <a:graphic xmlns:a="http://schemas.openxmlformats.org/drawingml/2006/main">
                  <a:graphicData uri="http://schemas.microsoft.com/office/word/2010/wordprocessingShape">
                    <wps:wsp>
                      <wps:cNvSpPr/>
                      <wps:spPr>
                        <a:xfrm>
                          <a:off x="0" y="0"/>
                          <a:ext cx="523875" cy="331603"/>
                        </a:xfrm>
                        <a:prstGeom prst="rect">
                          <a:avLst/>
                        </a:prstGeom>
                        <a:solidFill>
                          <a:sysClr val="window" lastClr="FFFFFF"/>
                        </a:solidFill>
                        <a:ln w="25400" cap="flat" cmpd="sng" algn="ctr">
                          <a:noFill/>
                          <a:prstDash val="solid"/>
                        </a:ln>
                        <a:effectLst/>
                      </wps:spPr>
                      <wps:txbx>
                        <w:txbxContent>
                          <w:p w:rsidR="002774A7" w:rsidRPr="00E76966" w:rsidRDefault="002774A7" w:rsidP="002774A7">
                            <w:pPr>
                              <w:jc w:val="center"/>
                              <w:rPr>
                                <w:color w:val="000000"/>
                              </w:rPr>
                            </w:pPr>
                            <w:r w:rsidRPr="00E76966">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8" o:spid="_x0000_s1027" style="position:absolute;left:0;text-align:left;margin-left:-2.3pt;margin-top:5.35pt;width:41.2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" fillcolor="window" stroked="f" strokeweight="2pt">
                <v:textbox>
                  <w:txbxContent>
                    <w:p w:rsidR="002774A7" w:rsidRPr="00E76966" w:rsidRDefault="002774A7" w:rsidP="002774A7">
                      <w:pPr>
                        <w:jc w:val="center"/>
                        <w:rPr>
                          <w:color w:val="000000"/>
                        </w:rPr>
                      </w:pPr>
                      <w:r w:rsidRPr="00E76966">
                        <w:rPr>
                          <w:color w:val="000000"/>
                        </w:rPr>
                        <w:t>%</w:t>
                      </w:r>
                    </w:p>
                  </w:txbxContent>
                </v:textbox>
              </v:rect>
            </w:pict>
          </mc:Fallback>
        </mc:AlternateContent>
      </w:r>
    </w:p>
    <w:p w:rsidR="002774A7" w:rsidRPr="002774A7" w:rsidRDefault="002774A7" w:rsidP="002774A7">
      <w:pPr>
        <w:spacing w:after="0" w:line="240" w:lineRule="auto"/>
        <w:jc w:val="both"/>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ind w:left="426" w:hanging="284"/>
        <w:jc w:val="both"/>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noProof/>
          <w:sz w:val="24"/>
          <w:szCs w:val="24"/>
          <w:lang w:eastAsia="ru-RU"/>
        </w:rPr>
        <w:drawing>
          <wp:inline distT="0" distB="0" distL="0" distR="0" wp14:anchorId="7FCC7EA8" wp14:editId="6323F7A7">
            <wp:extent cx="6124575" cy="3242930"/>
            <wp:effectExtent l="0" t="0" r="9525"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Рис. 5 Совокупный уровень инновационной активности организаций промышленного производства РФ по отраслям (2018 г., %)</w:t>
      </w:r>
    </w:p>
    <w:p w:rsidR="002774A7" w:rsidRPr="002774A7" w:rsidRDefault="002774A7" w:rsidP="002774A7">
      <w:pPr>
        <w:spacing w:after="0" w:line="240" w:lineRule="auto"/>
        <w:textAlignment w:val="top"/>
        <w:rPr>
          <w:rFonts w:ascii="Times New Roman" w:eastAsia="Times New Roman" w:hAnsi="Times New Roman" w:cs="Times New Roman"/>
          <w:sz w:val="23"/>
          <w:szCs w:val="23"/>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p>
    <w:p w:rsidR="002774A7" w:rsidRPr="002774A7" w:rsidRDefault="002774A7" w:rsidP="002774A7">
      <w:pPr>
        <w:rPr>
          <w:rFonts w:ascii="Times New Roman" w:eastAsia="Calibri" w:hAnsi="Times New Roman" w:cs="Times New Roman"/>
        </w:rPr>
      </w:pPr>
      <w:r w:rsidRPr="002774A7">
        <w:rPr>
          <w:rFonts w:ascii="Times New Roman" w:eastAsia="Calibri" w:hAnsi="Times New Roman" w:cs="Times New Roman"/>
          <w:noProof/>
          <w:lang w:eastAsia="ru-RU"/>
        </w:rPr>
        <mc:AlternateContent>
          <mc:Choice Requires="wps">
            <w:drawing>
              <wp:anchor distT="0" distB="0" distL="114300" distR="114300" simplePos="0" relativeHeight="251661312" behindDoc="0" locked="0" layoutInCell="1" allowOverlap="1" wp14:anchorId="75E0AEFC" wp14:editId="47A5FA46">
                <wp:simplePos x="0" y="0"/>
                <wp:positionH relativeFrom="column">
                  <wp:posOffset>13039</wp:posOffset>
                </wp:positionH>
                <wp:positionV relativeFrom="paragraph">
                  <wp:posOffset>11135</wp:posOffset>
                </wp:positionV>
                <wp:extent cx="523875" cy="372140"/>
                <wp:effectExtent l="0" t="0" r="9525" b="8890"/>
                <wp:wrapNone/>
                <wp:docPr id="519" name="Прямоугольник 519"/>
                <wp:cNvGraphicFramePr/>
                <a:graphic xmlns:a="http://schemas.openxmlformats.org/drawingml/2006/main">
                  <a:graphicData uri="http://schemas.microsoft.com/office/word/2010/wordprocessingShape">
                    <wps:wsp>
                      <wps:cNvSpPr/>
                      <wps:spPr>
                        <a:xfrm>
                          <a:off x="0" y="0"/>
                          <a:ext cx="523875" cy="372140"/>
                        </a:xfrm>
                        <a:prstGeom prst="rect">
                          <a:avLst/>
                        </a:prstGeom>
                        <a:solidFill>
                          <a:sysClr val="window" lastClr="FFFFFF"/>
                        </a:solidFill>
                        <a:ln w="25400" cap="flat" cmpd="sng" algn="ctr">
                          <a:noFill/>
                          <a:prstDash val="solid"/>
                        </a:ln>
                        <a:effectLst/>
                      </wps:spPr>
                      <wps:txbx>
                        <w:txbxContent>
                          <w:p w:rsidR="002774A7" w:rsidRPr="00E76966" w:rsidRDefault="002774A7" w:rsidP="002774A7">
                            <w:pPr>
                              <w:jc w:val="center"/>
                              <w:rPr>
                                <w:color w:val="000000"/>
                              </w:rPr>
                            </w:pPr>
                            <w:r w:rsidRPr="00E76966">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9" o:spid="_x0000_s1028" style="position:absolute;margin-left:1.05pt;margin-top:.9pt;width:41.2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" fillcolor="window" stroked="f" strokeweight="2pt">
                <v:textbox>
                  <w:txbxContent>
                    <w:p w:rsidR="002774A7" w:rsidRPr="00E76966" w:rsidRDefault="002774A7" w:rsidP="002774A7">
                      <w:pPr>
                        <w:jc w:val="center"/>
                        <w:rPr>
                          <w:color w:val="000000"/>
                        </w:rPr>
                      </w:pPr>
                      <w:r w:rsidRPr="00E76966">
                        <w:rPr>
                          <w:color w:val="000000"/>
                        </w:rPr>
                        <w:t>%</w:t>
                      </w:r>
                    </w:p>
                  </w:txbxContent>
                </v:textbox>
              </v:rect>
            </w:pict>
          </mc:Fallback>
        </mc:AlternateContent>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noProof/>
          <w:sz w:val="24"/>
          <w:szCs w:val="24"/>
          <w:lang w:eastAsia="ru-RU"/>
        </w:rPr>
        <w:drawing>
          <wp:inline distT="0" distB="0" distL="0" distR="0" wp14:anchorId="457F2BAB" wp14:editId="3ABB099A">
            <wp:extent cx="5819775" cy="280035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r w:rsidRPr="002774A7">
        <w:rPr>
          <w:rFonts w:ascii="Times New Roman" w:eastAsia="Times New Roman" w:hAnsi="Times New Roman" w:cs="Times New Roman"/>
          <w:sz w:val="28"/>
          <w:bdr w:val="none" w:sz="0" w:space="0" w:color="auto" w:frame="1"/>
          <w:lang w:eastAsia="ru-RU"/>
        </w:rPr>
        <w:t>Рис. 6. Структура затрат на технологические инновации по источникам финансирования 2012-2018 гг., %</w:t>
      </w:r>
    </w:p>
    <w:p w:rsidR="002774A7" w:rsidRPr="002774A7" w:rsidRDefault="002774A7" w:rsidP="002774A7">
      <w:pPr>
        <w:spacing w:after="0" w:line="240" w:lineRule="auto"/>
        <w:jc w:val="center"/>
        <w:textAlignment w:val="top"/>
        <w:rPr>
          <w:rFonts w:ascii="Times New Roman" w:eastAsia="Times New Roman" w:hAnsi="Times New Roman" w:cs="Times New Roman"/>
          <w:sz w:val="28"/>
          <w:bdr w:val="none" w:sz="0" w:space="0" w:color="auto" w:frame="1"/>
          <w:lang w:eastAsia="ru-RU"/>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lastRenderedPageBreak/>
        <w:t xml:space="preserve">В структуре затрат на технологические инновации в течение всего анализируемого периода преобладающий удельный вес занимают собственные средства организаций (по итогам 2018 года – 62,1 %). Наименьший процент финансирования инновационной деятельности приходится на иностранных инвесторов – 0,2% и средства фондов поддержки 0,1% на 2018 г.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szCs w:val="24"/>
          <w:lang w:eastAsia="ru-RU"/>
        </w:rPr>
      </w:pPr>
      <w:r w:rsidRPr="002774A7">
        <w:rPr>
          <w:rFonts w:ascii="Times New Roman" w:eastAsia="Times New Roman" w:hAnsi="Times New Roman" w:cs="Times New Roman"/>
          <w:sz w:val="28"/>
          <w:szCs w:val="24"/>
          <w:lang w:eastAsia="ru-RU"/>
        </w:rPr>
        <w:t xml:space="preserve">По итогам результатов исследования можно отметить, что на состояние инновационной деятельности в РФ влияет ряд факторов, которые оказывают как положительное, так и негативное влияние (табл. 4) [2]. </w:t>
      </w:r>
    </w:p>
    <w:p w:rsidR="002774A7" w:rsidRPr="002774A7" w:rsidRDefault="002774A7" w:rsidP="002774A7">
      <w:pPr>
        <w:spacing w:after="0" w:line="240" w:lineRule="auto"/>
        <w:jc w:val="right"/>
        <w:rPr>
          <w:rFonts w:ascii="Times New Roman" w:eastAsia="Calibri" w:hAnsi="Times New Roman" w:cs="Times New Roman"/>
          <w:sz w:val="28"/>
        </w:rPr>
      </w:pPr>
    </w:p>
    <w:p w:rsidR="002774A7" w:rsidRPr="002774A7" w:rsidRDefault="002774A7" w:rsidP="002774A7">
      <w:pPr>
        <w:spacing w:after="0" w:line="240" w:lineRule="auto"/>
        <w:jc w:val="right"/>
        <w:rPr>
          <w:rFonts w:ascii="Times New Roman" w:eastAsia="Calibri" w:hAnsi="Times New Roman" w:cs="Times New Roman"/>
          <w:sz w:val="28"/>
        </w:rPr>
      </w:pPr>
      <w:r w:rsidRPr="002774A7">
        <w:rPr>
          <w:rFonts w:ascii="Times New Roman" w:eastAsia="Calibri" w:hAnsi="Times New Roman" w:cs="Times New Roman"/>
          <w:sz w:val="28"/>
        </w:rPr>
        <w:t>Таблица 4</w:t>
      </w:r>
    </w:p>
    <w:p w:rsidR="002774A7" w:rsidRPr="002774A7" w:rsidRDefault="002774A7" w:rsidP="002774A7">
      <w:pPr>
        <w:spacing w:after="0" w:line="240" w:lineRule="auto"/>
        <w:jc w:val="center"/>
        <w:rPr>
          <w:rFonts w:ascii="Times New Roman" w:eastAsia="Calibri" w:hAnsi="Times New Roman" w:cs="Times New Roman"/>
          <w:sz w:val="28"/>
        </w:rPr>
      </w:pPr>
      <w:r w:rsidRPr="002774A7">
        <w:rPr>
          <w:rFonts w:ascii="Times New Roman" w:eastAsia="Calibri" w:hAnsi="Times New Roman" w:cs="Times New Roman"/>
          <w:sz w:val="28"/>
        </w:rPr>
        <w:t>Негативные и позитивные факторы, влияющие на состояние инновационной деятельности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7"/>
        <w:gridCol w:w="4046"/>
      </w:tblGrid>
      <w:tr w:rsidR="002774A7" w:rsidRPr="002774A7" w:rsidTr="00665C78">
        <w:trPr>
          <w:trHeight w:val="382"/>
        </w:trPr>
        <w:tc>
          <w:tcPr>
            <w:tcW w:w="5529" w:type="dxa"/>
          </w:tcPr>
          <w:p w:rsidR="002774A7" w:rsidRPr="002774A7" w:rsidRDefault="002774A7" w:rsidP="002774A7">
            <w:pPr>
              <w:spacing w:after="0" w:line="240" w:lineRule="auto"/>
              <w:jc w:val="center"/>
              <w:rPr>
                <w:rFonts w:ascii="Times New Roman" w:eastAsiaTheme="minorEastAsia" w:hAnsi="Times New Roman" w:cs="Times New Roman"/>
                <w:sz w:val="28"/>
              </w:rPr>
            </w:pPr>
            <w:r w:rsidRPr="002774A7">
              <w:rPr>
                <w:rFonts w:ascii="Times New Roman" w:eastAsiaTheme="minorEastAsia" w:hAnsi="Times New Roman" w:cs="Times New Roman"/>
                <w:sz w:val="28"/>
              </w:rPr>
              <w:t>Факторы негативного воздействия</w:t>
            </w:r>
          </w:p>
          <w:p w:rsidR="002774A7" w:rsidRPr="002774A7" w:rsidRDefault="002774A7" w:rsidP="002774A7">
            <w:pPr>
              <w:spacing w:after="0" w:line="240" w:lineRule="auto"/>
              <w:jc w:val="center"/>
              <w:rPr>
                <w:rFonts w:ascii="Times New Roman" w:eastAsiaTheme="minorEastAsia" w:hAnsi="Times New Roman" w:cs="Times New Roman"/>
                <w:sz w:val="28"/>
              </w:rPr>
            </w:pPr>
          </w:p>
        </w:tc>
        <w:tc>
          <w:tcPr>
            <w:tcW w:w="4110" w:type="dxa"/>
            <w:hideMark/>
          </w:tcPr>
          <w:p w:rsidR="002774A7" w:rsidRPr="002774A7" w:rsidRDefault="002774A7" w:rsidP="002774A7">
            <w:pPr>
              <w:spacing w:after="0" w:line="240" w:lineRule="auto"/>
              <w:jc w:val="center"/>
              <w:rPr>
                <w:rFonts w:ascii="Times New Roman" w:eastAsiaTheme="minorEastAsia" w:hAnsi="Times New Roman" w:cs="Times New Roman"/>
                <w:sz w:val="28"/>
              </w:rPr>
            </w:pPr>
            <w:r w:rsidRPr="002774A7">
              <w:rPr>
                <w:rFonts w:ascii="Times New Roman" w:eastAsiaTheme="minorEastAsia" w:hAnsi="Times New Roman" w:cs="Times New Roman"/>
                <w:sz w:val="28"/>
              </w:rPr>
              <w:t>Факторы позитивного воздействия</w:t>
            </w:r>
          </w:p>
        </w:tc>
      </w:tr>
      <w:tr w:rsidR="002774A7" w:rsidRPr="002774A7" w:rsidTr="00665C78">
        <w:trPr>
          <w:trHeight w:val="780"/>
        </w:trPr>
        <w:tc>
          <w:tcPr>
            <w:tcW w:w="5529" w:type="dxa"/>
            <w:hideMark/>
          </w:tcPr>
          <w:p w:rsidR="002774A7" w:rsidRPr="002774A7" w:rsidRDefault="002774A7" w:rsidP="002774A7">
            <w:pPr>
              <w:spacing w:after="0" w:line="240" w:lineRule="auto"/>
              <w:jc w:val="both"/>
              <w:rPr>
                <w:rFonts w:ascii="Times New Roman" w:eastAsiaTheme="minorEastAsia" w:hAnsi="Times New Roman" w:cs="Times New Roman"/>
                <w:sz w:val="28"/>
                <w:shd w:val="clear" w:color="auto" w:fill="FFFFFF"/>
              </w:rPr>
            </w:pPr>
            <w:r w:rsidRPr="002774A7">
              <w:rPr>
                <w:rFonts w:ascii="Times New Roman" w:eastAsiaTheme="minorEastAsia" w:hAnsi="Times New Roman" w:cs="Times New Roman"/>
                <w:sz w:val="28"/>
                <w:shd w:val="clear" w:color="auto" w:fill="FFFFFF"/>
              </w:rPr>
              <w:t>1. Недочеты законодательства РФ и отсутствие специальных законов, регулирующих введение инноваций.</w:t>
            </w:r>
          </w:p>
        </w:tc>
        <w:tc>
          <w:tcPr>
            <w:tcW w:w="4110" w:type="dxa"/>
            <w:hideMark/>
          </w:tcPr>
          <w:p w:rsidR="002774A7" w:rsidRPr="002774A7" w:rsidRDefault="002774A7" w:rsidP="002774A7">
            <w:pPr>
              <w:spacing w:after="0" w:line="240" w:lineRule="auto"/>
              <w:jc w:val="both"/>
              <w:rPr>
                <w:rFonts w:ascii="Times New Roman" w:eastAsiaTheme="minorEastAsia" w:hAnsi="Times New Roman" w:cs="Times New Roman"/>
                <w:sz w:val="28"/>
              </w:rPr>
            </w:pPr>
            <w:r w:rsidRPr="002774A7">
              <w:rPr>
                <w:rFonts w:ascii="Times New Roman" w:eastAsiaTheme="minorEastAsia" w:hAnsi="Times New Roman" w:cs="Times New Roman"/>
                <w:sz w:val="28"/>
              </w:rPr>
              <w:t>1.</w:t>
            </w:r>
            <w:r w:rsidRPr="002774A7">
              <w:rPr>
                <w:rFonts w:ascii="Times New Roman" w:eastAsiaTheme="minorEastAsia" w:hAnsi="Times New Roman" w:cs="Times New Roman"/>
                <w:sz w:val="28"/>
                <w:lang w:val="en-US"/>
              </w:rPr>
              <w:t xml:space="preserve"> </w:t>
            </w:r>
            <w:r w:rsidRPr="002774A7">
              <w:rPr>
                <w:rFonts w:ascii="Times New Roman" w:eastAsiaTheme="minorEastAsia" w:hAnsi="Times New Roman" w:cs="Times New Roman"/>
                <w:sz w:val="28"/>
              </w:rPr>
              <w:t xml:space="preserve">Развитость национальной инфраструктуры. </w:t>
            </w:r>
          </w:p>
        </w:tc>
      </w:tr>
      <w:tr w:rsidR="002774A7" w:rsidRPr="002774A7" w:rsidTr="00665C78">
        <w:tc>
          <w:tcPr>
            <w:tcW w:w="5529" w:type="dxa"/>
            <w:hideMark/>
          </w:tcPr>
          <w:p w:rsidR="002774A7" w:rsidRPr="002774A7" w:rsidRDefault="002774A7" w:rsidP="002774A7">
            <w:pPr>
              <w:spacing w:after="0" w:line="240" w:lineRule="auto"/>
              <w:jc w:val="both"/>
              <w:rPr>
                <w:rFonts w:ascii="Times New Roman" w:eastAsiaTheme="minorEastAsia" w:hAnsi="Times New Roman" w:cs="Times New Roman"/>
                <w:sz w:val="28"/>
                <w:shd w:val="clear" w:color="auto" w:fill="FFFFFF"/>
              </w:rPr>
            </w:pPr>
            <w:r w:rsidRPr="002774A7">
              <w:rPr>
                <w:rFonts w:ascii="Times New Roman" w:eastAsiaTheme="minorEastAsia" w:hAnsi="Times New Roman" w:cs="Times New Roman"/>
                <w:sz w:val="28"/>
                <w:shd w:val="clear" w:color="auto" w:fill="FFFFFF"/>
              </w:rPr>
              <w:t>2. Слабое финансирование инновационной деятельности предприятий, обусловленное большими объемами вложений и длительными периодами окупаемости.</w:t>
            </w:r>
          </w:p>
        </w:tc>
        <w:tc>
          <w:tcPr>
            <w:tcW w:w="4110" w:type="dxa"/>
            <w:hideMark/>
          </w:tcPr>
          <w:p w:rsidR="002774A7" w:rsidRPr="002774A7" w:rsidRDefault="002774A7" w:rsidP="002774A7">
            <w:pPr>
              <w:spacing w:after="0" w:line="240" w:lineRule="auto"/>
              <w:jc w:val="both"/>
              <w:rPr>
                <w:rFonts w:ascii="Times New Roman" w:eastAsiaTheme="minorEastAsia" w:hAnsi="Times New Roman" w:cs="Times New Roman"/>
                <w:sz w:val="28"/>
              </w:rPr>
            </w:pPr>
            <w:r w:rsidRPr="002774A7">
              <w:rPr>
                <w:rFonts w:ascii="Times New Roman" w:eastAsiaTheme="minorEastAsia" w:hAnsi="Times New Roman" w:cs="Times New Roman"/>
                <w:sz w:val="28"/>
              </w:rPr>
              <w:t>2. Высокая емкость внутреннего рынка.</w:t>
            </w:r>
          </w:p>
        </w:tc>
      </w:tr>
      <w:tr w:rsidR="002774A7" w:rsidRPr="002774A7" w:rsidTr="00665C78">
        <w:tc>
          <w:tcPr>
            <w:tcW w:w="5529" w:type="dxa"/>
            <w:hideMark/>
          </w:tcPr>
          <w:p w:rsidR="002774A7" w:rsidRPr="002774A7" w:rsidRDefault="002774A7" w:rsidP="002774A7">
            <w:pPr>
              <w:spacing w:after="0" w:line="240" w:lineRule="auto"/>
              <w:jc w:val="both"/>
              <w:rPr>
                <w:rFonts w:ascii="Times New Roman" w:eastAsiaTheme="minorEastAsia" w:hAnsi="Times New Roman" w:cs="Times New Roman"/>
                <w:sz w:val="28"/>
                <w:shd w:val="clear" w:color="auto" w:fill="FFFFFF"/>
              </w:rPr>
            </w:pPr>
            <w:r w:rsidRPr="002774A7">
              <w:rPr>
                <w:rFonts w:ascii="Times New Roman" w:eastAsiaTheme="minorEastAsia" w:hAnsi="Times New Roman" w:cs="Times New Roman"/>
                <w:sz w:val="28"/>
                <w:shd w:val="clear" w:color="auto" w:fill="FFFFFF"/>
              </w:rPr>
              <w:t>3. Нехватка кадров с необходимой квалификацией, страх персонала перед нововведениями.</w:t>
            </w:r>
          </w:p>
        </w:tc>
        <w:tc>
          <w:tcPr>
            <w:tcW w:w="4110" w:type="dxa"/>
          </w:tcPr>
          <w:p w:rsidR="002774A7" w:rsidRPr="002774A7" w:rsidRDefault="002774A7" w:rsidP="002774A7">
            <w:pPr>
              <w:spacing w:after="0" w:line="240" w:lineRule="auto"/>
              <w:jc w:val="both"/>
              <w:rPr>
                <w:rFonts w:ascii="Times New Roman" w:eastAsiaTheme="minorEastAsia" w:hAnsi="Times New Roman" w:cs="Times New Roman"/>
                <w:sz w:val="28"/>
              </w:rPr>
            </w:pPr>
          </w:p>
        </w:tc>
      </w:tr>
    </w:tbl>
    <w:p w:rsidR="002774A7" w:rsidRPr="002774A7" w:rsidRDefault="002774A7" w:rsidP="002774A7">
      <w:pPr>
        <w:spacing w:after="0" w:line="240" w:lineRule="auto"/>
        <w:ind w:firstLine="708"/>
        <w:jc w:val="both"/>
        <w:rPr>
          <w:rFonts w:ascii="Times New Roman" w:eastAsia="Calibri" w:hAnsi="Times New Roman" w:cs="Times New Roman"/>
          <w:sz w:val="28"/>
        </w:rPr>
      </w:pP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b/>
          <w:sz w:val="28"/>
          <w:szCs w:val="24"/>
          <w:lang w:eastAsia="ru-RU"/>
        </w:rPr>
        <w:t>Выводы</w:t>
      </w:r>
      <w:r w:rsidRPr="002774A7">
        <w:rPr>
          <w:rFonts w:ascii="Times New Roman" w:eastAsia="Times New Roman" w:hAnsi="Times New Roman" w:cs="Times New Roman"/>
          <w:sz w:val="28"/>
          <w:szCs w:val="24"/>
          <w:lang w:eastAsia="ru-RU"/>
        </w:rPr>
        <w:t>. РФ имеет высокий потенциал н</w:t>
      </w:r>
      <w:r w:rsidRPr="002774A7">
        <w:rPr>
          <w:rFonts w:ascii="Times New Roman" w:eastAsia="Times New Roman" w:hAnsi="Times New Roman" w:cs="Times New Roman"/>
          <w:sz w:val="28"/>
          <w:lang w:eastAsia="ru-RU"/>
        </w:rPr>
        <w:t>ововведений в промышленную сферу. Но объекты не превращаются в востребованную на рынке инновационную продукцию, высокий научно-технический потенциал РФ не реализуется. Явной причиной такой негативной тенденции является несовершенство методов управления инновационной деятельностью на макро- и микроуровне.</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Н</w:t>
      </w:r>
      <w:r w:rsidRPr="002774A7">
        <w:rPr>
          <w:rFonts w:ascii="Times New Roman" w:eastAsia="Times New Roman" w:hAnsi="Times New Roman" w:cs="Times New Roman"/>
          <w:sz w:val="28"/>
          <w:shd w:val="clear" w:color="auto" w:fill="FFFFFF"/>
          <w:lang w:eastAsia="ru-RU"/>
        </w:rPr>
        <w:t>едостаточный уровень государственной поддержки инновационных предприятий и слабость правовой базы в области инновационного предпринимательства также являются весомыми причинами снижения эффективности инноваций</w:t>
      </w:r>
      <w:r w:rsidRPr="002774A7">
        <w:rPr>
          <w:rFonts w:ascii="Times New Roman" w:eastAsia="Times New Roman" w:hAnsi="Times New Roman" w:cs="Times New Roman"/>
          <w:sz w:val="28"/>
          <w:lang w:eastAsia="ru-RU"/>
        </w:rPr>
        <w:t xml:space="preserve">. Значительное влияние на развитие инновационного сектора экономики также оказывают санкции. В </w:t>
      </w:r>
      <w:r w:rsidRPr="002774A7">
        <w:rPr>
          <w:rFonts w:ascii="Times New Roman" w:eastAsia="Times New Roman" w:hAnsi="Times New Roman" w:cs="Times New Roman"/>
          <w:iCs/>
          <w:sz w:val="28"/>
          <w:bdr w:val="none" w:sz="0" w:space="0" w:color="auto" w:frame="1"/>
          <w:lang w:eastAsia="ru-RU"/>
        </w:rPr>
        <w:t>ближайшее время значение санкций может стать более ощутимым из-за закрытия ведущими американскими и европейскими компаниями доступа к средствам разработки</w:t>
      </w:r>
      <w:r w:rsidRPr="002774A7">
        <w:rPr>
          <w:rFonts w:ascii="Times New Roman" w:eastAsia="Times New Roman" w:hAnsi="Times New Roman" w:cs="Times New Roman"/>
          <w:sz w:val="28"/>
          <w:lang w:eastAsia="ru-RU"/>
        </w:rPr>
        <w:t xml:space="preserve">. </w:t>
      </w:r>
    </w:p>
    <w:p w:rsidR="002774A7" w:rsidRPr="002774A7" w:rsidRDefault="002774A7" w:rsidP="002774A7">
      <w:pPr>
        <w:spacing w:after="0" w:line="240" w:lineRule="auto"/>
        <w:ind w:firstLine="709"/>
        <w:jc w:val="both"/>
        <w:textAlignment w:val="top"/>
        <w:rPr>
          <w:rFonts w:ascii="Times New Roman" w:eastAsia="Times New Roman" w:hAnsi="Times New Roman" w:cs="Times New Roman"/>
          <w:sz w:val="28"/>
          <w:lang w:eastAsia="ru-RU"/>
        </w:rPr>
      </w:pPr>
      <w:r w:rsidRPr="002774A7">
        <w:rPr>
          <w:rFonts w:ascii="Times New Roman" w:eastAsia="Times New Roman" w:hAnsi="Times New Roman" w:cs="Times New Roman"/>
          <w:sz w:val="28"/>
          <w:lang w:eastAsia="ru-RU"/>
        </w:rPr>
        <w:t xml:space="preserve">Также низкая инновационность промышленного сектора РФ связана с неэффективностью инвестиционных процессов в инновационной сфере, </w:t>
      </w:r>
      <w:r w:rsidRPr="002774A7">
        <w:rPr>
          <w:rFonts w:ascii="Times New Roman" w:eastAsia="Times New Roman" w:hAnsi="Times New Roman" w:cs="Times New Roman"/>
          <w:sz w:val="28"/>
          <w:shd w:val="clear" w:color="auto" w:fill="FFFFFF"/>
          <w:lang w:eastAsia="ru-RU"/>
        </w:rPr>
        <w:t>которая, в свою очередь, объясняется отсутствием актуальных</w:t>
      </w:r>
      <w:r w:rsidRPr="002774A7">
        <w:rPr>
          <w:rFonts w:ascii="Times New Roman" w:eastAsia="Times New Roman" w:hAnsi="Times New Roman" w:cs="Times New Roman"/>
          <w:sz w:val="32"/>
          <w:shd w:val="clear" w:color="auto" w:fill="FFFFFF"/>
          <w:lang w:eastAsia="ru-RU"/>
        </w:rPr>
        <w:t xml:space="preserve"> </w:t>
      </w:r>
      <w:r w:rsidRPr="002774A7">
        <w:rPr>
          <w:rFonts w:ascii="Times New Roman" w:eastAsia="Times New Roman" w:hAnsi="Times New Roman" w:cs="Times New Roman"/>
          <w:sz w:val="28"/>
          <w:shd w:val="clear" w:color="auto" w:fill="FFFFFF"/>
          <w:lang w:eastAsia="ru-RU"/>
        </w:rPr>
        <w:t xml:space="preserve">и ситуационно адекватных механизмов управления инновационными процессами промышленного сектора. Поэтому именно в этом направлении необходимо </w:t>
      </w:r>
      <w:r w:rsidRPr="002774A7">
        <w:rPr>
          <w:rFonts w:ascii="Times New Roman" w:eastAsia="Times New Roman" w:hAnsi="Times New Roman" w:cs="Times New Roman"/>
          <w:sz w:val="28"/>
          <w:shd w:val="clear" w:color="auto" w:fill="FFFFFF"/>
          <w:lang w:eastAsia="ru-RU"/>
        </w:rPr>
        <w:lastRenderedPageBreak/>
        <w:t>сосредоточить усилия российских ученых и экономистов, создать исследовательские возможности и потенциал внедрения в практику промышленности новых организационно-экономических методов организации инновационного процесса.</w:t>
      </w:r>
    </w:p>
    <w:tbl>
      <w:tblPr>
        <w:tblW w:w="4918" w:type="pct"/>
        <w:jc w:val="center"/>
        <w:tblLook w:val="04A0" w:firstRow="1" w:lastRow="0" w:firstColumn="1" w:lastColumn="0" w:noHBand="0" w:noVBand="1"/>
      </w:tblPr>
      <w:tblGrid>
        <w:gridCol w:w="552"/>
        <w:gridCol w:w="8862"/>
      </w:tblGrid>
      <w:tr w:rsidR="002774A7" w:rsidRPr="002774A7" w:rsidTr="00665C78">
        <w:trPr>
          <w:jc w:val="center"/>
        </w:trPr>
        <w:tc>
          <w:tcPr>
            <w:tcW w:w="5000" w:type="pct"/>
            <w:gridSpan w:val="2"/>
          </w:tcPr>
          <w:p w:rsidR="002774A7" w:rsidRPr="002774A7" w:rsidRDefault="002774A7" w:rsidP="002774A7">
            <w:pPr>
              <w:spacing w:after="0" w:line="240" w:lineRule="auto"/>
              <w:jc w:val="center"/>
              <w:rPr>
                <w:rFonts w:ascii="Times New Roman" w:eastAsia="Times New Roman" w:hAnsi="Times New Roman" w:cs="Times New Roman"/>
                <w:b/>
                <w:sz w:val="28"/>
              </w:rPr>
            </w:pPr>
            <w:r w:rsidRPr="002774A7">
              <w:rPr>
                <w:rFonts w:ascii="Times New Roman" w:eastAsia="Times New Roman" w:hAnsi="Times New Roman" w:cs="Times New Roman"/>
                <w:b/>
                <w:sz w:val="28"/>
              </w:rPr>
              <w:t>Список литературы</w:t>
            </w:r>
          </w:p>
        </w:tc>
      </w:tr>
      <w:tr w:rsidR="002774A7" w:rsidRPr="002774A7" w:rsidTr="00665C78">
        <w:trPr>
          <w:jc w:val="center"/>
        </w:trPr>
        <w:tc>
          <w:tcPr>
            <w:tcW w:w="293" w:type="pct"/>
          </w:tcPr>
          <w:p w:rsidR="002774A7" w:rsidRPr="002774A7" w:rsidRDefault="002774A7" w:rsidP="002774A7">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2774A7" w:rsidRPr="002774A7" w:rsidRDefault="002774A7" w:rsidP="002774A7">
            <w:pPr>
              <w:spacing w:after="0" w:line="240" w:lineRule="auto"/>
              <w:jc w:val="both"/>
              <w:rPr>
                <w:rFonts w:ascii="Times New Roman" w:eastAsia="Calibri" w:hAnsi="Times New Roman" w:cs="Times New Roman"/>
                <w:sz w:val="28"/>
                <w:szCs w:val="24"/>
              </w:rPr>
            </w:pPr>
            <w:r w:rsidRPr="002774A7">
              <w:rPr>
                <w:rFonts w:ascii="Times New Roman" w:eastAsia="Calibri" w:hAnsi="Times New Roman" w:cs="Times New Roman"/>
                <w:sz w:val="24"/>
                <w:szCs w:val="21"/>
                <w:shd w:val="clear" w:color="auto" w:fill="FFFFFF"/>
              </w:rPr>
              <w:t>Епифанцева, Д. Д. Инновационное развитие российских предприятий / Д.Д. Епифанцева. – 2019. – №1. – С. 85-87.</w:t>
            </w:r>
          </w:p>
        </w:tc>
      </w:tr>
      <w:tr w:rsidR="002774A7" w:rsidRPr="002774A7" w:rsidTr="00665C78">
        <w:trPr>
          <w:jc w:val="center"/>
        </w:trPr>
        <w:tc>
          <w:tcPr>
            <w:tcW w:w="293" w:type="pct"/>
          </w:tcPr>
          <w:p w:rsidR="002774A7" w:rsidRPr="002774A7" w:rsidRDefault="002774A7" w:rsidP="002774A7">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2774A7" w:rsidRPr="002774A7" w:rsidRDefault="002774A7" w:rsidP="002774A7">
            <w:pPr>
              <w:shd w:val="clear" w:color="auto" w:fill="FFFFFF"/>
              <w:spacing w:after="0" w:line="240" w:lineRule="auto"/>
              <w:jc w:val="both"/>
              <w:textAlignment w:val="baseline"/>
              <w:rPr>
                <w:rFonts w:ascii="Times New Roman" w:eastAsia="Calibri" w:hAnsi="Times New Roman" w:cs="Times New Roman"/>
                <w:sz w:val="24"/>
                <w:szCs w:val="24"/>
              </w:rPr>
            </w:pPr>
            <w:r w:rsidRPr="002774A7">
              <w:rPr>
                <w:rFonts w:ascii="Times New Roman" w:eastAsia="Times New Roman" w:hAnsi="Times New Roman" w:cs="Times New Roman"/>
                <w:sz w:val="24"/>
                <w:szCs w:val="24"/>
              </w:rPr>
              <w:t>Глушак, О. В. Методологические аспекты исследования инновации // Креативная экономика. – 2011. – Том 5. – № 6. – С. 44-48.</w:t>
            </w:r>
          </w:p>
        </w:tc>
      </w:tr>
      <w:tr w:rsidR="002774A7" w:rsidRPr="002774A7" w:rsidTr="00665C78">
        <w:trPr>
          <w:jc w:val="center"/>
        </w:trPr>
        <w:tc>
          <w:tcPr>
            <w:tcW w:w="293" w:type="pct"/>
          </w:tcPr>
          <w:p w:rsidR="002774A7" w:rsidRPr="002774A7" w:rsidRDefault="002774A7" w:rsidP="002774A7">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2774A7" w:rsidRPr="002774A7" w:rsidRDefault="002774A7" w:rsidP="002774A7">
            <w:pPr>
              <w:spacing w:after="0" w:line="240" w:lineRule="auto"/>
              <w:jc w:val="both"/>
              <w:textAlignment w:val="top"/>
              <w:rPr>
                <w:rFonts w:ascii="Times New Roman" w:eastAsia="Times New Roman" w:hAnsi="Times New Roman" w:cs="Times New Roman"/>
                <w:sz w:val="24"/>
                <w:szCs w:val="24"/>
              </w:rPr>
            </w:pPr>
            <w:r w:rsidRPr="002774A7">
              <w:rPr>
                <w:rFonts w:ascii="Times New Roman" w:eastAsia="Calibri" w:hAnsi="Times New Roman" w:cs="Times New Roman"/>
                <w:sz w:val="24"/>
                <w:szCs w:val="24"/>
              </w:rPr>
              <w:t xml:space="preserve">Инновационный индекс по странам </w:t>
            </w:r>
            <w:r w:rsidRPr="002774A7">
              <w:rPr>
                <w:rFonts w:ascii="Times New Roman" w:eastAsia="MS Mincho" w:hAnsi="Times New Roman" w:cs="Times New Roman"/>
                <w:sz w:val="24"/>
                <w:szCs w:val="24"/>
                <w:lang w:eastAsia="ar-SA"/>
              </w:rPr>
              <w:t>[Электронный ресурс]. – Режим доступа:</w:t>
            </w:r>
            <w:r w:rsidRPr="002774A7">
              <w:rPr>
                <w:rFonts w:ascii="Times New Roman" w:eastAsia="MS Mincho" w:hAnsi="Times New Roman" w:cs="Times New Roman"/>
                <w:sz w:val="24"/>
                <w:szCs w:val="24"/>
                <w:lang w:eastAsia="ar-SA"/>
              </w:rPr>
              <w:br/>
            </w:r>
            <w:r w:rsidRPr="002774A7">
              <w:rPr>
                <w:rFonts w:ascii="Times New Roman" w:eastAsia="Times New Roman" w:hAnsi="Times New Roman" w:cs="Times New Roman"/>
                <w:sz w:val="24"/>
                <w:szCs w:val="24"/>
                <w:u w:val="single"/>
                <w:lang w:val="en-US"/>
              </w:rPr>
              <w:t>https</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gtmarket</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ru</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ratings</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global</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innovation</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index</w:t>
            </w:r>
            <w:r w:rsidRPr="002774A7">
              <w:rPr>
                <w:rFonts w:ascii="Times New Roman" w:eastAsia="Times New Roman" w:hAnsi="Times New Roman" w:cs="Times New Roman"/>
                <w:sz w:val="24"/>
                <w:szCs w:val="24"/>
                <w:u w:val="single"/>
              </w:rPr>
              <w:t>/</w:t>
            </w:r>
            <w:r w:rsidRPr="002774A7">
              <w:rPr>
                <w:rFonts w:ascii="Times New Roman" w:eastAsia="Times New Roman" w:hAnsi="Times New Roman" w:cs="Times New Roman"/>
                <w:sz w:val="24"/>
                <w:szCs w:val="24"/>
                <w:u w:val="single"/>
                <w:lang w:val="en-US"/>
              </w:rPr>
              <w:t>info</w:t>
            </w:r>
            <w:r w:rsidRPr="002774A7">
              <w:rPr>
                <w:rFonts w:ascii="Times New Roman" w:eastAsia="Times New Roman" w:hAnsi="Times New Roman" w:cs="Times New Roman"/>
                <w:sz w:val="24"/>
                <w:szCs w:val="24"/>
                <w:u w:val="single"/>
              </w:rPr>
              <w:t xml:space="preserve"> – Дата обращения 17.02.2019</w:t>
            </w:r>
            <w:r w:rsidRPr="002774A7">
              <w:rPr>
                <w:rFonts w:ascii="Times New Roman" w:eastAsia="Times New Roman" w:hAnsi="Times New Roman" w:cs="Times New Roman"/>
                <w:sz w:val="24"/>
                <w:szCs w:val="24"/>
              </w:rPr>
              <w:t xml:space="preserve"> г.</w:t>
            </w:r>
          </w:p>
        </w:tc>
      </w:tr>
      <w:tr w:rsidR="002774A7" w:rsidRPr="002774A7" w:rsidTr="00665C78">
        <w:trPr>
          <w:jc w:val="center"/>
        </w:trPr>
        <w:tc>
          <w:tcPr>
            <w:tcW w:w="293" w:type="pct"/>
          </w:tcPr>
          <w:p w:rsidR="002774A7" w:rsidRPr="002774A7" w:rsidRDefault="002774A7" w:rsidP="002774A7">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2774A7" w:rsidRPr="002774A7" w:rsidRDefault="002774A7" w:rsidP="002774A7">
            <w:pPr>
              <w:spacing w:after="0" w:line="240" w:lineRule="auto"/>
              <w:jc w:val="both"/>
              <w:textAlignment w:val="top"/>
              <w:rPr>
                <w:rFonts w:ascii="Times New Roman" w:eastAsia="Times New Roman" w:hAnsi="Times New Roman" w:cs="Times New Roman"/>
                <w:sz w:val="24"/>
                <w:szCs w:val="24"/>
              </w:rPr>
            </w:pPr>
            <w:r w:rsidRPr="002774A7">
              <w:rPr>
                <w:rFonts w:ascii="Times New Roman" w:eastAsia="Times New Roman" w:hAnsi="Times New Roman" w:cs="Times New Roman"/>
                <w:sz w:val="24"/>
                <w:szCs w:val="24"/>
              </w:rPr>
              <w:t>Городникова, Н. В. Индикаторы инновационной деятельности: 2018. Статистический сборник / Национальный исследовательский университет «Высшая школа экономики» / Н. В. Городникова, Л. М. Гохберг, К. А. Дитковский, – Москва: НИУ ВШЭ, 2018. – 344 с.</w:t>
            </w:r>
          </w:p>
        </w:tc>
      </w:tr>
      <w:tr w:rsidR="002774A7" w:rsidRPr="002774A7" w:rsidTr="00665C78">
        <w:trPr>
          <w:jc w:val="center"/>
        </w:trPr>
        <w:tc>
          <w:tcPr>
            <w:tcW w:w="293" w:type="pct"/>
          </w:tcPr>
          <w:p w:rsidR="002774A7" w:rsidRPr="002774A7" w:rsidRDefault="002774A7" w:rsidP="002774A7">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2774A7" w:rsidRPr="002774A7" w:rsidRDefault="002774A7" w:rsidP="002774A7">
            <w:pPr>
              <w:spacing w:after="0" w:line="240" w:lineRule="auto"/>
              <w:jc w:val="both"/>
              <w:textAlignment w:val="top"/>
              <w:rPr>
                <w:rFonts w:ascii="Times New Roman" w:eastAsia="Times New Roman" w:hAnsi="Times New Roman" w:cs="Times New Roman"/>
                <w:sz w:val="24"/>
                <w:szCs w:val="24"/>
              </w:rPr>
            </w:pPr>
            <w:r w:rsidRPr="002774A7">
              <w:rPr>
                <w:rFonts w:ascii="Times New Roman" w:eastAsia="Times New Roman" w:hAnsi="Times New Roman" w:cs="Times New Roman"/>
                <w:sz w:val="24"/>
                <w:szCs w:val="24"/>
              </w:rPr>
              <w:t xml:space="preserve">Долгосрочный прогноз научно-технологического развития Российской Федерации (до 2025 года) // Федеральный портал protown.ru URL </w:t>
            </w:r>
            <w:r w:rsidRPr="002774A7">
              <w:rPr>
                <w:rFonts w:ascii="Times New Roman" w:eastAsia="MS Mincho" w:hAnsi="Times New Roman" w:cs="Times New Roman"/>
                <w:sz w:val="24"/>
                <w:szCs w:val="24"/>
                <w:lang w:eastAsia="ar-SA"/>
              </w:rPr>
              <w:t>[Электронный ресурс]. – Режим доступа</w:t>
            </w:r>
            <w:r w:rsidRPr="002774A7">
              <w:rPr>
                <w:rFonts w:ascii="Times New Roman" w:eastAsia="Times New Roman" w:hAnsi="Times New Roman" w:cs="Times New Roman"/>
                <w:sz w:val="24"/>
                <w:szCs w:val="24"/>
              </w:rPr>
              <w:t xml:space="preserve"> </w:t>
            </w:r>
            <w:r w:rsidRPr="002774A7">
              <w:rPr>
                <w:rFonts w:ascii="Times New Roman" w:eastAsia="Times New Roman" w:hAnsi="Times New Roman" w:cs="Times New Roman"/>
                <w:sz w:val="24"/>
                <w:szCs w:val="24"/>
                <w:u w:val="single"/>
              </w:rPr>
              <w:t>http://protown.ru/information/doc/4295.html – Дата обращения 17.02.2019</w:t>
            </w:r>
            <w:r w:rsidRPr="002774A7">
              <w:rPr>
                <w:rFonts w:ascii="Times New Roman" w:eastAsia="Times New Roman" w:hAnsi="Times New Roman" w:cs="Times New Roman"/>
                <w:sz w:val="24"/>
                <w:szCs w:val="24"/>
              </w:rPr>
              <w:t xml:space="preserve"> г.</w:t>
            </w:r>
          </w:p>
        </w:tc>
      </w:tr>
    </w:tbl>
    <w:p w:rsidR="00527BFF" w:rsidRDefault="00527BFF">
      <w:bookmarkStart w:id="8" w:name="_GoBack"/>
      <w:bookmarkEnd w:id="8"/>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2368A"/>
    <w:multiLevelType w:val="hybridMultilevel"/>
    <w:tmpl w:val="EC0AD96A"/>
    <w:lvl w:ilvl="0" w:tplc="3FD2AFE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A7"/>
    <w:rsid w:val="002774A7"/>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4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7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4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7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F:\2019\cnfnmz.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2019\cnfnmz.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2019\cnfnmz.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2019\cnfnmz.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2019\cnfnmz.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1089;&#1090;&#1072;&#1090;&#1100;&#1103;\cnfnmz.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cat>
            <c:numRef>
              <c:f>Лист2!$A$1:$A$14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Лист2!$B$1:$B$14</c:f>
              <c:numCache>
                <c:formatCode>General</c:formatCode>
                <c:ptCount val="14"/>
                <c:pt idx="0">
                  <c:v>48</c:v>
                </c:pt>
                <c:pt idx="1">
                  <c:v>51</c:v>
                </c:pt>
                <c:pt idx="2">
                  <c:v>56</c:v>
                </c:pt>
                <c:pt idx="3">
                  <c:v>71</c:v>
                </c:pt>
                <c:pt idx="4">
                  <c:v>62</c:v>
                </c:pt>
                <c:pt idx="5">
                  <c:v>64</c:v>
                </c:pt>
                <c:pt idx="6">
                  <c:v>56</c:v>
                </c:pt>
                <c:pt idx="7">
                  <c:v>51</c:v>
                </c:pt>
                <c:pt idx="8">
                  <c:v>62</c:v>
                </c:pt>
                <c:pt idx="9">
                  <c:v>49</c:v>
                </c:pt>
                <c:pt idx="10">
                  <c:v>48</c:v>
                </c:pt>
                <c:pt idx="11">
                  <c:v>43</c:v>
                </c:pt>
                <c:pt idx="12">
                  <c:v>45</c:v>
                </c:pt>
                <c:pt idx="13">
                  <c:v>46</c:v>
                </c:pt>
              </c:numCache>
            </c:numRef>
          </c:val>
          <c:smooth val="0"/>
          <c:extLst xmlns:c16r2="http://schemas.microsoft.com/office/drawing/2015/06/chart">
            <c:ext xmlns:c16="http://schemas.microsoft.com/office/drawing/2014/chart" uri="{C3380CC4-5D6E-409C-BE32-E72D297353CC}">
              <c16:uniqueId val="{00000000-026A-4B16-93A7-ADFC00DC20B5}"/>
            </c:ext>
          </c:extLst>
        </c:ser>
        <c:dLbls>
          <c:showLegendKey val="0"/>
          <c:showVal val="0"/>
          <c:showCatName val="0"/>
          <c:showSerName val="0"/>
          <c:showPercent val="0"/>
          <c:showBubbleSize val="0"/>
        </c:dLbls>
        <c:marker val="1"/>
        <c:smooth val="0"/>
        <c:axId val="449928192"/>
        <c:axId val="511695040"/>
      </c:lineChart>
      <c:catAx>
        <c:axId val="449928192"/>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1695040"/>
        <c:crosses val="autoZero"/>
        <c:auto val="1"/>
        <c:lblAlgn val="ctr"/>
        <c:lblOffset val="100"/>
        <c:noMultiLvlLbl val="0"/>
      </c:catAx>
      <c:valAx>
        <c:axId val="511695040"/>
        <c:scaling>
          <c:orientation val="minMax"/>
        </c:scaling>
        <c:delete val="0"/>
        <c:axPos val="l"/>
        <c:majorGridlines/>
        <c:title>
          <c:tx>
            <c:rich>
              <a:bodyPr/>
              <a:lstStyle/>
              <a:p>
                <a:pPr>
                  <a:defRPr b="0">
                    <a:latin typeface="Times New Roman" panose="02020603050405020304" pitchFamily="18" charset="0"/>
                    <a:cs typeface="Times New Roman" panose="02020603050405020304" pitchFamily="18" charset="0"/>
                  </a:defRPr>
                </a:pPr>
                <a:r>
                  <a:rPr lang="ru-RU" b="0">
                    <a:latin typeface="Times New Roman" panose="02020603050405020304" pitchFamily="18" charset="0"/>
                    <a:cs typeface="Times New Roman" panose="02020603050405020304" pitchFamily="18" charset="0"/>
                  </a:rPr>
                  <a:t>Место</a:t>
                </a:r>
                <a:r>
                  <a:rPr lang="ru-RU" b="0" baseline="0">
                    <a:latin typeface="Times New Roman" panose="02020603050405020304" pitchFamily="18" charset="0"/>
                    <a:cs typeface="Times New Roman" panose="02020603050405020304" pitchFamily="18" charset="0"/>
                  </a:rPr>
                  <a:t> в рейтинге</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crossAx val="449928192"/>
        <c:crosses val="autoZero"/>
        <c:crossBetween val="between"/>
      </c:valAx>
      <c:spPr>
        <a:ln>
          <a:solidFill>
            <a:schemeClr val="bg1"/>
          </a:solidFill>
        </a:ln>
      </c:spPr>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Лист1!$B$2:$B$8</c:f>
              <c:strCache>
                <c:ptCount val="1"/>
                <c:pt idx="0">
                  <c:v>Швейцария Нидерланды Швеция Великобритания Сингапур США Финляндия</c:v>
                </c:pt>
              </c:strCache>
            </c:strRef>
          </c:tx>
          <c:invertIfNegative val="0"/>
          <c:dLbls>
            <c:numFmt formatCode="General" sourceLinked="0"/>
            <c:spPr>
              <a:noFill/>
              <a:ln>
                <a:noFill/>
              </a:ln>
              <a:effectLst/>
            </c:spPr>
            <c:txPr>
              <a:bodyPr/>
              <a:lstStyle/>
              <a:p>
                <a:pPr>
                  <a:defRPr sz="7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Лист1!$B$2:$B$26</c:f>
              <c:strCache>
                <c:ptCount val="25"/>
                <c:pt idx="0">
                  <c:v>Швейцария</c:v>
                </c:pt>
                <c:pt idx="1">
                  <c:v>Нидерланды</c:v>
                </c:pt>
                <c:pt idx="2">
                  <c:v>Швеция</c:v>
                </c:pt>
                <c:pt idx="3">
                  <c:v>Великобритания</c:v>
                </c:pt>
                <c:pt idx="4">
                  <c:v>Сингапур</c:v>
                </c:pt>
                <c:pt idx="5">
                  <c:v>США</c:v>
                </c:pt>
                <c:pt idx="6">
                  <c:v>Финляндия</c:v>
                </c:pt>
                <c:pt idx="7">
                  <c:v>Дания</c:v>
                </c:pt>
                <c:pt idx="8">
                  <c:v>Германия</c:v>
                </c:pt>
                <c:pt idx="9">
                  <c:v>Ирландия</c:v>
                </c:pt>
                <c:pt idx="10">
                  <c:v>Израиль</c:v>
                </c:pt>
                <c:pt idx="11">
                  <c:v>Южная Корея</c:v>
                </c:pt>
                <c:pt idx="12">
                  <c:v>Япония</c:v>
                </c:pt>
                <c:pt idx="13">
                  <c:v>Гонконг</c:v>
                </c:pt>
                <c:pt idx="14">
                  <c:v>Люксембург</c:v>
                </c:pt>
                <c:pt idx="15">
                  <c:v>Франция</c:v>
                </c:pt>
                <c:pt idx="16">
                  <c:v>Китай</c:v>
                </c:pt>
                <c:pt idx="17">
                  <c:v>Канада</c:v>
                </c:pt>
                <c:pt idx="18">
                  <c:v>Норвегия</c:v>
                </c:pt>
                <c:pt idx="19">
                  <c:v>Австралия</c:v>
                </c:pt>
                <c:pt idx="20">
                  <c:v>Греция</c:v>
                </c:pt>
                <c:pt idx="21">
                  <c:v>Украина</c:v>
                </c:pt>
                <c:pt idx="22">
                  <c:v>Таиланд</c:v>
                </c:pt>
                <c:pt idx="23">
                  <c:v>Вьетнам</c:v>
                </c:pt>
                <c:pt idx="24">
                  <c:v>Россия</c:v>
                </c:pt>
              </c:strCache>
            </c:strRef>
          </c:cat>
          <c:val>
            <c:numRef>
              <c:f>Лист1!$C$2:$C$26</c:f>
              <c:numCache>
                <c:formatCode>0.00</c:formatCode>
                <c:ptCount val="25"/>
                <c:pt idx="0">
                  <c:v>68.400000000000006</c:v>
                </c:pt>
                <c:pt idx="1">
                  <c:v>63.3</c:v>
                </c:pt>
                <c:pt idx="2">
                  <c:v>63.1</c:v>
                </c:pt>
                <c:pt idx="3">
                  <c:v>60.1</c:v>
                </c:pt>
                <c:pt idx="4">
                  <c:v>59.8</c:v>
                </c:pt>
                <c:pt idx="5">
                  <c:v>59.8</c:v>
                </c:pt>
                <c:pt idx="6">
                  <c:v>59.6</c:v>
                </c:pt>
                <c:pt idx="7">
                  <c:v>58.4</c:v>
                </c:pt>
                <c:pt idx="8">
                  <c:v>58</c:v>
                </c:pt>
                <c:pt idx="9">
                  <c:v>57.2</c:v>
                </c:pt>
                <c:pt idx="10">
                  <c:v>56.8</c:v>
                </c:pt>
                <c:pt idx="11">
                  <c:v>56.6</c:v>
                </c:pt>
                <c:pt idx="12">
                  <c:v>55</c:v>
                </c:pt>
                <c:pt idx="13">
                  <c:v>54.6</c:v>
                </c:pt>
                <c:pt idx="14">
                  <c:v>54.5</c:v>
                </c:pt>
                <c:pt idx="15">
                  <c:v>54.4</c:v>
                </c:pt>
                <c:pt idx="16">
                  <c:v>53.1</c:v>
                </c:pt>
                <c:pt idx="17">
                  <c:v>53</c:v>
                </c:pt>
                <c:pt idx="18">
                  <c:v>52.6</c:v>
                </c:pt>
                <c:pt idx="19">
                  <c:v>52</c:v>
                </c:pt>
                <c:pt idx="20">
                  <c:v>38.9</c:v>
                </c:pt>
                <c:pt idx="21">
                  <c:v>38.5</c:v>
                </c:pt>
                <c:pt idx="22">
                  <c:v>38</c:v>
                </c:pt>
                <c:pt idx="23">
                  <c:v>37.9</c:v>
                </c:pt>
                <c:pt idx="24">
                  <c:v>37.9</c:v>
                </c:pt>
              </c:numCache>
            </c:numRef>
          </c:val>
          <c:extLst xmlns:c16r2="http://schemas.microsoft.com/office/drawing/2015/06/chart">
            <c:ext xmlns:c16="http://schemas.microsoft.com/office/drawing/2014/chart" uri="{C3380CC4-5D6E-409C-BE32-E72D297353CC}">
              <c16:uniqueId val="{00000000-0D7D-4BB9-8F4B-D1B680929502}"/>
            </c:ext>
          </c:extLst>
        </c:ser>
        <c:dLbls>
          <c:showLegendKey val="0"/>
          <c:showVal val="1"/>
          <c:showCatName val="0"/>
          <c:showSerName val="0"/>
          <c:showPercent val="0"/>
          <c:showBubbleSize val="0"/>
        </c:dLbls>
        <c:gapWidth val="75"/>
        <c:axId val="452237312"/>
        <c:axId val="398083776"/>
      </c:barChart>
      <c:catAx>
        <c:axId val="452237312"/>
        <c:scaling>
          <c:orientation val="minMax"/>
        </c:scaling>
        <c:delete val="0"/>
        <c:axPos val="b"/>
        <c:numFmt formatCode="General" sourceLinked="0"/>
        <c:majorTickMark val="none"/>
        <c:minorTickMark val="none"/>
        <c:tickLblPos val="nextTo"/>
        <c:txPr>
          <a:bodyPr rot="-5400000" vert="horz"/>
          <a:lstStyle/>
          <a:p>
            <a:pPr>
              <a:defRPr>
                <a:latin typeface="Times New Roman" panose="02020603050405020304" pitchFamily="18" charset="0"/>
                <a:cs typeface="Times New Roman" panose="02020603050405020304" pitchFamily="18" charset="0"/>
              </a:defRPr>
            </a:pPr>
            <a:endParaRPr lang="ru-RU"/>
          </a:p>
        </c:txPr>
        <c:crossAx val="398083776"/>
        <c:crosses val="autoZero"/>
        <c:auto val="1"/>
        <c:lblAlgn val="ctr"/>
        <c:lblOffset val="100"/>
        <c:noMultiLvlLbl val="0"/>
      </c:catAx>
      <c:valAx>
        <c:axId val="398083776"/>
        <c:scaling>
          <c:orientation val="minMax"/>
        </c:scaling>
        <c:delete val="0"/>
        <c:axPos val="l"/>
        <c:numFmt formatCode="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52237312"/>
        <c:crosses val="autoZero"/>
        <c:crossBetween val="between"/>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Лист3!$A$5</c:f>
              <c:strCache>
                <c:ptCount val="1"/>
                <c:pt idx="0">
                  <c:v>Промышленность всего</c:v>
                </c:pt>
              </c:strCache>
            </c:strRef>
          </c:tx>
          <c:spPr>
            <a:ln w="25400"/>
          </c:spPr>
          <c:marker>
            <c:symbol val="circle"/>
            <c:size val="5"/>
          </c:marker>
          <c:cat>
            <c:numRef>
              <c:f>Лист3!$B$4:$J$4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Лист3!$B$5:$J$5</c:f>
              <c:numCache>
                <c:formatCode>General</c:formatCode>
                <c:ptCount val="9"/>
                <c:pt idx="0">
                  <c:v>107.3</c:v>
                </c:pt>
                <c:pt idx="1">
                  <c:v>105</c:v>
                </c:pt>
                <c:pt idx="2">
                  <c:v>103.4</c:v>
                </c:pt>
                <c:pt idx="3">
                  <c:v>100.4</c:v>
                </c:pt>
                <c:pt idx="4">
                  <c:v>101.7</c:v>
                </c:pt>
                <c:pt idx="5">
                  <c:v>96.6</c:v>
                </c:pt>
                <c:pt idx="6">
                  <c:v>101.1</c:v>
                </c:pt>
                <c:pt idx="7">
                  <c:v>102</c:v>
                </c:pt>
                <c:pt idx="8">
                  <c:v>105</c:v>
                </c:pt>
              </c:numCache>
            </c:numRef>
          </c:val>
          <c:smooth val="0"/>
          <c:extLst xmlns:c16r2="http://schemas.microsoft.com/office/drawing/2015/06/chart">
            <c:ext xmlns:c16="http://schemas.microsoft.com/office/drawing/2014/chart" uri="{C3380CC4-5D6E-409C-BE32-E72D297353CC}">
              <c16:uniqueId val="{00000000-B4FE-471B-8FA7-EF0D6D804FD8}"/>
            </c:ext>
          </c:extLst>
        </c:ser>
        <c:ser>
          <c:idx val="1"/>
          <c:order val="1"/>
          <c:tx>
            <c:strRef>
              <c:f>Лист3!$A$6</c:f>
              <c:strCache>
                <c:ptCount val="1"/>
                <c:pt idx="0">
                  <c:v>Обрабатывающая промышленность</c:v>
                </c:pt>
              </c:strCache>
            </c:strRef>
          </c:tx>
          <c:spPr>
            <a:ln w="25400"/>
          </c:spPr>
          <c:marker>
            <c:symbol val="circle"/>
            <c:size val="5"/>
          </c:marker>
          <c:cat>
            <c:numRef>
              <c:f>Лист3!$B$4:$J$4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Лист3!$B$6:$J$6</c:f>
              <c:numCache>
                <c:formatCode>General</c:formatCode>
                <c:ptCount val="9"/>
                <c:pt idx="0">
                  <c:v>79.099999999999994</c:v>
                </c:pt>
                <c:pt idx="1">
                  <c:v>87.2</c:v>
                </c:pt>
                <c:pt idx="2">
                  <c:v>94.3</c:v>
                </c:pt>
                <c:pt idx="3">
                  <c:v>100</c:v>
                </c:pt>
                <c:pt idx="4">
                  <c:v>100.4</c:v>
                </c:pt>
                <c:pt idx="5">
                  <c:v>93</c:v>
                </c:pt>
                <c:pt idx="6">
                  <c:v>99.1</c:v>
                </c:pt>
                <c:pt idx="7">
                  <c:v>100.3</c:v>
                </c:pt>
                <c:pt idx="8">
                  <c:v>103</c:v>
                </c:pt>
              </c:numCache>
            </c:numRef>
          </c:val>
          <c:smooth val="0"/>
          <c:extLst xmlns:c16r2="http://schemas.microsoft.com/office/drawing/2015/06/chart">
            <c:ext xmlns:c16="http://schemas.microsoft.com/office/drawing/2014/chart" uri="{C3380CC4-5D6E-409C-BE32-E72D297353CC}">
              <c16:uniqueId val="{00000001-B4FE-471B-8FA7-EF0D6D804FD8}"/>
            </c:ext>
          </c:extLst>
        </c:ser>
        <c:ser>
          <c:idx val="2"/>
          <c:order val="2"/>
          <c:tx>
            <c:strRef>
              <c:f>Лист3!$A$7</c:f>
              <c:strCache>
                <c:ptCount val="1"/>
                <c:pt idx="0">
                  <c:v>Добывающая промышленность</c:v>
                </c:pt>
              </c:strCache>
            </c:strRef>
          </c:tx>
          <c:spPr>
            <a:ln w="25400"/>
          </c:spPr>
          <c:marker>
            <c:symbol val="circle"/>
            <c:size val="5"/>
          </c:marker>
          <c:cat>
            <c:numRef>
              <c:f>Лист3!$B$4:$J$4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Лист3!$B$7:$J$7</c:f>
              <c:numCache>
                <c:formatCode>General</c:formatCode>
                <c:ptCount val="9"/>
                <c:pt idx="0">
                  <c:v>95.2</c:v>
                </c:pt>
                <c:pt idx="1">
                  <c:v>96</c:v>
                </c:pt>
                <c:pt idx="2">
                  <c:v>96</c:v>
                </c:pt>
                <c:pt idx="3">
                  <c:v>100</c:v>
                </c:pt>
                <c:pt idx="4">
                  <c:v>100.6</c:v>
                </c:pt>
                <c:pt idx="5">
                  <c:v>101.3</c:v>
                </c:pt>
                <c:pt idx="6">
                  <c:v>102</c:v>
                </c:pt>
                <c:pt idx="7">
                  <c:v>104</c:v>
                </c:pt>
                <c:pt idx="8">
                  <c:v>110</c:v>
                </c:pt>
              </c:numCache>
            </c:numRef>
          </c:val>
          <c:smooth val="0"/>
          <c:extLst xmlns:c16r2="http://schemas.microsoft.com/office/drawing/2015/06/chart">
            <c:ext xmlns:c16="http://schemas.microsoft.com/office/drawing/2014/chart" uri="{C3380CC4-5D6E-409C-BE32-E72D297353CC}">
              <c16:uniqueId val="{00000002-B4FE-471B-8FA7-EF0D6D804FD8}"/>
            </c:ext>
          </c:extLst>
        </c:ser>
        <c:ser>
          <c:idx val="3"/>
          <c:order val="3"/>
          <c:tx>
            <c:strRef>
              <c:f>Лист3!$A$8</c:f>
              <c:strCache>
                <c:ptCount val="1"/>
                <c:pt idx="0">
                  <c:v>Производство и распределение газа и воды</c:v>
                </c:pt>
              </c:strCache>
            </c:strRef>
          </c:tx>
          <c:spPr>
            <a:ln w="25400"/>
          </c:spPr>
          <c:marker>
            <c:symbol val="circle"/>
            <c:size val="5"/>
          </c:marker>
          <c:cat>
            <c:numRef>
              <c:f>Лист3!$B$4:$J$4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Лист3!$B$8:$J$8</c:f>
              <c:numCache>
                <c:formatCode>General</c:formatCode>
                <c:ptCount val="9"/>
                <c:pt idx="0">
                  <c:v>100.6</c:v>
                </c:pt>
                <c:pt idx="1">
                  <c:v>100.5</c:v>
                </c:pt>
                <c:pt idx="2">
                  <c:v>101.2</c:v>
                </c:pt>
                <c:pt idx="3">
                  <c:v>100</c:v>
                </c:pt>
                <c:pt idx="4">
                  <c:v>100.2</c:v>
                </c:pt>
                <c:pt idx="5">
                  <c:v>100</c:v>
                </c:pt>
                <c:pt idx="6">
                  <c:v>101.2</c:v>
                </c:pt>
                <c:pt idx="7">
                  <c:v>101.6</c:v>
                </c:pt>
                <c:pt idx="8">
                  <c:v>103</c:v>
                </c:pt>
              </c:numCache>
            </c:numRef>
          </c:val>
          <c:smooth val="0"/>
          <c:extLst xmlns:c16r2="http://schemas.microsoft.com/office/drawing/2015/06/chart">
            <c:ext xmlns:c16="http://schemas.microsoft.com/office/drawing/2014/chart" uri="{C3380CC4-5D6E-409C-BE32-E72D297353CC}">
              <c16:uniqueId val="{00000003-B4FE-471B-8FA7-EF0D6D804FD8}"/>
            </c:ext>
          </c:extLst>
        </c:ser>
        <c:ser>
          <c:idx val="4"/>
          <c:order val="4"/>
          <c:tx>
            <c:strRef>
              <c:f>Лист3!$A$9</c:f>
              <c:strCache>
                <c:ptCount val="1"/>
                <c:pt idx="0">
                  <c:v>Водоснабжение, ликвидация загрязнений</c:v>
                </c:pt>
              </c:strCache>
            </c:strRef>
          </c:tx>
          <c:spPr>
            <a:ln w="25400"/>
          </c:spPr>
          <c:marker>
            <c:symbol val="circle"/>
            <c:size val="5"/>
          </c:marker>
          <c:val>
            <c:numRef>
              <c:f>Лист3!$B$9:$J$9</c:f>
              <c:numCache>
                <c:formatCode>General</c:formatCode>
                <c:ptCount val="9"/>
                <c:pt idx="0">
                  <c:v>87.2</c:v>
                </c:pt>
                <c:pt idx="1">
                  <c:v>94.3</c:v>
                </c:pt>
                <c:pt idx="2">
                  <c:v>98.5</c:v>
                </c:pt>
                <c:pt idx="3">
                  <c:v>100</c:v>
                </c:pt>
                <c:pt idx="4">
                  <c:v>97</c:v>
                </c:pt>
                <c:pt idx="5">
                  <c:v>93.1</c:v>
                </c:pt>
                <c:pt idx="6">
                  <c:v>94.2</c:v>
                </c:pt>
                <c:pt idx="7">
                  <c:v>92.3</c:v>
                </c:pt>
                <c:pt idx="8">
                  <c:v>90</c:v>
                </c:pt>
              </c:numCache>
            </c:numRef>
          </c:val>
          <c:smooth val="0"/>
          <c:extLst xmlns:c16r2="http://schemas.microsoft.com/office/drawing/2015/06/chart">
            <c:ext xmlns:c16="http://schemas.microsoft.com/office/drawing/2014/chart" uri="{C3380CC4-5D6E-409C-BE32-E72D297353CC}">
              <c16:uniqueId val="{00000004-B4FE-471B-8FA7-EF0D6D804FD8}"/>
            </c:ext>
          </c:extLst>
        </c:ser>
        <c:dLbls>
          <c:showLegendKey val="0"/>
          <c:showVal val="0"/>
          <c:showCatName val="0"/>
          <c:showSerName val="0"/>
          <c:showPercent val="0"/>
          <c:showBubbleSize val="0"/>
        </c:dLbls>
        <c:marker val="1"/>
        <c:smooth val="0"/>
        <c:axId val="475739648"/>
        <c:axId val="398085504"/>
      </c:lineChart>
      <c:catAx>
        <c:axId val="475739648"/>
        <c:scaling>
          <c:orientation val="minMax"/>
        </c:scaling>
        <c:delete val="0"/>
        <c:axPos val="b"/>
        <c:numFmt formatCode="General" sourceLinked="1"/>
        <c:majorTickMark val="none"/>
        <c:minorTickMark val="none"/>
        <c:tickLblPos val="nextTo"/>
        <c:crossAx val="398085504"/>
        <c:crosses val="autoZero"/>
        <c:auto val="1"/>
        <c:lblAlgn val="ctr"/>
        <c:lblOffset val="100"/>
        <c:noMultiLvlLbl val="0"/>
      </c:catAx>
      <c:valAx>
        <c:axId val="398085504"/>
        <c:scaling>
          <c:orientation val="minMax"/>
        </c:scaling>
        <c:delete val="0"/>
        <c:axPos val="l"/>
        <c:majorGridlines/>
        <c:title>
          <c:tx>
            <c:rich>
              <a:bodyPr/>
              <a:lstStyle/>
              <a:p>
                <a:pPr>
                  <a:defRPr b="0">
                    <a:latin typeface="Times New Roman" panose="02020603050405020304" pitchFamily="18" charset="0"/>
                    <a:cs typeface="Times New Roman" panose="02020603050405020304" pitchFamily="18" charset="0"/>
                  </a:defRPr>
                </a:pPr>
                <a:r>
                  <a:rPr lang="ru-RU" b="0">
                    <a:latin typeface="Times New Roman" panose="02020603050405020304" pitchFamily="18" charset="0"/>
                    <a:cs typeface="Times New Roman" panose="02020603050405020304" pitchFamily="18" charset="0"/>
                  </a:rPr>
                  <a:t>2013 год = 100 %</a:t>
                </a:r>
              </a:p>
            </c:rich>
          </c:tx>
          <c:overlay val="0"/>
        </c:title>
        <c:numFmt formatCode="General" sourceLinked="1"/>
        <c:majorTickMark val="none"/>
        <c:minorTickMark val="none"/>
        <c:tickLblPos val="nextTo"/>
        <c:crossAx val="47573964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Лист4!$F$6</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Лист4!$B$3:$B$30</c:f>
              <c:strCache>
                <c:ptCount val="28"/>
                <c:pt idx="0">
                  <c:v>Россия</c:v>
                </c:pt>
                <c:pt idx="1">
                  <c:v>Швейцария</c:v>
                </c:pt>
                <c:pt idx="2">
                  <c:v>Бразилия </c:v>
                </c:pt>
                <c:pt idx="3">
                  <c:v>Германия </c:v>
                </c:pt>
                <c:pt idx="4">
                  <c:v>Австралия</c:v>
                </c:pt>
                <c:pt idx="5">
                  <c:v>Бельгия</c:v>
                </c:pt>
                <c:pt idx="6">
                  <c:v>Индия</c:v>
                </c:pt>
                <c:pt idx="7">
                  <c:v>Ирландия</c:v>
                </c:pt>
                <c:pt idx="8">
                  <c:v>Великобритания</c:v>
                </c:pt>
                <c:pt idx="9">
                  <c:v>Австрия</c:v>
                </c:pt>
                <c:pt idx="10">
                  <c:v>Исландия</c:v>
                </c:pt>
                <c:pt idx="11">
                  <c:v>Корея</c:v>
                </c:pt>
                <c:pt idx="12">
                  <c:v>орвегия</c:v>
                </c:pt>
                <c:pt idx="13">
                  <c:v>Франция</c:v>
                </c:pt>
                <c:pt idx="14">
                  <c:v>Нидерланды</c:v>
                </c:pt>
                <c:pt idx="15">
                  <c:v>Финляндия </c:v>
                </c:pt>
                <c:pt idx="16">
                  <c:v>Канада</c:v>
                </c:pt>
                <c:pt idx="17">
                  <c:v>Швеция</c:v>
                </c:pt>
                <c:pt idx="18">
                  <c:v>Португалия</c:v>
                </c:pt>
                <c:pt idx="19">
                  <c:v>Турция</c:v>
                </c:pt>
                <c:pt idx="20">
                  <c:v>Греция</c:v>
                </c:pt>
                <c:pt idx="21">
                  <c:v>Дания</c:v>
                </c:pt>
                <c:pt idx="22">
                  <c:v>Израиль</c:v>
                </c:pt>
                <c:pt idx="23">
                  <c:v>Италия</c:v>
                </c:pt>
                <c:pt idx="24">
                  <c:v>Словения</c:v>
                </c:pt>
                <c:pt idx="25">
                  <c:v>Япония</c:v>
                </c:pt>
                <c:pt idx="26">
                  <c:v>Литва</c:v>
                </c:pt>
                <c:pt idx="27">
                  <c:v>Китай</c:v>
                </c:pt>
              </c:strCache>
            </c:strRef>
          </c:cat>
          <c:val>
            <c:numRef>
              <c:f>Лист4!$F$7</c:f>
              <c:numCache>
                <c:formatCode>General</c:formatCode>
                <c:ptCount val="1"/>
              </c:numCache>
            </c:numRef>
          </c:val>
          <c:extLst xmlns:c16r2="http://schemas.microsoft.com/office/drawing/2015/06/chart">
            <c:ext xmlns:c16="http://schemas.microsoft.com/office/drawing/2014/chart" uri="{C3380CC4-5D6E-409C-BE32-E72D297353CC}">
              <c16:uniqueId val="{00000000-CEB6-4E14-AC2F-FD9269BE03B4}"/>
            </c:ext>
          </c:extLst>
        </c:ser>
        <c:ser>
          <c:idx val="1"/>
          <c:order val="1"/>
          <c:invertIfNegative val="0"/>
          <c:dLbls>
            <c:spPr>
              <a:noFill/>
              <a:ln>
                <a:noFill/>
              </a:ln>
              <a:effectLst/>
            </c:spPr>
            <c:txPr>
              <a:bodyPr/>
              <a:lstStyle/>
              <a:p>
                <a:pPr>
                  <a:defRPr sz="600">
                    <a:solidFill>
                      <a:schemeClr val="tx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Лист4!$B$3:$B$30</c:f>
              <c:strCache>
                <c:ptCount val="28"/>
                <c:pt idx="0">
                  <c:v>Россия</c:v>
                </c:pt>
                <c:pt idx="1">
                  <c:v>Швейцария</c:v>
                </c:pt>
                <c:pt idx="2">
                  <c:v>Бразилия </c:v>
                </c:pt>
                <c:pt idx="3">
                  <c:v>Германия </c:v>
                </c:pt>
                <c:pt idx="4">
                  <c:v>Австралия</c:v>
                </c:pt>
                <c:pt idx="5">
                  <c:v>Бельгия</c:v>
                </c:pt>
                <c:pt idx="6">
                  <c:v>Индия</c:v>
                </c:pt>
                <c:pt idx="7">
                  <c:v>Ирландия</c:v>
                </c:pt>
                <c:pt idx="8">
                  <c:v>Великобритания</c:v>
                </c:pt>
                <c:pt idx="9">
                  <c:v>Австрия</c:v>
                </c:pt>
                <c:pt idx="10">
                  <c:v>Исландия</c:v>
                </c:pt>
                <c:pt idx="11">
                  <c:v>Корея</c:v>
                </c:pt>
                <c:pt idx="12">
                  <c:v>орвегия</c:v>
                </c:pt>
                <c:pt idx="13">
                  <c:v>Франция</c:v>
                </c:pt>
                <c:pt idx="14">
                  <c:v>Нидерланды</c:v>
                </c:pt>
                <c:pt idx="15">
                  <c:v>Финляндия </c:v>
                </c:pt>
                <c:pt idx="16">
                  <c:v>Канада</c:v>
                </c:pt>
                <c:pt idx="17">
                  <c:v>Швеция</c:v>
                </c:pt>
                <c:pt idx="18">
                  <c:v>Португалия</c:v>
                </c:pt>
                <c:pt idx="19">
                  <c:v>Турция</c:v>
                </c:pt>
                <c:pt idx="20">
                  <c:v>Греция</c:v>
                </c:pt>
                <c:pt idx="21">
                  <c:v>Дания</c:v>
                </c:pt>
                <c:pt idx="22">
                  <c:v>Израиль</c:v>
                </c:pt>
                <c:pt idx="23">
                  <c:v>Италия</c:v>
                </c:pt>
                <c:pt idx="24">
                  <c:v>Словения</c:v>
                </c:pt>
                <c:pt idx="25">
                  <c:v>Япония</c:v>
                </c:pt>
                <c:pt idx="26">
                  <c:v>Литва</c:v>
                </c:pt>
                <c:pt idx="27">
                  <c:v>Китай</c:v>
                </c:pt>
              </c:strCache>
            </c:strRef>
          </c:cat>
          <c:val>
            <c:numRef>
              <c:f>Лист4!$C$3:$C$30</c:f>
              <c:numCache>
                <c:formatCode>General</c:formatCode>
                <c:ptCount val="28"/>
                <c:pt idx="0">
                  <c:v>10.5</c:v>
                </c:pt>
                <c:pt idx="1">
                  <c:v>75.3</c:v>
                </c:pt>
                <c:pt idx="2">
                  <c:v>72.599999999999994</c:v>
                </c:pt>
                <c:pt idx="3">
                  <c:v>67</c:v>
                </c:pt>
                <c:pt idx="4">
                  <c:v>66.3</c:v>
                </c:pt>
                <c:pt idx="5">
                  <c:v>64.2</c:v>
                </c:pt>
                <c:pt idx="6">
                  <c:v>63.7</c:v>
                </c:pt>
                <c:pt idx="7">
                  <c:v>61</c:v>
                </c:pt>
                <c:pt idx="8">
                  <c:v>60.2</c:v>
                </c:pt>
                <c:pt idx="9">
                  <c:v>59.5</c:v>
                </c:pt>
                <c:pt idx="10">
                  <c:v>59.2</c:v>
                </c:pt>
                <c:pt idx="11">
                  <c:v>57.7</c:v>
                </c:pt>
                <c:pt idx="12">
                  <c:v>57.6</c:v>
                </c:pt>
                <c:pt idx="13">
                  <c:v>56.4</c:v>
                </c:pt>
                <c:pt idx="14">
                  <c:v>55.3</c:v>
                </c:pt>
                <c:pt idx="15">
                  <c:v>55.3</c:v>
                </c:pt>
                <c:pt idx="16">
                  <c:v>54.8</c:v>
                </c:pt>
                <c:pt idx="17">
                  <c:v>54.2</c:v>
                </c:pt>
                <c:pt idx="18">
                  <c:v>54</c:v>
                </c:pt>
                <c:pt idx="19">
                  <c:v>51.3</c:v>
                </c:pt>
                <c:pt idx="20">
                  <c:v>51</c:v>
                </c:pt>
                <c:pt idx="21">
                  <c:v>49.5</c:v>
                </c:pt>
                <c:pt idx="22">
                  <c:v>49</c:v>
                </c:pt>
                <c:pt idx="23">
                  <c:v>48.7</c:v>
                </c:pt>
                <c:pt idx="24">
                  <c:v>45.9</c:v>
                </c:pt>
                <c:pt idx="25">
                  <c:v>44.9</c:v>
                </c:pt>
                <c:pt idx="26">
                  <c:v>43.3</c:v>
                </c:pt>
                <c:pt idx="27">
                  <c:v>41.3</c:v>
                </c:pt>
              </c:numCache>
            </c:numRef>
          </c:val>
          <c:extLst xmlns:c16r2="http://schemas.microsoft.com/office/drawing/2015/06/chart">
            <c:ext xmlns:c16="http://schemas.microsoft.com/office/drawing/2014/chart" uri="{C3380CC4-5D6E-409C-BE32-E72D297353CC}">
              <c16:uniqueId val="{00000001-CEB6-4E14-AC2F-FD9269BE03B4}"/>
            </c:ext>
          </c:extLst>
        </c:ser>
        <c:dLbls>
          <c:showLegendKey val="0"/>
          <c:showVal val="1"/>
          <c:showCatName val="0"/>
          <c:showSerName val="0"/>
          <c:showPercent val="0"/>
          <c:showBubbleSize val="0"/>
        </c:dLbls>
        <c:gapWidth val="75"/>
        <c:axId val="477070848"/>
        <c:axId val="398087232"/>
      </c:barChart>
      <c:catAx>
        <c:axId val="477070848"/>
        <c:scaling>
          <c:orientation val="minMax"/>
        </c:scaling>
        <c:delete val="0"/>
        <c:axPos val="b"/>
        <c:numFmt formatCode="General" sourceLinked="0"/>
        <c:majorTickMark val="none"/>
        <c:minorTickMark val="none"/>
        <c:tickLblPos val="nextTo"/>
        <c:txPr>
          <a:bodyPr rot="-5400000" vert="horz"/>
          <a:lstStyle/>
          <a:p>
            <a:pPr>
              <a:defRPr/>
            </a:pPr>
            <a:endParaRPr lang="ru-RU"/>
          </a:p>
        </c:txPr>
        <c:crossAx val="398087232"/>
        <c:crosses val="autoZero"/>
        <c:auto val="1"/>
        <c:lblAlgn val="ctr"/>
        <c:lblOffset val="100"/>
        <c:noMultiLvlLbl val="0"/>
      </c:catAx>
      <c:valAx>
        <c:axId val="398087232"/>
        <c:scaling>
          <c:orientation val="minMax"/>
        </c:scaling>
        <c:delete val="0"/>
        <c:axPos val="l"/>
        <c:numFmt formatCode="General" sourceLinked="1"/>
        <c:majorTickMark val="none"/>
        <c:minorTickMark val="none"/>
        <c:tickLblPos val="nextTo"/>
        <c:crossAx val="477070848"/>
        <c:crosses val="autoZero"/>
        <c:crossBetween val="between"/>
      </c:valAx>
    </c:plotArea>
    <c:plotVisOnly val="1"/>
    <c:dispBlanksAs val="gap"/>
    <c:showDLblsOverMax val="0"/>
  </c:chart>
  <c:spPr>
    <a:ln>
      <a:solidFill>
        <a:schemeClr val="bg1"/>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63500324512313E-2"/>
          <c:y val="2.6229508196721311E-2"/>
          <c:w val="0.92533441095912783"/>
          <c:h val="0.4482116948496192"/>
        </c:manualLayout>
      </c:layout>
      <c:barChart>
        <c:barDir val="col"/>
        <c:grouping val="clustered"/>
        <c:varyColors val="0"/>
        <c:ser>
          <c:idx val="0"/>
          <c:order val="0"/>
          <c:invertIfNegative val="0"/>
          <c:dLbls>
            <c:dLbl>
              <c:idx val="0"/>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dLbl>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Лист5!$A$11:$A$22</c:f>
              <c:strCache>
                <c:ptCount val="12"/>
                <c:pt idx="0">
                  <c:v>Химическое производство </c:v>
                </c:pt>
                <c:pt idx="1">
                  <c:v>Производство электрооборудования</c:v>
                </c:pt>
                <c:pt idx="2">
                  <c:v>Производство автомобилей</c:v>
                </c:pt>
                <c:pt idx="3">
                  <c:v>Производство нефтепродуктов</c:v>
                </c:pt>
                <c:pt idx="4">
                  <c:v>Металлургическое производство</c:v>
                </c:pt>
                <c:pt idx="5">
                  <c:v>Производство табачных изделий</c:v>
                </c:pt>
                <c:pt idx="6">
                  <c:v>Текстильное производство </c:v>
                </c:pt>
                <c:pt idx="7">
                  <c:v>Производство фармацевтической продукции</c:v>
                </c:pt>
                <c:pt idx="8">
                  <c:v>Производство вычислительной техники</c:v>
                </c:pt>
                <c:pt idx="9">
                  <c:v>Производство электронных компонентов</c:v>
                </c:pt>
                <c:pt idx="10">
                  <c:v>Производство медицинских изделий </c:v>
                </c:pt>
                <c:pt idx="11">
                  <c:v>Производство летальных аппаратов</c:v>
                </c:pt>
              </c:strCache>
            </c:strRef>
          </c:cat>
          <c:val>
            <c:numRef>
              <c:f>Лист5!$B$11:$B$22</c:f>
              <c:numCache>
                <c:formatCode>General</c:formatCode>
                <c:ptCount val="12"/>
                <c:pt idx="0">
                  <c:v>21.8</c:v>
                </c:pt>
                <c:pt idx="1">
                  <c:v>20.8</c:v>
                </c:pt>
                <c:pt idx="2">
                  <c:v>22.9</c:v>
                </c:pt>
                <c:pt idx="3">
                  <c:v>22.2</c:v>
                </c:pt>
                <c:pt idx="4">
                  <c:v>19.7</c:v>
                </c:pt>
                <c:pt idx="5">
                  <c:v>31.8</c:v>
                </c:pt>
                <c:pt idx="6">
                  <c:v>16</c:v>
                </c:pt>
                <c:pt idx="7">
                  <c:v>35.6</c:v>
                </c:pt>
                <c:pt idx="8">
                  <c:v>23.4</c:v>
                </c:pt>
                <c:pt idx="9">
                  <c:v>37.5</c:v>
                </c:pt>
                <c:pt idx="10">
                  <c:v>26.1</c:v>
                </c:pt>
                <c:pt idx="11">
                  <c:v>32.700000000000003</c:v>
                </c:pt>
              </c:numCache>
            </c:numRef>
          </c:val>
          <c:extLst xmlns:c16r2="http://schemas.microsoft.com/office/drawing/2015/06/chart">
            <c:ext xmlns:c16="http://schemas.microsoft.com/office/drawing/2014/chart" uri="{C3380CC4-5D6E-409C-BE32-E72D297353CC}">
              <c16:uniqueId val="{00000001-F391-437E-A9E8-95487A90BEA8}"/>
            </c:ext>
          </c:extLst>
        </c:ser>
        <c:dLbls>
          <c:showLegendKey val="0"/>
          <c:showVal val="1"/>
          <c:showCatName val="0"/>
          <c:showSerName val="0"/>
          <c:showPercent val="0"/>
          <c:showBubbleSize val="0"/>
        </c:dLbls>
        <c:gapWidth val="75"/>
        <c:axId val="477072896"/>
        <c:axId val="398086080"/>
      </c:barChart>
      <c:catAx>
        <c:axId val="477072896"/>
        <c:scaling>
          <c:orientation val="minMax"/>
        </c:scaling>
        <c:delete val="0"/>
        <c:axPos val="b"/>
        <c:numFmt formatCode="General" sourceLinked="0"/>
        <c:majorTickMark val="none"/>
        <c:minorTickMark val="none"/>
        <c:tickLblPos val="low"/>
        <c:txPr>
          <a:bodyPr rot="-5400000" vert="horz"/>
          <a:lstStyle/>
          <a:p>
            <a:pPr>
              <a:defRPr sz="1000">
                <a:latin typeface="Times New Roman" panose="02020603050405020304" pitchFamily="18" charset="0"/>
                <a:cs typeface="Times New Roman" panose="02020603050405020304" pitchFamily="18" charset="0"/>
              </a:defRPr>
            </a:pPr>
            <a:endParaRPr lang="ru-RU"/>
          </a:p>
        </c:txPr>
        <c:crossAx val="398086080"/>
        <c:crosses val="autoZero"/>
        <c:auto val="0"/>
        <c:lblAlgn val="ctr"/>
        <c:lblOffset val="100"/>
        <c:tickLblSkip val="1"/>
        <c:noMultiLvlLbl val="0"/>
      </c:catAx>
      <c:valAx>
        <c:axId val="398086080"/>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77072896"/>
        <c:crosses val="autoZero"/>
        <c:crossBetween val="between"/>
      </c:valAx>
    </c:plotArea>
    <c:plotVisOnly val="1"/>
    <c:dispBlanksAs val="gap"/>
    <c:showDLblsOverMax val="0"/>
  </c:chart>
  <c:spPr>
    <a:ln>
      <a:solidFill>
        <a:schemeClr val="bg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Лист6!$C$8</c:f>
              <c:strCache>
                <c:ptCount val="1"/>
                <c:pt idx="0">
                  <c:v>Собственные средства организаций </c:v>
                </c:pt>
              </c:strCache>
            </c:strRef>
          </c:tx>
          <c:invertIfNegative val="0"/>
          <c:cat>
            <c:numRef>
              <c:f>Лист6!$D$3:$J$3</c:f>
              <c:numCache>
                <c:formatCode>General</c:formatCode>
                <c:ptCount val="7"/>
                <c:pt idx="0">
                  <c:v>2012</c:v>
                </c:pt>
                <c:pt idx="1">
                  <c:v>2013</c:v>
                </c:pt>
                <c:pt idx="2">
                  <c:v>2014</c:v>
                </c:pt>
                <c:pt idx="3">
                  <c:v>2015</c:v>
                </c:pt>
                <c:pt idx="4">
                  <c:v>2016</c:v>
                </c:pt>
                <c:pt idx="5">
                  <c:v>2017</c:v>
                </c:pt>
                <c:pt idx="6">
                  <c:v>2018</c:v>
                </c:pt>
              </c:numCache>
            </c:numRef>
          </c:cat>
          <c:val>
            <c:numRef>
              <c:f>Лист6!$D$8:$J$8</c:f>
              <c:numCache>
                <c:formatCode>General</c:formatCode>
                <c:ptCount val="7"/>
                <c:pt idx="0">
                  <c:v>69.099999999999994</c:v>
                </c:pt>
                <c:pt idx="1">
                  <c:v>69.599999999999994</c:v>
                </c:pt>
                <c:pt idx="2">
                  <c:v>73.3</c:v>
                </c:pt>
                <c:pt idx="3">
                  <c:v>63.4</c:v>
                </c:pt>
                <c:pt idx="4">
                  <c:v>65.599999999999994</c:v>
                </c:pt>
                <c:pt idx="5">
                  <c:v>69.3</c:v>
                </c:pt>
                <c:pt idx="6">
                  <c:v>62.1</c:v>
                </c:pt>
              </c:numCache>
            </c:numRef>
          </c:val>
          <c:extLst xmlns:c16r2="http://schemas.microsoft.com/office/drawing/2015/06/chart">
            <c:ext xmlns:c16="http://schemas.microsoft.com/office/drawing/2014/chart" uri="{C3380CC4-5D6E-409C-BE32-E72D297353CC}">
              <c16:uniqueId val="{00000000-6863-4F4C-8BBC-33C07A5CC01B}"/>
            </c:ext>
          </c:extLst>
        </c:ser>
        <c:ser>
          <c:idx val="1"/>
          <c:order val="1"/>
          <c:tx>
            <c:strRef>
              <c:f>Лист6!$C$7</c:f>
              <c:strCache>
                <c:ptCount val="1"/>
                <c:pt idx="0">
                  <c:v>Прочие средства </c:v>
                </c:pt>
              </c:strCache>
            </c:strRef>
          </c:tx>
          <c:invertIfNegative val="0"/>
          <c:cat>
            <c:numRef>
              <c:f>Лист6!$D$3:$J$3</c:f>
              <c:numCache>
                <c:formatCode>General</c:formatCode>
                <c:ptCount val="7"/>
                <c:pt idx="0">
                  <c:v>2012</c:v>
                </c:pt>
                <c:pt idx="1">
                  <c:v>2013</c:v>
                </c:pt>
                <c:pt idx="2">
                  <c:v>2014</c:v>
                </c:pt>
                <c:pt idx="3">
                  <c:v>2015</c:v>
                </c:pt>
                <c:pt idx="4">
                  <c:v>2016</c:v>
                </c:pt>
                <c:pt idx="5">
                  <c:v>2017</c:v>
                </c:pt>
                <c:pt idx="6">
                  <c:v>2018</c:v>
                </c:pt>
              </c:numCache>
            </c:numRef>
          </c:cat>
          <c:val>
            <c:numRef>
              <c:f>Лист6!$D$7:$J$7</c:f>
              <c:numCache>
                <c:formatCode>General</c:formatCode>
                <c:ptCount val="7"/>
                <c:pt idx="0">
                  <c:v>23.2</c:v>
                </c:pt>
                <c:pt idx="1">
                  <c:v>24.3</c:v>
                </c:pt>
                <c:pt idx="2">
                  <c:v>15.9</c:v>
                </c:pt>
                <c:pt idx="3">
                  <c:v>29.5</c:v>
                </c:pt>
                <c:pt idx="4">
                  <c:v>27.6</c:v>
                </c:pt>
                <c:pt idx="5">
                  <c:v>20.3</c:v>
                </c:pt>
                <c:pt idx="6">
                  <c:v>19.399999999999999</c:v>
                </c:pt>
              </c:numCache>
            </c:numRef>
          </c:val>
          <c:extLst xmlns:c16r2="http://schemas.microsoft.com/office/drawing/2015/06/chart">
            <c:ext xmlns:c16="http://schemas.microsoft.com/office/drawing/2014/chart" uri="{C3380CC4-5D6E-409C-BE32-E72D297353CC}">
              <c16:uniqueId val="{00000001-6863-4F4C-8BBC-33C07A5CC01B}"/>
            </c:ext>
          </c:extLst>
        </c:ser>
        <c:ser>
          <c:idx val="2"/>
          <c:order val="2"/>
          <c:tx>
            <c:strRef>
              <c:f>Лист6!$C$6</c:f>
              <c:strCache>
                <c:ptCount val="1"/>
                <c:pt idx="0">
                  <c:v>Иностранные инвесторы</c:v>
                </c:pt>
              </c:strCache>
            </c:strRef>
          </c:tx>
          <c:invertIfNegative val="0"/>
          <c:cat>
            <c:numRef>
              <c:f>Лист6!$D$3:$J$3</c:f>
              <c:numCache>
                <c:formatCode>General</c:formatCode>
                <c:ptCount val="7"/>
                <c:pt idx="0">
                  <c:v>2012</c:v>
                </c:pt>
                <c:pt idx="1">
                  <c:v>2013</c:v>
                </c:pt>
                <c:pt idx="2">
                  <c:v>2014</c:v>
                </c:pt>
                <c:pt idx="3">
                  <c:v>2015</c:v>
                </c:pt>
                <c:pt idx="4">
                  <c:v>2016</c:v>
                </c:pt>
                <c:pt idx="5">
                  <c:v>2017</c:v>
                </c:pt>
                <c:pt idx="6">
                  <c:v>2018</c:v>
                </c:pt>
              </c:numCache>
            </c:numRef>
          </c:cat>
          <c:val>
            <c:numRef>
              <c:f>Лист6!$D$6:$J$6</c:f>
              <c:numCache>
                <c:formatCode>General</c:formatCode>
                <c:ptCount val="7"/>
                <c:pt idx="0">
                  <c:v>2.7</c:v>
                </c:pt>
                <c:pt idx="1">
                  <c:v>1.1000000000000001</c:v>
                </c:pt>
                <c:pt idx="2">
                  <c:v>2.7</c:v>
                </c:pt>
                <c:pt idx="3">
                  <c:v>0.5</c:v>
                </c:pt>
                <c:pt idx="4">
                  <c:v>0.1</c:v>
                </c:pt>
                <c:pt idx="5">
                  <c:v>0.2</c:v>
                </c:pt>
                <c:pt idx="6">
                  <c:v>0.2</c:v>
                </c:pt>
              </c:numCache>
            </c:numRef>
          </c:val>
          <c:extLst xmlns:c16r2="http://schemas.microsoft.com/office/drawing/2015/06/chart">
            <c:ext xmlns:c16="http://schemas.microsoft.com/office/drawing/2014/chart" uri="{C3380CC4-5D6E-409C-BE32-E72D297353CC}">
              <c16:uniqueId val="{00000002-6863-4F4C-8BBC-33C07A5CC01B}"/>
            </c:ext>
          </c:extLst>
        </c:ser>
        <c:ser>
          <c:idx val="3"/>
          <c:order val="3"/>
          <c:tx>
            <c:strRef>
              <c:f>Лист6!$C$5</c:f>
              <c:strCache>
                <c:ptCount val="1"/>
                <c:pt idx="0">
                  <c:v>Бюджетные средства </c:v>
                </c:pt>
              </c:strCache>
            </c:strRef>
          </c:tx>
          <c:invertIfNegative val="0"/>
          <c:cat>
            <c:numRef>
              <c:f>Лист6!$D$3:$J$3</c:f>
              <c:numCache>
                <c:formatCode>General</c:formatCode>
                <c:ptCount val="7"/>
                <c:pt idx="0">
                  <c:v>2012</c:v>
                </c:pt>
                <c:pt idx="1">
                  <c:v>2013</c:v>
                </c:pt>
                <c:pt idx="2">
                  <c:v>2014</c:v>
                </c:pt>
                <c:pt idx="3">
                  <c:v>2015</c:v>
                </c:pt>
                <c:pt idx="4">
                  <c:v>2016</c:v>
                </c:pt>
                <c:pt idx="5">
                  <c:v>2017</c:v>
                </c:pt>
                <c:pt idx="6">
                  <c:v>2018</c:v>
                </c:pt>
              </c:numCache>
            </c:numRef>
          </c:cat>
          <c:val>
            <c:numRef>
              <c:f>Лист6!$D$5:$J$5</c:f>
              <c:numCache>
                <c:formatCode>General</c:formatCode>
                <c:ptCount val="7"/>
                <c:pt idx="0">
                  <c:v>5</c:v>
                </c:pt>
                <c:pt idx="1">
                  <c:v>4.9000000000000004</c:v>
                </c:pt>
                <c:pt idx="2">
                  <c:v>7.5</c:v>
                </c:pt>
                <c:pt idx="3">
                  <c:v>6.3</c:v>
                </c:pt>
                <c:pt idx="4">
                  <c:v>6.3</c:v>
                </c:pt>
                <c:pt idx="5">
                  <c:v>10.199999999999999</c:v>
                </c:pt>
                <c:pt idx="6">
                  <c:v>18.3</c:v>
                </c:pt>
              </c:numCache>
            </c:numRef>
          </c:val>
          <c:extLst xmlns:c16r2="http://schemas.microsoft.com/office/drawing/2015/06/chart">
            <c:ext xmlns:c16="http://schemas.microsoft.com/office/drawing/2014/chart" uri="{C3380CC4-5D6E-409C-BE32-E72D297353CC}">
              <c16:uniqueId val="{00000003-6863-4F4C-8BBC-33C07A5CC01B}"/>
            </c:ext>
          </c:extLst>
        </c:ser>
        <c:ser>
          <c:idx val="4"/>
          <c:order val="4"/>
          <c:tx>
            <c:strRef>
              <c:f>Лист6!$C$4</c:f>
              <c:strCache>
                <c:ptCount val="1"/>
                <c:pt idx="0">
                  <c:v>Средства фондов поддержки</c:v>
                </c:pt>
              </c:strCache>
            </c:strRef>
          </c:tx>
          <c:invertIfNegative val="0"/>
          <c:cat>
            <c:numRef>
              <c:f>Лист6!$D$3:$J$3</c:f>
              <c:numCache>
                <c:formatCode>General</c:formatCode>
                <c:ptCount val="7"/>
                <c:pt idx="0">
                  <c:v>2012</c:v>
                </c:pt>
                <c:pt idx="1">
                  <c:v>2013</c:v>
                </c:pt>
                <c:pt idx="2">
                  <c:v>2014</c:v>
                </c:pt>
                <c:pt idx="3">
                  <c:v>2015</c:v>
                </c:pt>
                <c:pt idx="4">
                  <c:v>2016</c:v>
                </c:pt>
                <c:pt idx="5">
                  <c:v>2017</c:v>
                </c:pt>
                <c:pt idx="6">
                  <c:v>2018</c:v>
                </c:pt>
              </c:numCache>
            </c:numRef>
          </c:cat>
          <c:val>
            <c:numRef>
              <c:f>Лист6!$D$4:$J$4</c:f>
              <c:numCache>
                <c:formatCode>General</c:formatCode>
                <c:ptCount val="7"/>
                <c:pt idx="0">
                  <c:v>0</c:v>
                </c:pt>
                <c:pt idx="1">
                  <c:v>0.1</c:v>
                </c:pt>
                <c:pt idx="2">
                  <c:v>0</c:v>
                </c:pt>
                <c:pt idx="3">
                  <c:v>0</c:v>
                </c:pt>
                <c:pt idx="4">
                  <c:v>0.1</c:v>
                </c:pt>
                <c:pt idx="5">
                  <c:v>0</c:v>
                </c:pt>
                <c:pt idx="6">
                  <c:v>0</c:v>
                </c:pt>
              </c:numCache>
            </c:numRef>
          </c:val>
          <c:extLst xmlns:c16r2="http://schemas.microsoft.com/office/drawing/2015/06/chart">
            <c:ext xmlns:c16="http://schemas.microsoft.com/office/drawing/2014/chart" uri="{C3380CC4-5D6E-409C-BE32-E72D297353CC}">
              <c16:uniqueId val="{00000004-6863-4F4C-8BBC-33C07A5CC01B}"/>
            </c:ext>
          </c:extLst>
        </c:ser>
        <c:dLbls>
          <c:showLegendKey val="0"/>
          <c:showVal val="0"/>
          <c:showCatName val="0"/>
          <c:showSerName val="0"/>
          <c:showPercent val="0"/>
          <c:showBubbleSize val="0"/>
        </c:dLbls>
        <c:gapWidth val="55"/>
        <c:overlap val="100"/>
        <c:axId val="477275648"/>
        <c:axId val="398115392"/>
      </c:barChart>
      <c:catAx>
        <c:axId val="477275648"/>
        <c:scaling>
          <c:orientation val="minMax"/>
        </c:scaling>
        <c:delete val="0"/>
        <c:axPos val="b"/>
        <c:numFmt formatCode="General" sourceLinked="1"/>
        <c:majorTickMark val="none"/>
        <c:minorTickMark val="none"/>
        <c:tickLblPos val="nextTo"/>
        <c:crossAx val="398115392"/>
        <c:crosses val="autoZero"/>
        <c:auto val="1"/>
        <c:lblAlgn val="ctr"/>
        <c:lblOffset val="100"/>
        <c:noMultiLvlLbl val="0"/>
      </c:catAx>
      <c:valAx>
        <c:axId val="398115392"/>
        <c:scaling>
          <c:orientation val="minMax"/>
        </c:scaling>
        <c:delete val="0"/>
        <c:axPos val="l"/>
        <c:majorGridlines/>
        <c:numFmt formatCode="General" sourceLinked="1"/>
        <c:majorTickMark val="none"/>
        <c:minorTickMark val="none"/>
        <c:tickLblPos val="nextTo"/>
        <c:crossAx val="477275648"/>
        <c:crosses val="autoZero"/>
        <c:crossBetween val="between"/>
      </c:valAx>
    </c:plotArea>
    <c:legend>
      <c:legendPos val="r"/>
      <c:layout>
        <c:manualLayout>
          <c:xMode val="edge"/>
          <c:yMode val="edge"/>
          <c:x val="0.64290419947506561"/>
          <c:y val="0.14159922717993587"/>
          <c:w val="0.34042913385826773"/>
          <c:h val="0.69828302712160983"/>
        </c:manualLayout>
      </c:layout>
      <c:overlay val="0"/>
    </c:legend>
    <c:plotVisOnly val="1"/>
    <c:dispBlanksAs val="gap"/>
    <c:showDLblsOverMax val="0"/>
  </c:chart>
  <c:spPr>
    <a:ln>
      <a:solidFill>
        <a:schemeClr val="bg1"/>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2662</Words>
  <Characters>15179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2020-04-16T17:42:00Z</dcterms:modified>
</cp:coreProperties>
</file>