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5119"/>
      </w:tblGrid>
      <w:tr w:rsidR="003A78F6" w:rsidRPr="003A78F6" w:rsidTr="00665C78">
        <w:trPr>
          <w:jc w:val="center"/>
        </w:trPr>
        <w:tc>
          <w:tcPr>
            <w:tcW w:w="9566" w:type="dxa"/>
            <w:gridSpan w:val="2"/>
            <w:hideMark/>
          </w:tcPr>
          <w:p w:rsidR="003A78F6" w:rsidRPr="003A78F6" w:rsidRDefault="003A78F6" w:rsidP="003A78F6">
            <w:pPr>
              <w:widowControl w:val="0"/>
              <w:shd w:val="clear" w:color="auto" w:fill="FFFFFF"/>
              <w:jc w:val="both"/>
              <w:rPr>
                <w:b/>
              </w:rPr>
            </w:pPr>
            <w:r w:rsidRPr="003A78F6">
              <w:rPr>
                <w:rFonts w:eastAsia="Calibri"/>
                <w:b/>
              </w:rPr>
              <w:t>УДК 338.242.2</w:t>
            </w:r>
          </w:p>
        </w:tc>
      </w:tr>
      <w:tr w:rsidR="003A78F6" w:rsidRPr="003A78F6" w:rsidTr="00665C78">
        <w:trPr>
          <w:jc w:val="center"/>
        </w:trPr>
        <w:tc>
          <w:tcPr>
            <w:tcW w:w="4321" w:type="dxa"/>
          </w:tcPr>
          <w:p w:rsidR="003A78F6" w:rsidRPr="003A78F6" w:rsidRDefault="003A78F6" w:rsidP="003A78F6">
            <w:pPr>
              <w:widowControl w:val="0"/>
              <w:jc w:val="right"/>
            </w:pPr>
          </w:p>
        </w:tc>
        <w:tc>
          <w:tcPr>
            <w:tcW w:w="5245" w:type="dxa"/>
            <w:tcMar>
              <w:left w:w="0" w:type="dxa"/>
              <w:right w:w="0" w:type="dxa"/>
            </w:tcMar>
          </w:tcPr>
          <w:p w:rsidR="003A78F6" w:rsidRPr="003A78F6" w:rsidRDefault="003A78F6" w:rsidP="003A78F6">
            <w:pPr>
              <w:keepNext/>
              <w:jc w:val="both"/>
              <w:outlineLvl w:val="1"/>
              <w:rPr>
                <w:rFonts w:ascii="Times New Roman Полужирный" w:eastAsiaTheme="majorEastAsia" w:hAnsi="Times New Roman Полужирный"/>
                <w:b/>
                <w:bCs/>
                <w:iCs/>
                <w:szCs w:val="28"/>
              </w:rPr>
            </w:pPr>
            <w:bookmarkStart w:id="0" w:name="_Toc9105740"/>
            <w:r w:rsidRPr="003A78F6">
              <w:rPr>
                <w:rFonts w:ascii="Times New Roman Полужирный" w:eastAsiaTheme="majorEastAsia" w:hAnsi="Times New Roman Полужирный"/>
                <w:b/>
                <w:bCs/>
                <w:iCs/>
                <w:szCs w:val="28"/>
              </w:rPr>
              <w:t>М.К. Маренич</w:t>
            </w:r>
            <w:bookmarkEnd w:id="0"/>
            <w:r w:rsidRPr="003A78F6">
              <w:rPr>
                <w:rFonts w:ascii="Times New Roman Полужирный" w:eastAsiaTheme="majorEastAsia" w:hAnsi="Times New Roman Полужирный"/>
                <w:b/>
                <w:bCs/>
                <w:iCs/>
                <w:szCs w:val="28"/>
              </w:rPr>
              <w:t xml:space="preserve"> </w:t>
            </w:r>
          </w:p>
          <w:p w:rsidR="003A78F6" w:rsidRPr="003A78F6" w:rsidRDefault="003A78F6" w:rsidP="003A78F6">
            <w:pPr>
              <w:contextualSpacing/>
              <w:rPr>
                <w:rFonts w:eastAsia="Calibri"/>
                <w:i/>
              </w:rPr>
            </w:pPr>
            <w:r w:rsidRPr="003A78F6">
              <w:rPr>
                <w:rFonts w:eastAsia="Calibri"/>
                <w:i/>
              </w:rPr>
              <w:t>ГОУВПО «Донецкий национальный технический университет»</w:t>
            </w:r>
          </w:p>
          <w:p w:rsidR="003A78F6" w:rsidRPr="003A78F6" w:rsidRDefault="003A78F6" w:rsidP="003A78F6">
            <w:pPr>
              <w:jc w:val="both"/>
              <w:rPr>
                <w:i/>
              </w:rPr>
            </w:pPr>
            <w:r w:rsidRPr="003A78F6">
              <w:rPr>
                <w:i/>
              </w:rPr>
              <w:t>Донецк, Донецкая Народная Республика</w:t>
            </w:r>
          </w:p>
          <w:p w:rsidR="003A78F6" w:rsidRPr="003A78F6" w:rsidRDefault="003A78F6" w:rsidP="003A78F6">
            <w:pPr>
              <w:contextualSpacing/>
              <w:rPr>
                <w:rFonts w:eastAsia="Calibri"/>
                <w:b/>
                <w:i/>
              </w:rPr>
            </w:pPr>
            <w:r w:rsidRPr="003A78F6">
              <w:rPr>
                <w:rFonts w:eastAsia="Calibri"/>
                <w:b/>
                <w:i/>
              </w:rPr>
              <w:t xml:space="preserve">M.K. Marenych </w:t>
            </w:r>
          </w:p>
          <w:p w:rsidR="003A78F6" w:rsidRPr="003A78F6" w:rsidRDefault="003A78F6" w:rsidP="003A78F6">
            <w:pPr>
              <w:rPr>
                <w:lang w:val="en-US"/>
              </w:rPr>
            </w:pPr>
            <w:r w:rsidRPr="003A78F6">
              <w:rPr>
                <w:rFonts w:eastAsia="Calibri"/>
                <w:i/>
                <w:lang w:val="en-US"/>
              </w:rPr>
              <w:t>Donetsk National Technical University</w:t>
            </w:r>
            <w:r w:rsidRPr="003A78F6">
              <w:rPr>
                <w:rFonts w:eastAsia="Calibri"/>
                <w:lang w:val="en-US"/>
              </w:rPr>
              <w:t xml:space="preserve"> </w:t>
            </w:r>
            <w:r w:rsidRPr="003A78F6">
              <w:rPr>
                <w:i/>
                <w:lang w:val="en-US"/>
              </w:rPr>
              <w:t>Donetsk, Donetsk People's Republic</w:t>
            </w:r>
          </w:p>
        </w:tc>
      </w:tr>
      <w:tr w:rsidR="003A78F6" w:rsidRPr="003A78F6" w:rsidTr="00665C78">
        <w:trPr>
          <w:jc w:val="center"/>
        </w:trPr>
        <w:tc>
          <w:tcPr>
            <w:tcW w:w="4321" w:type="dxa"/>
          </w:tcPr>
          <w:p w:rsidR="003A78F6" w:rsidRPr="003A78F6" w:rsidRDefault="003A78F6" w:rsidP="003A78F6">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val="en-US" w:eastAsia="ru-RU"/>
              </w:rPr>
            </w:pPr>
          </w:p>
        </w:tc>
        <w:tc>
          <w:tcPr>
            <w:tcW w:w="5245" w:type="dxa"/>
          </w:tcPr>
          <w:p w:rsidR="003A78F6" w:rsidRPr="003A78F6" w:rsidRDefault="003A78F6" w:rsidP="003A78F6">
            <w:pPr>
              <w:widowControl w:val="0"/>
              <w:jc w:val="both"/>
              <w:rPr>
                <w:lang w:val="en-US"/>
              </w:rPr>
            </w:pPr>
          </w:p>
        </w:tc>
      </w:tr>
      <w:tr w:rsidR="003A78F6" w:rsidRPr="003A78F6" w:rsidTr="00665C78">
        <w:trPr>
          <w:jc w:val="center"/>
        </w:trPr>
        <w:tc>
          <w:tcPr>
            <w:tcW w:w="9566" w:type="dxa"/>
            <w:gridSpan w:val="2"/>
          </w:tcPr>
          <w:p w:rsidR="003A78F6" w:rsidRPr="003A78F6" w:rsidRDefault="003A78F6" w:rsidP="003A78F6">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bookmarkStart w:id="1" w:name="_Toc9105741"/>
            <w:r w:rsidRPr="003A78F6">
              <w:rPr>
                <w:rFonts w:ascii="Times New Roman Полужирный" w:eastAsia="Calibri" w:hAnsi="Times New Roman Полужирный"/>
                <w:bCs/>
                <w:kern w:val="32"/>
                <w:szCs w:val="28"/>
                <w:bdr w:val="none" w:sz="0" w:space="0" w:color="auto" w:frame="1"/>
                <w:shd w:val="clear" w:color="auto" w:fill="FFFFFF"/>
                <w:lang w:eastAsia="ru-RU"/>
              </w:rPr>
              <w:t>ТЕОРЕТИЧЕСКИЕ ИССЛЕДОВАНИЯ СУЩНОСТИ КРИЗИСА</w:t>
            </w:r>
            <w:bookmarkEnd w:id="1"/>
          </w:p>
        </w:tc>
      </w:tr>
      <w:tr w:rsidR="003A78F6" w:rsidRPr="003A78F6" w:rsidTr="00665C78">
        <w:trPr>
          <w:jc w:val="center"/>
        </w:trPr>
        <w:tc>
          <w:tcPr>
            <w:tcW w:w="9566" w:type="dxa"/>
            <w:gridSpan w:val="2"/>
          </w:tcPr>
          <w:p w:rsidR="003A78F6" w:rsidRPr="003A78F6" w:rsidRDefault="003A78F6" w:rsidP="003A78F6">
            <w:pPr>
              <w:jc w:val="both"/>
            </w:pPr>
          </w:p>
        </w:tc>
      </w:tr>
      <w:tr w:rsidR="003A78F6" w:rsidRPr="003A78F6" w:rsidTr="00665C78">
        <w:trPr>
          <w:jc w:val="center"/>
        </w:trPr>
        <w:tc>
          <w:tcPr>
            <w:tcW w:w="9566" w:type="dxa"/>
            <w:gridSpan w:val="2"/>
          </w:tcPr>
          <w:p w:rsidR="003A78F6" w:rsidRPr="003A78F6" w:rsidRDefault="003A78F6" w:rsidP="003A78F6">
            <w:pPr>
              <w:widowControl w:val="0"/>
              <w:shd w:val="clear" w:color="auto" w:fill="FFFFFF"/>
              <w:jc w:val="center"/>
              <w:rPr>
                <w:b/>
                <w:lang w:val="en-US"/>
              </w:rPr>
            </w:pPr>
            <w:r w:rsidRPr="003A78F6">
              <w:rPr>
                <w:rFonts w:eastAsia="Calibri"/>
                <w:b/>
                <w:lang w:val="en-US"/>
              </w:rPr>
              <w:t>THEORETICAL STUDIES OF THE ESSENCE OF THE CRISIS</w:t>
            </w:r>
          </w:p>
        </w:tc>
      </w:tr>
    </w:tbl>
    <w:p w:rsidR="003A78F6" w:rsidRPr="003A78F6" w:rsidRDefault="003A78F6" w:rsidP="003A78F6">
      <w:pPr>
        <w:spacing w:after="0" w:line="240" w:lineRule="auto"/>
        <w:ind w:firstLine="709"/>
        <w:rPr>
          <w:rFonts w:ascii="Times New Roman" w:eastAsia="Calibri" w:hAnsi="Times New Roman" w:cs="Times New Roman"/>
          <w:sz w:val="28"/>
          <w:lang w:val="en-US"/>
        </w:rPr>
      </w:pPr>
    </w:p>
    <w:p w:rsidR="003A78F6" w:rsidRPr="003A78F6" w:rsidRDefault="003A78F6" w:rsidP="003A78F6">
      <w:pPr>
        <w:spacing w:after="0" w:line="240" w:lineRule="auto"/>
        <w:ind w:firstLine="709"/>
        <w:jc w:val="both"/>
        <w:rPr>
          <w:rFonts w:ascii="Times New Roman" w:eastAsia="Calibri" w:hAnsi="Times New Roman" w:cs="Times New Roman"/>
          <w:i/>
          <w:sz w:val="24"/>
          <w:szCs w:val="24"/>
        </w:rPr>
      </w:pPr>
      <w:r w:rsidRPr="003A78F6">
        <w:rPr>
          <w:rFonts w:ascii="Times New Roman" w:eastAsia="Calibri" w:hAnsi="Times New Roman" w:cs="Times New Roman"/>
          <w:i/>
          <w:sz w:val="24"/>
          <w:szCs w:val="24"/>
          <w:lang w:eastAsia="ru-RU"/>
        </w:rPr>
        <w:t>Аннотация. В</w:t>
      </w:r>
      <w:r w:rsidRPr="003A78F6">
        <w:rPr>
          <w:rFonts w:ascii="Times New Roman" w:eastAsia="Calibri" w:hAnsi="Times New Roman" w:cs="Times New Roman"/>
          <w:i/>
          <w:sz w:val="24"/>
          <w:szCs w:val="24"/>
        </w:rPr>
        <w:t xml:space="preserve"> статье рассмотрены подходы, раскрывающие понятие кризис, его разновидности, признаки, причины, функции и виды. Понимание кризиса в широком смысле является актуальным для любой социально-экономической системы, что позволяет выявить закономерности, влияющие на формирование его цикличности.</w:t>
      </w:r>
    </w:p>
    <w:p w:rsidR="003A78F6" w:rsidRPr="003A78F6" w:rsidRDefault="003A78F6" w:rsidP="003A78F6">
      <w:pPr>
        <w:autoSpaceDE w:val="0"/>
        <w:autoSpaceDN w:val="0"/>
        <w:adjustRightInd w:val="0"/>
        <w:spacing w:after="0" w:line="240" w:lineRule="auto"/>
        <w:ind w:firstLine="709"/>
        <w:jc w:val="both"/>
        <w:rPr>
          <w:rFonts w:ascii="Times New Roman" w:eastAsia="Calibri" w:hAnsi="Times New Roman" w:cs="Times New Roman"/>
          <w:i/>
          <w:sz w:val="24"/>
          <w:szCs w:val="24"/>
        </w:rPr>
      </w:pPr>
      <w:r w:rsidRPr="003A78F6">
        <w:rPr>
          <w:rFonts w:ascii="Times New Roman" w:eastAsia="Calibri" w:hAnsi="Times New Roman" w:cs="Times New Roman"/>
          <w:i/>
          <w:sz w:val="24"/>
          <w:szCs w:val="24"/>
        </w:rPr>
        <w:t>Ключевые слова: кризис, социально-экономические системы, циклы, признаки, причины, функции кризисов, трансформации, эволюция, государство, динамика, экономическое развитие.</w:t>
      </w:r>
    </w:p>
    <w:p w:rsidR="003A78F6" w:rsidRPr="003A78F6" w:rsidRDefault="003A78F6" w:rsidP="003A78F6">
      <w:pPr>
        <w:spacing w:after="0" w:line="240" w:lineRule="auto"/>
        <w:ind w:firstLine="709"/>
        <w:jc w:val="both"/>
        <w:rPr>
          <w:rFonts w:ascii="Times New Roman" w:eastAsia="Calibri" w:hAnsi="Times New Roman" w:cs="Times New Roman"/>
          <w:i/>
          <w:sz w:val="24"/>
          <w:szCs w:val="24"/>
        </w:rPr>
      </w:pPr>
    </w:p>
    <w:p w:rsidR="003A78F6" w:rsidRPr="003A78F6" w:rsidRDefault="003A78F6" w:rsidP="003A78F6">
      <w:pPr>
        <w:spacing w:after="0" w:line="240" w:lineRule="auto"/>
        <w:ind w:firstLine="709"/>
        <w:jc w:val="both"/>
        <w:rPr>
          <w:rFonts w:ascii="Times New Roman" w:eastAsia="Calibri" w:hAnsi="Times New Roman" w:cs="Times New Roman"/>
          <w:i/>
          <w:sz w:val="24"/>
          <w:szCs w:val="24"/>
          <w:lang w:val="en-US"/>
        </w:rPr>
      </w:pPr>
      <w:r w:rsidRPr="003A78F6">
        <w:rPr>
          <w:rFonts w:ascii="Times New Roman" w:eastAsia="Calibri" w:hAnsi="Times New Roman" w:cs="Times New Roman"/>
          <w:i/>
          <w:sz w:val="24"/>
          <w:szCs w:val="24"/>
          <w:lang w:val="en-US"/>
        </w:rPr>
        <w:t>Abstract. The article discusses approaches that reveal the concept of a crisis, its varieties, signs, causes, functions and types. Understanding the crisis in a broad sense is relevant to any socio-economic structure, which allows to identify patterns that affect the formation of its cyclicality.</w:t>
      </w:r>
    </w:p>
    <w:p w:rsidR="003A78F6" w:rsidRPr="003A78F6" w:rsidRDefault="003A78F6" w:rsidP="003A78F6">
      <w:pPr>
        <w:spacing w:after="0" w:line="240" w:lineRule="auto"/>
        <w:ind w:firstLine="709"/>
        <w:jc w:val="both"/>
        <w:rPr>
          <w:rFonts w:ascii="Times New Roman" w:eastAsia="Calibri" w:hAnsi="Times New Roman" w:cs="Times New Roman"/>
          <w:i/>
          <w:sz w:val="24"/>
          <w:szCs w:val="24"/>
          <w:lang w:val="en-US"/>
        </w:rPr>
      </w:pPr>
      <w:r w:rsidRPr="003A78F6">
        <w:rPr>
          <w:rFonts w:ascii="Times New Roman" w:eastAsia="Calibri" w:hAnsi="Times New Roman" w:cs="Times New Roman"/>
          <w:i/>
          <w:sz w:val="24"/>
          <w:szCs w:val="24"/>
          <w:lang w:val="en-US"/>
        </w:rPr>
        <w:t>Keywords: crisis, socio-economic systems, cycles, signs, causes, functions of crises, transformation, evolution, state, dynamics, economic development.</w:t>
      </w:r>
    </w:p>
    <w:p w:rsidR="003A78F6" w:rsidRPr="003A78F6" w:rsidRDefault="003A78F6" w:rsidP="003A78F6">
      <w:pPr>
        <w:spacing w:after="0" w:line="240" w:lineRule="auto"/>
        <w:ind w:firstLine="709"/>
        <w:jc w:val="both"/>
        <w:rPr>
          <w:rFonts w:ascii="Times New Roman" w:eastAsia="Calibri" w:hAnsi="Times New Roman" w:cs="Times New Roman"/>
          <w:b/>
          <w:sz w:val="28"/>
          <w:lang w:val="en-US"/>
        </w:rPr>
      </w:pP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b/>
          <w:sz w:val="28"/>
        </w:rPr>
        <w:t>Постановка проблемы</w:t>
      </w:r>
      <w:r w:rsidRPr="003A78F6">
        <w:rPr>
          <w:rFonts w:ascii="Times New Roman" w:eastAsia="Calibri" w:hAnsi="Times New Roman" w:cs="Times New Roman"/>
          <w:sz w:val="28"/>
        </w:rPr>
        <w:t>. Любая система функционирует и развивается во взаимодействии и под влиянием внутренних и внешних факторов, сочетание и синергия которых приводят как к количественным, так и к качественным изменениям, как всей системы, так и отдельных её элементов. В отличие от систем, существующих по практически неизменным (в рамках современного понимания) физическим законам природы, социально-экономические системы характеризуются своим непрерывным изменением – как путём постепенного эволюционного развития, так и в результате резких революционных изменений воздействующих факторов (революции, распады империй, государств, деградации, банкротства и дефолты компаний), то есть, кризисов.</w:t>
      </w:r>
      <w:bookmarkStart w:id="2" w:name="5.1."/>
      <w:bookmarkEnd w:id="2"/>
      <w:r w:rsidRPr="003A78F6">
        <w:rPr>
          <w:rFonts w:ascii="Times New Roman" w:eastAsia="Calibri" w:hAnsi="Times New Roman" w:cs="Times New Roman"/>
          <w:sz w:val="28"/>
        </w:rPr>
        <w:t xml:space="preserve"> В условиях циклично изменяющейся конъюнктуры социально-экономическая система движется от одного макроэкономического равновесия к другому, проходя ряд трансформаций, выводящих её на новый уровень. Соответственно, кризисы являются неотъемлемой  и важнейшей составляющей развития и эволюции социально-экономических систем на всём протяжении истории человечества. </w:t>
      </w:r>
    </w:p>
    <w:p w:rsidR="003A78F6" w:rsidRPr="003A78F6" w:rsidRDefault="003A78F6" w:rsidP="003A78F6">
      <w:pPr>
        <w:spacing w:after="0" w:line="240" w:lineRule="auto"/>
        <w:ind w:firstLine="709"/>
        <w:jc w:val="both"/>
        <w:rPr>
          <w:rFonts w:ascii="Times New Roman" w:eastAsia="Times New Roman" w:hAnsi="Times New Roman" w:cs="Times New Roman"/>
          <w:sz w:val="28"/>
          <w:lang w:eastAsia="ru-RU"/>
        </w:rPr>
      </w:pPr>
      <w:r w:rsidRPr="003A78F6">
        <w:rPr>
          <w:rFonts w:ascii="Times New Roman" w:eastAsia="Times New Roman" w:hAnsi="Times New Roman" w:cs="Times New Roman"/>
          <w:sz w:val="28"/>
          <w:lang w:eastAsia="ru-RU"/>
        </w:rPr>
        <w:t xml:space="preserve">Таким образом, вопрос понимания природы, видов, причин, этапов, механизмов и стадий развития кризисов как на макро- так и на микроуровнях, а также в кратко-, средне- и долгосрочных перспективах </w:t>
      </w:r>
      <w:r w:rsidRPr="003A78F6">
        <w:rPr>
          <w:rFonts w:ascii="Times New Roman" w:eastAsia="Times New Roman" w:hAnsi="Times New Roman" w:cs="Times New Roman"/>
          <w:sz w:val="28"/>
          <w:lang w:eastAsia="ru-RU"/>
        </w:rPr>
        <w:lastRenderedPageBreak/>
        <w:t>является актуальным для любой социально-экономической системы: государство, человечество,  транснациональные корпорации, крупные и средние компании, малые предприятия – вплоть до отдельных хозяйствующих единиц, домохозяйств и индивидов.</w:t>
      </w:r>
    </w:p>
    <w:p w:rsidR="003A78F6" w:rsidRPr="003A78F6" w:rsidRDefault="003A78F6" w:rsidP="003A78F6">
      <w:pPr>
        <w:shd w:val="clear" w:color="auto" w:fill="FFFFFF"/>
        <w:autoSpaceDE w:val="0"/>
        <w:autoSpaceDN w:val="0"/>
        <w:adjustRightInd w:val="0"/>
        <w:spacing w:after="0" w:line="240" w:lineRule="auto"/>
        <w:ind w:firstLine="708"/>
        <w:jc w:val="both"/>
        <w:rPr>
          <w:rFonts w:ascii="Times New Roman" w:eastAsia="Newton-Regular" w:hAnsi="Times New Roman" w:cs="Times New Roman"/>
          <w:sz w:val="28"/>
        </w:rPr>
      </w:pPr>
      <w:r w:rsidRPr="003A78F6">
        <w:rPr>
          <w:rFonts w:ascii="Times New Roman" w:eastAsia="Calibri" w:hAnsi="Times New Roman" w:cs="Times New Roman"/>
          <w:b/>
          <w:sz w:val="28"/>
          <w:lang w:eastAsia="ru-RU"/>
        </w:rPr>
        <w:t xml:space="preserve">Анализ предыдущих исследований и публикаций. </w:t>
      </w:r>
      <w:r w:rsidRPr="003A78F6">
        <w:rPr>
          <w:rFonts w:ascii="Times New Roman" w:eastAsia="Newton-Regular" w:hAnsi="Times New Roman" w:cs="Times New Roman"/>
          <w:sz w:val="28"/>
        </w:rPr>
        <w:t>Кризисы являются непременным элементом цикличной динамики и закономерностей экономического развития, что явилось причиной, побуждающей многие поколения учёных-экономистов заниматься анализом условий их возникновения, определять необходимость государственного вмешательства и основные сферы регулирования для восстановления экономики. Ретроспективный анализ теоретиков исследования природы кризисов выделяет таких представителей классической школы экономики, как Адам Смит и Жан Батист Сей, которые при рассмотрении кризиса перепроизводства выявили закон стоимости созданных товаров, представляющие собой совокупные доходы, на которые покупаются товары соответствующей стоимости. Джон Мейнард Кейнс считал, что основной идеей является парадокс бережливости, что приводит к снижению потребления или совокупного спроса на макроуровне, вызывающего без государственной поддержки кризис перепроизводства. Пост-кейнсианцы (</w:t>
      </w:r>
      <w:r w:rsidRPr="003A78F6">
        <w:rPr>
          <w:rFonts w:ascii="Times New Roman" w:eastAsia="Calibri" w:hAnsi="Times New Roman" w:cs="Times New Roman"/>
          <w:sz w:val="28"/>
          <w:shd w:val="clear" w:color="auto" w:fill="FFFFFF"/>
        </w:rPr>
        <w:t>М. Калецкий, П. Дэвидсон, Х. Ф. Мински, Дж. Робинсон,С. Вайнтрауб и др.</w:t>
      </w:r>
      <w:r w:rsidRPr="003A78F6">
        <w:rPr>
          <w:rFonts w:ascii="Times New Roman" w:eastAsia="Newton-Regular" w:hAnsi="Times New Roman" w:cs="Times New Roman"/>
          <w:sz w:val="28"/>
        </w:rPr>
        <w:t>) считают причинами кризисов перепроизводства крахи спекулятивных и кредитных пузырей, (финансовые кризисы). Согласно концепции Карла Марксa, возникновение кризисов связано с недостаточностью платежеспособного спроса. Монетаристы уделяют внимание  денежной составляющей обмена и кредитной системе. Согласно их концепции, сокращение кредитования может привести к уменьшению платежеспособного спроса и дисбалансу между спросом и предложением. [1]. Кроме этого, м</w:t>
      </w:r>
      <w:r w:rsidRPr="003A78F6">
        <w:rPr>
          <w:rFonts w:ascii="Times New Roman" w:eastAsia="Calibri" w:hAnsi="Times New Roman" w:cs="Times New Roman"/>
          <w:sz w:val="28"/>
        </w:rPr>
        <w:t xml:space="preserve">онетаристы считают, что государство может спровоцировать кризис, вследствие недостаточной осведомленности людей об истинном состоянии и целях различных направлений государственной экономической политики. Сторонники теории рациональных ожиданий, основоположниками которой являются </w:t>
      </w:r>
      <w:r w:rsidRPr="003A78F6">
        <w:rPr>
          <w:rFonts w:ascii="Times New Roman" w:eastAsia="Calibri" w:hAnsi="Times New Roman" w:cs="Times New Roman"/>
          <w:sz w:val="28"/>
          <w:shd w:val="clear" w:color="auto" w:fill="FFFFFF"/>
        </w:rPr>
        <w:t>Джон Ф. Мутом и Роберт Лукас,</w:t>
      </w:r>
      <w:r w:rsidRPr="003A78F6">
        <w:rPr>
          <w:rFonts w:ascii="Times New Roman" w:eastAsia="Calibri" w:hAnsi="Times New Roman" w:cs="Times New Roman"/>
          <w:sz w:val="28"/>
        </w:rPr>
        <w:t xml:space="preserve"> исходят в данном вопросе из противоположных соображений. Они считают, что предприниматели и население научились, благодаря происходящей информационной революции, оценивать и распознавать истинные мотивы решений государственных органов и могут всякий раз своевременно реагировать на них в соответствии со своей выгодой. В результате этого цели государственной политики остаются нереализованными, а спад или рост принимают более ярко выраженный характер [2].</w:t>
      </w:r>
    </w:p>
    <w:p w:rsidR="003A78F6" w:rsidRPr="003A78F6" w:rsidRDefault="003A78F6" w:rsidP="003A78F6">
      <w:pPr>
        <w:autoSpaceDE w:val="0"/>
        <w:autoSpaceDN w:val="0"/>
        <w:adjustRightInd w:val="0"/>
        <w:spacing w:after="0" w:line="240" w:lineRule="auto"/>
        <w:ind w:firstLine="709"/>
        <w:jc w:val="both"/>
        <w:rPr>
          <w:rFonts w:ascii="Times New Roman" w:eastAsia="Newton-Regular" w:hAnsi="Times New Roman" w:cs="Times New Roman"/>
          <w:sz w:val="28"/>
        </w:rPr>
      </w:pPr>
      <w:r w:rsidRPr="003A78F6">
        <w:rPr>
          <w:rFonts w:ascii="Times New Roman" w:eastAsia="Newton-Regular" w:hAnsi="Times New Roman" w:cs="Times New Roman"/>
          <w:sz w:val="28"/>
        </w:rPr>
        <w:t>Одной из существенных особенностей функционирования рыночной экономики является циклическая повторяемость экономических явлений. В данном случае, речь идет о циклических кризисах, сопровождавших историю капитализма с начала XIX века и до настоящего времени. Основоположником теории экономических циклов стал Н.Д. Кондратьев. В</w:t>
      </w:r>
      <w:r w:rsidRPr="003A78F6">
        <w:rPr>
          <w:rFonts w:ascii="Times New Roman" w:eastAsia="Calibri" w:hAnsi="Times New Roman" w:cs="Times New Roman"/>
          <w:sz w:val="28"/>
          <w:shd w:val="clear" w:color="auto" w:fill="FFFFFF"/>
        </w:rPr>
        <w:t xml:space="preserve"> основе его подхода лежат исследование структуры и длительности циклов </w:t>
      </w:r>
      <w:r w:rsidRPr="003A78F6">
        <w:rPr>
          <w:rFonts w:ascii="Times New Roman" w:eastAsia="Calibri" w:hAnsi="Times New Roman" w:cs="Times New Roman"/>
          <w:sz w:val="28"/>
          <w:shd w:val="clear" w:color="auto" w:fill="FFFFFF"/>
        </w:rPr>
        <w:lastRenderedPageBreak/>
        <w:t>(длинных волн), а также выявление переломных точек с помощью эмпирического анализа последовательности наиболее важных исторических событий, являющихся поворотными пунктами в мировом политическом и экономическом развитии [3</w:t>
      </w:r>
      <w:r w:rsidRPr="003A78F6">
        <w:rPr>
          <w:rFonts w:ascii="Times New Roman" w:eastAsia="Newton-Regular" w:hAnsi="Times New Roman" w:cs="Times New Roman"/>
          <w:sz w:val="28"/>
        </w:rPr>
        <w:t>].</w:t>
      </w:r>
    </w:p>
    <w:p w:rsidR="003A78F6" w:rsidRPr="003A78F6" w:rsidRDefault="003A78F6" w:rsidP="003A78F6">
      <w:pPr>
        <w:spacing w:after="0" w:line="240" w:lineRule="auto"/>
        <w:ind w:firstLine="709"/>
        <w:jc w:val="both"/>
        <w:rPr>
          <w:rFonts w:ascii="Times New Roman" w:eastAsia="Calibri" w:hAnsi="Times New Roman" w:cs="Times New Roman"/>
          <w:sz w:val="28"/>
          <w:lang w:eastAsia="ru-RU"/>
        </w:rPr>
      </w:pPr>
      <w:r w:rsidRPr="003A78F6">
        <w:rPr>
          <w:rFonts w:ascii="Times New Roman" w:eastAsia="Calibri" w:hAnsi="Times New Roman" w:cs="Times New Roman"/>
          <w:b/>
          <w:sz w:val="28"/>
          <w:lang w:eastAsia="ru-RU"/>
        </w:rPr>
        <w:t xml:space="preserve">Целью статьи </w:t>
      </w:r>
      <w:r w:rsidRPr="003A78F6">
        <w:rPr>
          <w:rFonts w:ascii="Times New Roman" w:eastAsia="Calibri" w:hAnsi="Times New Roman" w:cs="Times New Roman"/>
          <w:sz w:val="28"/>
          <w:lang w:eastAsia="ru-RU"/>
        </w:rPr>
        <w:t xml:space="preserve">являются теоретические исследования сущности кризиса, его видов и форм проявления, как основание закономерности его проявления в циклическом развитии социально-экономических систем .  </w:t>
      </w:r>
    </w:p>
    <w:p w:rsidR="003A78F6" w:rsidRPr="003A78F6" w:rsidRDefault="003A78F6" w:rsidP="003A78F6">
      <w:pPr>
        <w:spacing w:after="0" w:line="240" w:lineRule="auto"/>
        <w:ind w:firstLine="709"/>
        <w:jc w:val="both"/>
        <w:rPr>
          <w:rFonts w:ascii="Times New Roman" w:eastAsia="Newton-Regular" w:hAnsi="Times New Roman" w:cs="Times New Roman"/>
          <w:sz w:val="28"/>
        </w:rPr>
      </w:pPr>
      <w:r w:rsidRPr="003A78F6">
        <w:rPr>
          <w:rFonts w:ascii="Times New Roman" w:eastAsia="Calibri" w:hAnsi="Times New Roman" w:cs="Times New Roman"/>
          <w:b/>
          <w:sz w:val="28"/>
          <w:lang w:eastAsia="ru-RU"/>
        </w:rPr>
        <w:t>Основные результаты исследования</w:t>
      </w:r>
      <w:r w:rsidRPr="003A78F6">
        <w:rPr>
          <w:rFonts w:ascii="Times New Roman" w:eastAsia="Calibri" w:hAnsi="Times New Roman" w:cs="Times New Roman"/>
          <w:sz w:val="28"/>
          <w:lang w:eastAsia="ru-RU"/>
        </w:rPr>
        <w:t xml:space="preserve">. </w:t>
      </w:r>
      <w:r w:rsidRPr="003A78F6">
        <w:rPr>
          <w:rFonts w:ascii="Times New Roman" w:eastAsia="Calibri" w:hAnsi="Times New Roman" w:cs="Times New Roman"/>
          <w:bCs/>
          <w:i/>
          <w:iCs/>
          <w:sz w:val="28"/>
        </w:rPr>
        <w:t>Кризис</w:t>
      </w:r>
      <w:r w:rsidRPr="003A78F6">
        <w:rPr>
          <w:rFonts w:ascii="Times New Roman" w:eastAsia="Newton-Regular" w:hAnsi="Times New Roman" w:cs="Times New Roman"/>
          <w:sz w:val="28"/>
        </w:rPr>
        <w:t>— решение, переломный момент, глубокое расстройство, резкий перелом, период обострения противоречий в процессе развития какой-либо сферы человеческой жизни [4]; крайнее обострение противоречий в социально-экономической системе, угрожающее её жизнестойкости в окружающей среде. [5]. Таково определение кризиса в классических изданиях экономической литературы.</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Немецкие учёные А. Винер и М. Кан выявили более полное определение понятия кризиса, сформулированное с использованием признаков. По их мнению, кризис:</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является часто переломной точкой в развивающейся смене событий;</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создает ситуацию, при которой огромное значение играет срочность предпринимаемых решений;</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несёт угрозу целям и ценностям системы;</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состоит из событий, создающих новые условия для достижения успеха;</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вносит неопределенность в оценку ситуации и в построение необходимых альтернативных, антикризисных решений;</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снижает контроль над событиями и влиянием на них;</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формирует страх и стресс у участников, снижая время их реакции до минимума;</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вызывает сокращение имеющегося у участников времени;</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меняет взаимоотношения между участниками;</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увеличивает напряжение, особенно, в области политических отношений;</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влияет на имеющуюся информацию в распоряжении участников, то есть ограничивает её полноту и достаточность;</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своими последствиями оказывают отрицательное воздействие на будущее задействованных в нём участников [6].</w:t>
      </w:r>
    </w:p>
    <w:p w:rsidR="003A78F6" w:rsidRPr="003A78F6" w:rsidRDefault="003A78F6" w:rsidP="003A78F6">
      <w:pPr>
        <w:spacing w:after="0" w:line="240" w:lineRule="auto"/>
        <w:ind w:firstLine="709"/>
        <w:jc w:val="both"/>
        <w:rPr>
          <w:rFonts w:ascii="Times New Roman" w:eastAsia="Newton-Regular" w:hAnsi="Times New Roman" w:cs="Times New Roman"/>
          <w:sz w:val="28"/>
        </w:rPr>
      </w:pPr>
      <w:r w:rsidRPr="003A78F6">
        <w:rPr>
          <w:rFonts w:ascii="Times New Roman" w:eastAsia="Calibri" w:hAnsi="Times New Roman" w:cs="Times New Roman"/>
          <w:sz w:val="28"/>
        </w:rPr>
        <w:t xml:space="preserve">Любая система неизбежно в процессе становления, развития и трансформации проходит  через  кризисную фазу. Рассматривая эту категорию, следует обратить внимание на причины возникновения кризисов, </w:t>
      </w:r>
      <w:r w:rsidRPr="003A78F6">
        <w:rPr>
          <w:rFonts w:ascii="Times New Roman" w:eastAsia="Newton-Italic" w:hAnsi="Times New Roman" w:cs="Times New Roman"/>
          <w:iCs/>
          <w:sz w:val="28"/>
        </w:rPr>
        <w:t xml:space="preserve">которые </w:t>
      </w:r>
      <w:r w:rsidRPr="003A78F6">
        <w:rPr>
          <w:rFonts w:ascii="Times New Roman" w:eastAsia="Newton-Regular" w:hAnsi="Times New Roman" w:cs="Times New Roman"/>
          <w:sz w:val="28"/>
        </w:rPr>
        <w:t>подразделяются на следующие группы:</w:t>
      </w:r>
    </w:p>
    <w:p w:rsidR="003A78F6" w:rsidRPr="003A78F6" w:rsidRDefault="003A78F6" w:rsidP="003A78F6">
      <w:pPr>
        <w:autoSpaceDE w:val="0"/>
        <w:autoSpaceDN w:val="0"/>
        <w:adjustRightInd w:val="0"/>
        <w:spacing w:after="0" w:line="240" w:lineRule="auto"/>
        <w:ind w:firstLine="709"/>
        <w:contextualSpacing/>
        <w:jc w:val="both"/>
        <w:rPr>
          <w:rFonts w:ascii="Times New Roman" w:eastAsia="Calibri" w:hAnsi="Times New Roman" w:cs="Times New Roman"/>
          <w:sz w:val="28"/>
        </w:rPr>
      </w:pPr>
      <w:r w:rsidRPr="003A78F6">
        <w:rPr>
          <w:rFonts w:ascii="Times New Roman" w:eastAsia="Calibri" w:hAnsi="Times New Roman" w:cs="Times New Roman"/>
          <w:sz w:val="28"/>
        </w:rPr>
        <w:t>–</w:t>
      </w:r>
      <w:r w:rsidRPr="003A78F6">
        <w:rPr>
          <w:rFonts w:ascii="Times New Roman" w:eastAsia="Calibri" w:hAnsi="Times New Roman" w:cs="Times New Roman"/>
          <w:i/>
          <w:sz w:val="28"/>
        </w:rPr>
        <w:t xml:space="preserve"> </w:t>
      </w:r>
      <w:r w:rsidRPr="003A78F6">
        <w:rPr>
          <w:rFonts w:ascii="Times New Roman" w:eastAsia="Calibri" w:hAnsi="Times New Roman" w:cs="Times New Roman"/>
          <w:sz w:val="28"/>
        </w:rPr>
        <w:t xml:space="preserve">кризисы социально-экономических систем – политические, экономические, социальные, демографические, организационные, технологические и т.д.; </w:t>
      </w:r>
    </w:p>
    <w:p w:rsidR="003A78F6" w:rsidRPr="003A78F6" w:rsidRDefault="003A78F6" w:rsidP="003A78F6">
      <w:pPr>
        <w:autoSpaceDE w:val="0"/>
        <w:autoSpaceDN w:val="0"/>
        <w:adjustRightInd w:val="0"/>
        <w:spacing w:after="0" w:line="240" w:lineRule="auto"/>
        <w:ind w:firstLine="709"/>
        <w:contextualSpacing/>
        <w:jc w:val="both"/>
        <w:rPr>
          <w:rFonts w:ascii="Times New Roman" w:eastAsia="Newton-Regular" w:hAnsi="Times New Roman" w:cs="Times New Roman"/>
          <w:sz w:val="28"/>
        </w:rPr>
      </w:pPr>
      <w:r w:rsidRPr="003A78F6">
        <w:rPr>
          <w:rFonts w:ascii="Times New Roman" w:eastAsia="Calibri" w:hAnsi="Times New Roman" w:cs="Times New Roman"/>
          <w:sz w:val="28"/>
        </w:rPr>
        <w:t xml:space="preserve">– </w:t>
      </w:r>
      <w:r w:rsidRPr="003A78F6">
        <w:rPr>
          <w:rFonts w:ascii="Times New Roman" w:eastAsia="Newton-Regular" w:hAnsi="Times New Roman" w:cs="Times New Roman"/>
          <w:sz w:val="28"/>
        </w:rPr>
        <w:t>природные и экологические кризисы, вызванные условиями жизни, возникающими при изменении природных условий, связанных с антропогенными факторами</w:t>
      </w:r>
      <w:r w:rsidRPr="003A78F6">
        <w:rPr>
          <w:rFonts w:ascii="Times New Roman" w:eastAsia="Calibri" w:hAnsi="Times New Roman" w:cs="Times New Roman"/>
          <w:sz w:val="28"/>
        </w:rPr>
        <w:t>;</w:t>
      </w:r>
    </w:p>
    <w:p w:rsidR="003A78F6" w:rsidRPr="003A78F6" w:rsidRDefault="003A78F6" w:rsidP="003A78F6">
      <w:pPr>
        <w:autoSpaceDE w:val="0"/>
        <w:autoSpaceDN w:val="0"/>
        <w:adjustRightInd w:val="0"/>
        <w:spacing w:after="0" w:line="240" w:lineRule="auto"/>
        <w:ind w:firstLine="709"/>
        <w:contextualSpacing/>
        <w:jc w:val="both"/>
        <w:rPr>
          <w:rFonts w:ascii="Times New Roman" w:eastAsia="Newton-Regular" w:hAnsi="Times New Roman" w:cs="Times New Roman"/>
          <w:sz w:val="28"/>
        </w:rPr>
      </w:pPr>
      <w:r w:rsidRPr="003A78F6">
        <w:rPr>
          <w:rFonts w:ascii="Times New Roman" w:eastAsia="Calibri" w:hAnsi="Times New Roman" w:cs="Times New Roman"/>
          <w:sz w:val="28"/>
        </w:rPr>
        <w:lastRenderedPageBreak/>
        <w:t>–</w:t>
      </w:r>
      <w:r w:rsidRPr="003A78F6">
        <w:rPr>
          <w:rFonts w:ascii="Times New Roman" w:eastAsia="Newton-Regular" w:hAnsi="Times New Roman" w:cs="Times New Roman"/>
          <w:sz w:val="28"/>
        </w:rPr>
        <w:t xml:space="preserve"> психологические кризисы, связанные с необходимостью изменения поведенческих моделей индивида</w:t>
      </w:r>
      <w:r w:rsidRPr="003A78F6">
        <w:rPr>
          <w:rFonts w:ascii="Times New Roman" w:eastAsia="Calibri" w:hAnsi="Times New Roman" w:cs="Times New Roman"/>
          <w:sz w:val="28"/>
        </w:rPr>
        <w:t>;</w:t>
      </w:r>
    </w:p>
    <w:p w:rsidR="003A78F6" w:rsidRPr="003A78F6" w:rsidRDefault="003A78F6" w:rsidP="003A78F6">
      <w:pPr>
        <w:autoSpaceDE w:val="0"/>
        <w:autoSpaceDN w:val="0"/>
        <w:adjustRightInd w:val="0"/>
        <w:spacing w:after="0" w:line="240" w:lineRule="auto"/>
        <w:ind w:firstLine="709"/>
        <w:contextualSpacing/>
        <w:jc w:val="both"/>
        <w:rPr>
          <w:rFonts w:ascii="Times New Roman" w:eastAsia="Newton-Regular" w:hAnsi="Times New Roman" w:cs="Times New Roman"/>
          <w:sz w:val="28"/>
        </w:rPr>
      </w:pPr>
      <w:r w:rsidRPr="003A78F6">
        <w:rPr>
          <w:rFonts w:ascii="Times New Roman" w:eastAsia="Calibri" w:hAnsi="Times New Roman" w:cs="Times New Roman"/>
          <w:sz w:val="28"/>
        </w:rPr>
        <w:t>–</w:t>
      </w:r>
      <w:r w:rsidRPr="003A78F6">
        <w:rPr>
          <w:rFonts w:ascii="Times New Roman" w:eastAsia="Newton-Regular" w:hAnsi="Times New Roman" w:cs="Times New Roman"/>
          <w:sz w:val="28"/>
        </w:rPr>
        <w:t xml:space="preserve"> кризисы философии — резкие социальные трансформации, вызывающие утрату традиций и представления о бессмысленности бытия.</w:t>
      </w:r>
    </w:p>
    <w:p w:rsidR="003A78F6" w:rsidRPr="003A78F6" w:rsidRDefault="003A78F6" w:rsidP="003A78F6">
      <w:pPr>
        <w:autoSpaceDE w:val="0"/>
        <w:autoSpaceDN w:val="0"/>
        <w:adjustRightInd w:val="0"/>
        <w:spacing w:after="0" w:line="240" w:lineRule="auto"/>
        <w:ind w:firstLine="709"/>
        <w:contextualSpacing/>
        <w:jc w:val="both"/>
        <w:rPr>
          <w:rFonts w:ascii="Times New Roman" w:eastAsia="Newton-Regular" w:hAnsi="Times New Roman" w:cs="Times New Roman"/>
          <w:sz w:val="28"/>
        </w:rPr>
      </w:pPr>
      <w:r w:rsidRPr="003A78F6">
        <w:rPr>
          <w:rFonts w:ascii="Times New Roman" w:eastAsia="Newton-Regular" w:hAnsi="Times New Roman" w:cs="Times New Roman"/>
          <w:sz w:val="28"/>
        </w:rPr>
        <w:t>В XVII–XVIII в.в. понятие кризис применяется в отношении процессов, происходящих в обществе: военные, политические кризисы (при этом используется почти неизмененное значение данного понятия, взятое из медицины). В XIX в. экономическое понятие кризиса  в его «классическом» виде, рассматривается как нежелательная фаза в капиталистической экономической системе, характеризующейся колебаниями и негативными явлениями и помехами [7].</w:t>
      </w:r>
    </w:p>
    <w:p w:rsidR="003A78F6" w:rsidRPr="003A78F6" w:rsidRDefault="003A78F6" w:rsidP="003A78F6">
      <w:pPr>
        <w:spacing w:after="0" w:line="240" w:lineRule="auto"/>
        <w:ind w:firstLine="709"/>
        <w:jc w:val="both"/>
        <w:rPr>
          <w:rFonts w:ascii="Times New Roman" w:eastAsia="Newton-Regular" w:hAnsi="Times New Roman" w:cs="Times New Roman"/>
          <w:sz w:val="28"/>
        </w:rPr>
      </w:pPr>
      <w:r w:rsidRPr="003A78F6">
        <w:rPr>
          <w:rFonts w:ascii="Times New Roman" w:eastAsia="Calibri" w:hAnsi="Times New Roman" w:cs="Times New Roman"/>
          <w:i/>
          <w:sz w:val="28"/>
        </w:rPr>
        <w:t>Экономические кризисы</w:t>
      </w:r>
      <w:r w:rsidRPr="003A78F6">
        <w:rPr>
          <w:rFonts w:ascii="Times New Roman" w:eastAsia="Calibri" w:hAnsi="Times New Roman" w:cs="Times New Roman"/>
          <w:sz w:val="28"/>
        </w:rPr>
        <w:t xml:space="preserve"> — отражают острые противоречия в экономике государства или экономическом состоянии отдельного субъекта предпринимательства, региона, комплекса, отрасли и т.д. (кризисы производства и реализации товара; кризисы неплатежей; потери конкурентных преимуществ и т.д.); </w:t>
      </w:r>
      <w:r w:rsidRPr="003A78F6">
        <w:rPr>
          <w:rFonts w:ascii="Times New Roman" w:eastAsia="Newton-Regular" w:hAnsi="Times New Roman" w:cs="Times New Roman"/>
          <w:sz w:val="28"/>
        </w:rPr>
        <w:t>могут быть охарактеризованы как нарушение баланса  между спросом и предложением на товары и услуги, где основной причиной возникновения экономических противоречий, является разрыв между производством и потреблением товаров [8].</w:t>
      </w:r>
    </w:p>
    <w:p w:rsidR="003A78F6" w:rsidRPr="003A78F6" w:rsidRDefault="003A78F6" w:rsidP="003A78F6">
      <w:pPr>
        <w:shd w:val="clear" w:color="auto" w:fill="FFFFFF"/>
        <w:spacing w:after="0" w:line="240" w:lineRule="auto"/>
        <w:ind w:firstLine="709"/>
        <w:jc w:val="both"/>
        <w:rPr>
          <w:rFonts w:ascii="Times New Roman" w:eastAsia="Calibri" w:hAnsi="Times New Roman" w:cs="Times New Roman"/>
          <w:sz w:val="28"/>
        </w:rPr>
      </w:pPr>
      <w:r w:rsidRPr="003A78F6">
        <w:rPr>
          <w:rFonts w:ascii="Times New Roman" w:eastAsia="Newton-Regular" w:hAnsi="Times New Roman" w:cs="Times New Roman"/>
          <w:sz w:val="28"/>
        </w:rPr>
        <w:t>В зависимости от характера протекания экономических спадов, охватов различных сфер или отраслей экономики различают следующие виды экономических кризисов: финансовые, биржевые, аграрные, структурные, макроэкономические, отраслевые, мировые [9].</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xml:space="preserve">Наряду с деструктивным содержанием кризисы выполняют ряд рациональных функций, а именно: </w:t>
      </w:r>
    </w:p>
    <w:p w:rsidR="003A78F6" w:rsidRPr="003A78F6" w:rsidRDefault="003A78F6" w:rsidP="003A78F6">
      <w:pPr>
        <w:spacing w:after="0" w:line="240" w:lineRule="auto"/>
        <w:ind w:firstLine="709"/>
        <w:contextualSpacing/>
        <w:jc w:val="both"/>
        <w:rPr>
          <w:rFonts w:ascii="Times New Roman" w:eastAsia="Calibri" w:hAnsi="Times New Roman" w:cs="Times New Roman"/>
          <w:sz w:val="28"/>
        </w:rPr>
      </w:pPr>
      <w:r w:rsidRPr="003A78F6">
        <w:rPr>
          <w:rFonts w:ascii="Times New Roman" w:eastAsia="Calibri" w:hAnsi="Times New Roman" w:cs="Times New Roman"/>
          <w:sz w:val="28"/>
        </w:rPr>
        <w:t xml:space="preserve">– вытесняют устаревшие (отжившие, атавистичные) структурные элементы системы, которые неспособны дать ей качественно новое наполнение; </w:t>
      </w:r>
    </w:p>
    <w:p w:rsidR="003A78F6" w:rsidRPr="003A78F6" w:rsidRDefault="003A78F6" w:rsidP="003A78F6">
      <w:pPr>
        <w:spacing w:after="0" w:line="240" w:lineRule="auto"/>
        <w:ind w:firstLine="709"/>
        <w:contextualSpacing/>
        <w:jc w:val="both"/>
        <w:rPr>
          <w:rFonts w:ascii="Times New Roman" w:eastAsia="Calibri" w:hAnsi="Times New Roman" w:cs="Times New Roman"/>
          <w:sz w:val="28"/>
        </w:rPr>
      </w:pPr>
      <w:r w:rsidRPr="003A78F6">
        <w:rPr>
          <w:rFonts w:ascii="Times New Roman" w:eastAsia="Calibri" w:hAnsi="Times New Roman" w:cs="Times New Roman"/>
          <w:sz w:val="28"/>
        </w:rPr>
        <w:t xml:space="preserve">– осуществляют отбор и сохранение элементов системы, определяющих её последующее состояние в перспективе. </w:t>
      </w:r>
    </w:p>
    <w:p w:rsidR="003A78F6" w:rsidRPr="003A78F6" w:rsidRDefault="003A78F6" w:rsidP="003A78F6">
      <w:pPr>
        <w:spacing w:after="0" w:line="240" w:lineRule="auto"/>
        <w:ind w:firstLine="709"/>
        <w:contextualSpacing/>
        <w:jc w:val="both"/>
        <w:rPr>
          <w:rFonts w:ascii="Times New Roman" w:eastAsia="Calibri" w:hAnsi="Times New Roman" w:cs="Times New Roman"/>
          <w:sz w:val="28"/>
        </w:rPr>
      </w:pPr>
      <w:r w:rsidRPr="003A78F6">
        <w:rPr>
          <w:rFonts w:ascii="Times New Roman" w:eastAsia="Calibri" w:hAnsi="Times New Roman" w:cs="Times New Roman"/>
          <w:sz w:val="28"/>
        </w:rPr>
        <w:t>Таким образом, кризисы не только уничтожают недееспособные структуры и деструктивные связи, но и несут в себе элементы новой системы, выполняя созидательную функцию. Поэтому они необходимы для перехода системы в качественно новое состояние, достаточное для поддержания её долговременного устойчивого   функционирования</w:t>
      </w:r>
      <w:r w:rsidRPr="003A78F6">
        <w:rPr>
          <w:rFonts w:ascii="Times New Roman" w:eastAsia="Newton-Regular" w:hAnsi="Times New Roman" w:cs="Times New Roman"/>
          <w:sz w:val="28"/>
        </w:rPr>
        <w:t xml:space="preserve"> [7].</w:t>
      </w:r>
    </w:p>
    <w:p w:rsidR="003A78F6" w:rsidRPr="003A78F6" w:rsidRDefault="003A78F6" w:rsidP="003A78F6">
      <w:pPr>
        <w:autoSpaceDE w:val="0"/>
        <w:autoSpaceDN w:val="0"/>
        <w:adjustRightInd w:val="0"/>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xml:space="preserve">Иначе говоря, кризис является не только фазой, завершающей определенный этап в развитии объекта или системы, но и начальной фазой нового этапа в их развитии. Подходы разных ученых к очередности этапов  цикла различаются. Кукшин С.Н. выделяет следующую последовательность [10]: </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депрессия – состояние организационно-экономической системы, которой присущи прекращение деградации производства, пассивная хозяйственная конъюнктура, что связано с высоким уровнем безработицы и стабильно высокими уровнями инфляции;</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lastRenderedPageBreak/>
        <w:t xml:space="preserve">– оживление – промежуточное состояние между депрессией и подъёмом. Оно в несущественной степени связано с ростом деловой активности, что позволяет считать его составным элементом депрессии или подъёма; </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подъём (процветание) – этой стадии присущ рост объёмов производства товаров и/или предоставляемых услуг, обусловленный  высоким ростом деловой активности субъектов хозяйственной деятельности;</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стагнация – противоположность депрессии, которая  характеризуется снижением роста деловой активности, при котором рост объема производства по инерции продолжается, но в существенно меньших размерах при сложившемся насыщении товарных рынков;</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 спад – резкое снижение уровня бизнес-активности (благоприятности бизнес-климата), которое сопровождается негативным ростом объёма производства, инфляции и, как  следствие, ростом уровня безработицы.</w:t>
      </w:r>
    </w:p>
    <w:p w:rsidR="003A78F6" w:rsidRPr="003A78F6" w:rsidRDefault="003A78F6" w:rsidP="003A78F6">
      <w:pPr>
        <w:spacing w:after="0" w:line="240" w:lineRule="auto"/>
        <w:ind w:firstLine="709"/>
        <w:jc w:val="both"/>
        <w:rPr>
          <w:rFonts w:ascii="Times New Roman" w:eastAsia="Calibri" w:hAnsi="Times New Roman" w:cs="Times New Roman"/>
          <w:sz w:val="28"/>
        </w:rPr>
      </w:pPr>
      <w:r w:rsidRPr="003A78F6">
        <w:rPr>
          <w:rFonts w:ascii="Times New Roman" w:eastAsia="Calibri" w:hAnsi="Times New Roman" w:cs="Times New Roman"/>
          <w:sz w:val="28"/>
        </w:rPr>
        <w:t>По Марксу  классический цикл кризиса включает четыре фазы, где спад определен как начало цикла.</w:t>
      </w:r>
    </w:p>
    <w:p w:rsidR="003A78F6" w:rsidRPr="003A78F6" w:rsidRDefault="003A78F6" w:rsidP="003A78F6">
      <w:pPr>
        <w:autoSpaceDE w:val="0"/>
        <w:autoSpaceDN w:val="0"/>
        <w:adjustRightInd w:val="0"/>
        <w:spacing w:after="0" w:line="240" w:lineRule="auto"/>
        <w:ind w:firstLine="709"/>
        <w:jc w:val="both"/>
        <w:rPr>
          <w:rFonts w:ascii="Times New Roman" w:eastAsia="Calibri" w:hAnsi="Times New Roman" w:cs="Times New Roman"/>
          <w:sz w:val="28"/>
          <w:lang w:eastAsia="ru-RU"/>
        </w:rPr>
      </w:pPr>
      <w:r w:rsidRPr="003A78F6">
        <w:rPr>
          <w:rFonts w:ascii="Times New Roman" w:eastAsia="Calibri" w:hAnsi="Times New Roman" w:cs="Times New Roman"/>
          <w:b/>
          <w:sz w:val="28"/>
        </w:rPr>
        <w:t xml:space="preserve">Выводы. </w:t>
      </w:r>
      <w:r w:rsidRPr="003A78F6">
        <w:rPr>
          <w:rFonts w:ascii="Times New Roman" w:eastAsia="Calibri" w:hAnsi="Times New Roman" w:cs="Times New Roman"/>
          <w:sz w:val="28"/>
        </w:rPr>
        <w:t>Т</w:t>
      </w:r>
      <w:r w:rsidRPr="003A78F6">
        <w:rPr>
          <w:rFonts w:ascii="Times New Roman" w:eastAsia="Calibri" w:hAnsi="Times New Roman" w:cs="Times New Roman"/>
          <w:sz w:val="28"/>
          <w:lang w:eastAsia="ru-RU"/>
        </w:rPr>
        <w:t xml:space="preserve">аким образом, </w:t>
      </w:r>
      <w:r w:rsidRPr="003A78F6">
        <w:rPr>
          <w:rFonts w:ascii="Times New Roman" w:eastAsia="Calibri" w:hAnsi="Times New Roman" w:cs="Times New Roman"/>
          <w:sz w:val="28"/>
        </w:rPr>
        <w:t xml:space="preserve">кризис представляет собой обострение противоречий в социально-экономической системе, угрожающее её жизнеспособности в окружающей среде, и возникающее как на стадии управления функционированием системы с целью стабилизации экономических процессов, так и на стадии управления её развитием с целью перехода на качественно новый уровень. </w:t>
      </w:r>
      <w:r w:rsidRPr="003A78F6">
        <w:rPr>
          <w:rFonts w:ascii="Times New Roman" w:eastAsia="Calibri" w:hAnsi="Times New Roman" w:cs="Times New Roman"/>
          <w:sz w:val="28"/>
          <w:lang w:eastAsia="ru-RU"/>
        </w:rPr>
        <w:t xml:space="preserve">Экономические системы вне зависимости от их фундаментальных различий и их многообразия постоянно сталкиваются с таким явлением как кризис, который наряду с деструктивным влиянием в то же время несет в себе созидательное начало и в итоге становился неотъемлемой частью самой обновленной системы, то есть способствует ее совершенствованию и повышению устойчивости и эффективности.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3A78F6" w:rsidRPr="003A78F6" w:rsidTr="00665C78">
        <w:trPr>
          <w:jc w:val="center"/>
        </w:trPr>
        <w:tc>
          <w:tcPr>
            <w:tcW w:w="5000" w:type="pct"/>
            <w:gridSpan w:val="2"/>
          </w:tcPr>
          <w:p w:rsidR="003A78F6" w:rsidRPr="003A78F6" w:rsidRDefault="003A78F6" w:rsidP="003A78F6">
            <w:pPr>
              <w:contextualSpacing/>
              <w:jc w:val="both"/>
              <w:rPr>
                <w:sz w:val="24"/>
              </w:rPr>
            </w:pPr>
          </w:p>
        </w:tc>
      </w:tr>
      <w:tr w:rsidR="003A78F6" w:rsidRPr="003A78F6" w:rsidTr="00665C78">
        <w:trPr>
          <w:jc w:val="center"/>
        </w:trPr>
        <w:tc>
          <w:tcPr>
            <w:tcW w:w="5000" w:type="pct"/>
            <w:gridSpan w:val="2"/>
          </w:tcPr>
          <w:p w:rsidR="003A78F6" w:rsidRPr="003A78F6" w:rsidRDefault="003A78F6" w:rsidP="003A78F6">
            <w:pPr>
              <w:jc w:val="center"/>
              <w:rPr>
                <w:b/>
              </w:rPr>
            </w:pPr>
            <w:r w:rsidRPr="003A78F6">
              <w:rPr>
                <w:b/>
              </w:rPr>
              <w:t>Список литературы</w:t>
            </w:r>
          </w:p>
        </w:tc>
      </w:tr>
      <w:tr w:rsidR="003A78F6" w:rsidRPr="003A78F6" w:rsidTr="00665C78">
        <w:trPr>
          <w:jc w:val="center"/>
        </w:trPr>
        <w:tc>
          <w:tcPr>
            <w:tcW w:w="293" w:type="pct"/>
          </w:tcPr>
          <w:p w:rsidR="003A78F6" w:rsidRPr="003A78F6" w:rsidRDefault="003A78F6" w:rsidP="003A78F6">
            <w:pPr>
              <w:widowControl w:val="0"/>
              <w:numPr>
                <w:ilvl w:val="0"/>
                <w:numId w:val="1"/>
              </w:numPr>
              <w:contextualSpacing/>
              <w:jc w:val="both"/>
              <w:rPr>
                <w:sz w:val="24"/>
              </w:rPr>
            </w:pPr>
          </w:p>
        </w:tc>
        <w:tc>
          <w:tcPr>
            <w:tcW w:w="4707" w:type="pct"/>
          </w:tcPr>
          <w:p w:rsidR="003A78F6" w:rsidRPr="003A78F6" w:rsidRDefault="003A78F6" w:rsidP="003A78F6">
            <w:pPr>
              <w:jc w:val="both"/>
              <w:rPr>
                <w:rFonts w:eastAsia="Calibri"/>
                <w:sz w:val="24"/>
                <w:szCs w:val="24"/>
              </w:rPr>
            </w:pPr>
            <w:r w:rsidRPr="003A78F6">
              <w:rPr>
                <w:rFonts w:eastAsia="Calibri"/>
                <w:sz w:val="24"/>
                <w:szCs w:val="24"/>
                <w:lang w:eastAsia="ru-RU"/>
              </w:rPr>
              <w:t>Ю. А. Щербанина. Мировая экономика: Учебник для вузов- М.: ЮНИТИ-ДАНА, 2004.- 318 с.</w:t>
            </w:r>
          </w:p>
        </w:tc>
      </w:tr>
      <w:tr w:rsidR="003A78F6" w:rsidRPr="003A78F6" w:rsidTr="00665C78">
        <w:trPr>
          <w:jc w:val="center"/>
        </w:trPr>
        <w:tc>
          <w:tcPr>
            <w:tcW w:w="293" w:type="pct"/>
          </w:tcPr>
          <w:p w:rsidR="003A78F6" w:rsidRPr="003A78F6" w:rsidRDefault="003A78F6" w:rsidP="003A78F6">
            <w:pPr>
              <w:widowControl w:val="0"/>
              <w:numPr>
                <w:ilvl w:val="0"/>
                <w:numId w:val="1"/>
              </w:numPr>
              <w:contextualSpacing/>
              <w:jc w:val="both"/>
              <w:rPr>
                <w:sz w:val="24"/>
              </w:rPr>
            </w:pPr>
          </w:p>
        </w:tc>
        <w:tc>
          <w:tcPr>
            <w:tcW w:w="4707" w:type="pct"/>
          </w:tcPr>
          <w:p w:rsidR="003A78F6" w:rsidRPr="003A78F6" w:rsidRDefault="003A78F6" w:rsidP="003A78F6">
            <w:pPr>
              <w:jc w:val="both"/>
              <w:rPr>
                <w:rFonts w:eastAsia="Calibri"/>
                <w:sz w:val="24"/>
                <w:szCs w:val="24"/>
              </w:rPr>
            </w:pPr>
            <w:r w:rsidRPr="003A78F6">
              <w:rPr>
                <w:rFonts w:eastAsia="Calibri"/>
                <w:sz w:val="24"/>
                <w:szCs w:val="24"/>
              </w:rPr>
              <w:t>Антикризисное управление: Учебник. Под ред. проф. Э.М. Короткова. – М.: ИНФРА-М, 2012 г.</w:t>
            </w:r>
          </w:p>
        </w:tc>
      </w:tr>
      <w:tr w:rsidR="003A78F6" w:rsidRPr="003A78F6" w:rsidTr="00665C78">
        <w:trPr>
          <w:jc w:val="center"/>
        </w:trPr>
        <w:tc>
          <w:tcPr>
            <w:tcW w:w="293" w:type="pct"/>
          </w:tcPr>
          <w:p w:rsidR="003A78F6" w:rsidRPr="003A78F6" w:rsidRDefault="003A78F6" w:rsidP="003A78F6">
            <w:pPr>
              <w:widowControl w:val="0"/>
              <w:numPr>
                <w:ilvl w:val="0"/>
                <w:numId w:val="1"/>
              </w:numPr>
              <w:contextualSpacing/>
              <w:jc w:val="both"/>
              <w:rPr>
                <w:sz w:val="24"/>
              </w:rPr>
            </w:pPr>
          </w:p>
        </w:tc>
        <w:tc>
          <w:tcPr>
            <w:tcW w:w="4707" w:type="pct"/>
          </w:tcPr>
          <w:p w:rsidR="003A78F6" w:rsidRPr="003A78F6" w:rsidRDefault="003A78F6" w:rsidP="003A78F6">
            <w:pPr>
              <w:jc w:val="both"/>
              <w:rPr>
                <w:rFonts w:eastAsia="Calibri"/>
                <w:sz w:val="24"/>
                <w:szCs w:val="24"/>
                <w:shd w:val="clear" w:color="auto" w:fill="FFFFFF"/>
              </w:rPr>
            </w:pPr>
            <w:r w:rsidRPr="003A78F6">
              <w:rPr>
                <w:rFonts w:eastAsia="Calibri"/>
                <w:sz w:val="24"/>
                <w:szCs w:val="24"/>
                <w:shd w:val="clear" w:color="auto" w:fill="FFFFFF"/>
              </w:rPr>
              <w:t>Н. Д. Кондратьев: кризисы и прогнозы в свете теории длинных волн. Взгляд из современности М.: Моск. ред. изд-ва «Учитель», 2017. – 384 с. под ред. Л. Е. Гринина, А. В. Коротаева, В. М. Бондаренко.</w:t>
            </w:r>
            <w:r w:rsidRPr="003A78F6">
              <w:rPr>
                <w:rFonts w:eastAsia="Calibri"/>
                <w:sz w:val="24"/>
                <w:szCs w:val="24"/>
              </w:rPr>
              <w:t xml:space="preserve">[Электронный ресурс]:– Режим доступа: URL. – </w:t>
            </w:r>
            <w:r w:rsidRPr="003A78F6">
              <w:rPr>
                <w:rFonts w:eastAsia="Calibri"/>
                <w:sz w:val="24"/>
                <w:szCs w:val="24"/>
                <w:u w:val="single"/>
                <w:shd w:val="clear" w:color="auto" w:fill="FFFFFF"/>
              </w:rPr>
              <w:t>https://www.socionauki.ru/book/files/%D0%BArizisy_i_prognozy_2_izd/212-221p.php</w:t>
            </w:r>
          </w:p>
        </w:tc>
      </w:tr>
      <w:tr w:rsidR="003A78F6" w:rsidRPr="003A78F6" w:rsidTr="00665C78">
        <w:trPr>
          <w:jc w:val="center"/>
        </w:trPr>
        <w:tc>
          <w:tcPr>
            <w:tcW w:w="293" w:type="pct"/>
          </w:tcPr>
          <w:p w:rsidR="003A78F6" w:rsidRPr="003A78F6" w:rsidRDefault="003A78F6" w:rsidP="003A78F6">
            <w:pPr>
              <w:widowControl w:val="0"/>
              <w:numPr>
                <w:ilvl w:val="0"/>
                <w:numId w:val="1"/>
              </w:numPr>
              <w:contextualSpacing/>
              <w:jc w:val="both"/>
              <w:rPr>
                <w:sz w:val="24"/>
              </w:rPr>
            </w:pPr>
          </w:p>
        </w:tc>
        <w:tc>
          <w:tcPr>
            <w:tcW w:w="4707" w:type="pct"/>
          </w:tcPr>
          <w:p w:rsidR="003A78F6" w:rsidRPr="003A78F6" w:rsidRDefault="003A78F6" w:rsidP="003A78F6">
            <w:pPr>
              <w:jc w:val="both"/>
              <w:rPr>
                <w:rFonts w:eastAsia="Calibri"/>
                <w:sz w:val="24"/>
                <w:szCs w:val="24"/>
              </w:rPr>
            </w:pPr>
            <w:r w:rsidRPr="003A78F6">
              <w:rPr>
                <w:rFonts w:eastAsia="Newton-Regular"/>
                <w:sz w:val="24"/>
                <w:szCs w:val="24"/>
              </w:rPr>
              <w:t>Экономическая энциклопедия / Под ред. Л. И. Абалкина. М., 1999. С. 346.</w:t>
            </w:r>
          </w:p>
        </w:tc>
      </w:tr>
      <w:tr w:rsidR="003A78F6" w:rsidRPr="003A78F6" w:rsidTr="00665C78">
        <w:trPr>
          <w:jc w:val="center"/>
        </w:trPr>
        <w:tc>
          <w:tcPr>
            <w:tcW w:w="293" w:type="pct"/>
          </w:tcPr>
          <w:p w:rsidR="003A78F6" w:rsidRPr="003A78F6" w:rsidRDefault="003A78F6" w:rsidP="003A78F6">
            <w:pPr>
              <w:widowControl w:val="0"/>
              <w:numPr>
                <w:ilvl w:val="0"/>
                <w:numId w:val="1"/>
              </w:numPr>
              <w:contextualSpacing/>
              <w:jc w:val="both"/>
              <w:rPr>
                <w:sz w:val="24"/>
              </w:rPr>
            </w:pPr>
          </w:p>
        </w:tc>
        <w:tc>
          <w:tcPr>
            <w:tcW w:w="4707" w:type="pct"/>
          </w:tcPr>
          <w:p w:rsidR="003A78F6" w:rsidRPr="003A78F6" w:rsidRDefault="003A78F6" w:rsidP="003A78F6">
            <w:pPr>
              <w:contextualSpacing/>
              <w:jc w:val="both"/>
              <w:rPr>
                <w:rFonts w:eastAsia="Calibri"/>
                <w:sz w:val="24"/>
                <w:szCs w:val="24"/>
              </w:rPr>
            </w:pPr>
            <w:r w:rsidRPr="003A78F6">
              <w:rPr>
                <w:rFonts w:eastAsia="Newton-Italic"/>
                <w:iCs/>
                <w:sz w:val="24"/>
                <w:szCs w:val="24"/>
              </w:rPr>
              <w:t xml:space="preserve">Коротков Э. М. </w:t>
            </w:r>
            <w:r w:rsidRPr="003A78F6">
              <w:rPr>
                <w:rFonts w:eastAsia="Newton-Regular"/>
                <w:sz w:val="24"/>
                <w:szCs w:val="24"/>
              </w:rPr>
              <w:t>Антикризисное управление. М., 2004. С. 896.</w:t>
            </w:r>
          </w:p>
        </w:tc>
      </w:tr>
      <w:tr w:rsidR="003A78F6" w:rsidRPr="003A78F6" w:rsidTr="00665C78">
        <w:trPr>
          <w:jc w:val="center"/>
        </w:trPr>
        <w:tc>
          <w:tcPr>
            <w:tcW w:w="293" w:type="pct"/>
          </w:tcPr>
          <w:p w:rsidR="003A78F6" w:rsidRPr="003A78F6" w:rsidRDefault="003A78F6" w:rsidP="003A78F6">
            <w:pPr>
              <w:widowControl w:val="0"/>
              <w:numPr>
                <w:ilvl w:val="0"/>
                <w:numId w:val="1"/>
              </w:numPr>
              <w:contextualSpacing/>
              <w:jc w:val="both"/>
              <w:rPr>
                <w:sz w:val="24"/>
              </w:rPr>
            </w:pPr>
          </w:p>
        </w:tc>
        <w:tc>
          <w:tcPr>
            <w:tcW w:w="4707" w:type="pct"/>
          </w:tcPr>
          <w:p w:rsidR="003A78F6" w:rsidRPr="003A78F6" w:rsidRDefault="003A78F6" w:rsidP="003A78F6">
            <w:pPr>
              <w:jc w:val="both"/>
              <w:rPr>
                <w:rFonts w:eastAsia="Calibri"/>
                <w:sz w:val="24"/>
                <w:szCs w:val="24"/>
              </w:rPr>
            </w:pPr>
            <w:r w:rsidRPr="003A78F6">
              <w:rPr>
                <w:rFonts w:eastAsia="Newton-Italic"/>
                <w:iCs/>
                <w:sz w:val="24"/>
                <w:szCs w:val="24"/>
              </w:rPr>
              <w:t xml:space="preserve">Балдин К. В., Быстров О. Ф., Рукосуев А. В. </w:t>
            </w:r>
            <w:r w:rsidRPr="003A78F6">
              <w:rPr>
                <w:rFonts w:eastAsia="Calibri"/>
                <w:sz w:val="24"/>
                <w:szCs w:val="24"/>
              </w:rPr>
              <w:t xml:space="preserve">Антикризисное управление: макро- и микроуровень. </w:t>
            </w:r>
            <w:r w:rsidRPr="003A78F6">
              <w:rPr>
                <w:rFonts w:eastAsia="Newton-Italic"/>
                <w:bCs/>
                <w:sz w:val="24"/>
                <w:szCs w:val="24"/>
              </w:rPr>
              <w:t>М</w:t>
            </w:r>
            <w:r w:rsidRPr="003A78F6">
              <w:rPr>
                <w:rFonts w:eastAsia="Calibri"/>
                <w:sz w:val="24"/>
                <w:szCs w:val="24"/>
              </w:rPr>
              <w:t>., 2005. С. 316</w:t>
            </w:r>
          </w:p>
        </w:tc>
      </w:tr>
      <w:tr w:rsidR="003A78F6" w:rsidRPr="003A78F6" w:rsidTr="00665C78">
        <w:trPr>
          <w:jc w:val="center"/>
        </w:trPr>
        <w:tc>
          <w:tcPr>
            <w:tcW w:w="293" w:type="pct"/>
          </w:tcPr>
          <w:p w:rsidR="003A78F6" w:rsidRPr="003A78F6" w:rsidRDefault="003A78F6" w:rsidP="003A78F6">
            <w:pPr>
              <w:widowControl w:val="0"/>
              <w:numPr>
                <w:ilvl w:val="0"/>
                <w:numId w:val="1"/>
              </w:numPr>
              <w:contextualSpacing/>
              <w:jc w:val="both"/>
              <w:rPr>
                <w:sz w:val="24"/>
              </w:rPr>
            </w:pPr>
          </w:p>
        </w:tc>
        <w:tc>
          <w:tcPr>
            <w:tcW w:w="4707" w:type="pct"/>
          </w:tcPr>
          <w:p w:rsidR="003A78F6" w:rsidRPr="003A78F6" w:rsidRDefault="003A78F6" w:rsidP="003A78F6">
            <w:pPr>
              <w:jc w:val="both"/>
              <w:rPr>
                <w:rFonts w:eastAsia="Calibri"/>
                <w:sz w:val="24"/>
                <w:szCs w:val="24"/>
              </w:rPr>
            </w:pPr>
            <w:r w:rsidRPr="003A78F6">
              <w:rPr>
                <w:rFonts w:eastAsia="Calibri"/>
                <w:sz w:val="24"/>
                <w:szCs w:val="24"/>
              </w:rPr>
              <w:t xml:space="preserve">В. А. Цветков </w:t>
            </w:r>
            <w:r w:rsidRPr="003A78F6">
              <w:rPr>
                <w:rFonts w:eastAsia="Calibri"/>
                <w:bCs/>
                <w:sz w:val="24"/>
                <w:szCs w:val="24"/>
              </w:rPr>
              <w:t xml:space="preserve">Циклы и кризисы: теоретико-методологический аспект </w:t>
            </w:r>
            <w:r w:rsidRPr="003A78F6">
              <w:rPr>
                <w:rFonts w:eastAsia="Newton-Regular"/>
                <w:sz w:val="24"/>
                <w:szCs w:val="24"/>
              </w:rPr>
              <w:t>Нестор-История М.,СПБ., 2012. С. 504</w:t>
            </w:r>
          </w:p>
        </w:tc>
      </w:tr>
      <w:tr w:rsidR="003A78F6" w:rsidRPr="003A78F6" w:rsidTr="00665C78">
        <w:trPr>
          <w:jc w:val="center"/>
        </w:trPr>
        <w:tc>
          <w:tcPr>
            <w:tcW w:w="293" w:type="pct"/>
          </w:tcPr>
          <w:p w:rsidR="003A78F6" w:rsidRPr="003A78F6" w:rsidRDefault="003A78F6" w:rsidP="003A78F6">
            <w:pPr>
              <w:widowControl w:val="0"/>
              <w:numPr>
                <w:ilvl w:val="0"/>
                <w:numId w:val="1"/>
              </w:numPr>
              <w:contextualSpacing/>
              <w:jc w:val="both"/>
              <w:rPr>
                <w:sz w:val="24"/>
              </w:rPr>
            </w:pPr>
          </w:p>
        </w:tc>
        <w:tc>
          <w:tcPr>
            <w:tcW w:w="4707" w:type="pct"/>
          </w:tcPr>
          <w:p w:rsidR="003A78F6" w:rsidRPr="003A78F6" w:rsidRDefault="003A78F6" w:rsidP="003A78F6">
            <w:pPr>
              <w:jc w:val="both"/>
              <w:rPr>
                <w:rFonts w:eastAsia="Calibri"/>
                <w:sz w:val="24"/>
                <w:szCs w:val="24"/>
              </w:rPr>
            </w:pPr>
            <w:r w:rsidRPr="003A78F6">
              <w:rPr>
                <w:rFonts w:eastAsia="Calibri"/>
                <w:sz w:val="24"/>
                <w:szCs w:val="24"/>
                <w:lang w:eastAsia="ru-RU"/>
              </w:rPr>
              <w:t>C. Дзарасов. Российский кризис: истоки и уроки. [Текст]/ C. Дзарасов.//Вопросы экономики.-2009. -№5. С. 69</w:t>
            </w:r>
          </w:p>
        </w:tc>
      </w:tr>
      <w:tr w:rsidR="003A78F6" w:rsidRPr="003A78F6" w:rsidTr="00665C78">
        <w:trPr>
          <w:jc w:val="center"/>
        </w:trPr>
        <w:tc>
          <w:tcPr>
            <w:tcW w:w="293" w:type="pct"/>
          </w:tcPr>
          <w:p w:rsidR="003A78F6" w:rsidRPr="003A78F6" w:rsidRDefault="003A78F6" w:rsidP="003A78F6">
            <w:pPr>
              <w:widowControl w:val="0"/>
              <w:numPr>
                <w:ilvl w:val="0"/>
                <w:numId w:val="1"/>
              </w:numPr>
              <w:contextualSpacing/>
              <w:jc w:val="both"/>
              <w:rPr>
                <w:sz w:val="24"/>
              </w:rPr>
            </w:pPr>
          </w:p>
        </w:tc>
        <w:tc>
          <w:tcPr>
            <w:tcW w:w="4707" w:type="pct"/>
          </w:tcPr>
          <w:p w:rsidR="003A78F6" w:rsidRPr="003A78F6" w:rsidRDefault="003A78F6" w:rsidP="003A78F6">
            <w:pPr>
              <w:jc w:val="both"/>
              <w:rPr>
                <w:rFonts w:eastAsia="Calibri"/>
                <w:sz w:val="24"/>
                <w:szCs w:val="24"/>
              </w:rPr>
            </w:pPr>
            <w:r w:rsidRPr="003A78F6">
              <w:rPr>
                <w:rFonts w:eastAsia="Calibri"/>
                <w:sz w:val="24"/>
                <w:szCs w:val="24"/>
                <w:lang w:eastAsia="ru-RU"/>
              </w:rPr>
              <w:t>Конотопов М. В.. История экономики зарубежных стран. [Текст]: - М.: Логос, 2003. -263 с.</w:t>
            </w:r>
            <w:r w:rsidRPr="003A78F6">
              <w:rPr>
                <w:rFonts w:eastAsia="Newton-Regular"/>
                <w:sz w:val="24"/>
                <w:szCs w:val="24"/>
              </w:rPr>
              <w:t>]</w:t>
            </w:r>
          </w:p>
        </w:tc>
      </w:tr>
      <w:tr w:rsidR="003A78F6" w:rsidRPr="003A78F6" w:rsidTr="00665C78">
        <w:trPr>
          <w:jc w:val="center"/>
        </w:trPr>
        <w:tc>
          <w:tcPr>
            <w:tcW w:w="293" w:type="pct"/>
          </w:tcPr>
          <w:p w:rsidR="003A78F6" w:rsidRPr="003A78F6" w:rsidRDefault="003A78F6" w:rsidP="003A78F6">
            <w:pPr>
              <w:widowControl w:val="0"/>
              <w:numPr>
                <w:ilvl w:val="0"/>
                <w:numId w:val="1"/>
              </w:numPr>
              <w:contextualSpacing/>
              <w:jc w:val="both"/>
              <w:rPr>
                <w:sz w:val="24"/>
              </w:rPr>
            </w:pPr>
          </w:p>
        </w:tc>
        <w:tc>
          <w:tcPr>
            <w:tcW w:w="4707" w:type="pct"/>
          </w:tcPr>
          <w:p w:rsidR="003A78F6" w:rsidRPr="003A78F6" w:rsidRDefault="003A78F6" w:rsidP="003A78F6">
            <w:pPr>
              <w:jc w:val="both"/>
              <w:rPr>
                <w:rFonts w:eastAsia="Calibri"/>
                <w:sz w:val="24"/>
                <w:szCs w:val="24"/>
              </w:rPr>
            </w:pPr>
            <w:r w:rsidRPr="003A78F6">
              <w:rPr>
                <w:rFonts w:eastAsia="Calibri"/>
                <w:bCs/>
                <w:iCs/>
                <w:sz w:val="24"/>
                <w:szCs w:val="24"/>
              </w:rPr>
              <w:t xml:space="preserve">Кукушкин С.Н. </w:t>
            </w:r>
            <w:r w:rsidRPr="003A78F6">
              <w:rPr>
                <w:rFonts w:eastAsia="Calibri"/>
                <w:sz w:val="24"/>
                <w:szCs w:val="24"/>
              </w:rPr>
              <w:t>Антикризисное управление: Монография. Ульяновск: УлГТУ, 2001. C. 190</w:t>
            </w:r>
          </w:p>
        </w:tc>
      </w:tr>
    </w:tbl>
    <w:p w:rsidR="003A78F6" w:rsidRPr="003A78F6" w:rsidRDefault="003A78F6" w:rsidP="003A78F6">
      <w:pPr>
        <w:autoSpaceDE w:val="0"/>
        <w:autoSpaceDN w:val="0"/>
        <w:adjustRightInd w:val="0"/>
        <w:spacing w:after="0" w:line="240" w:lineRule="auto"/>
        <w:ind w:firstLine="709"/>
        <w:rPr>
          <w:rFonts w:ascii="Times New Roman" w:eastAsia="Newton-Regular" w:hAnsi="Times New Roman" w:cs="Times New Roman"/>
          <w:sz w:val="28"/>
        </w:rPr>
      </w:pPr>
    </w:p>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Newton-Regular">
    <w:altName w:val="MS Gothic"/>
    <w:panose1 w:val="00000000000000000000"/>
    <w:charset w:val="80"/>
    <w:family w:val="auto"/>
    <w:notTrueType/>
    <w:pitch w:val="default"/>
    <w:sig w:usb0="00000003" w:usb1="08070000" w:usb2="00000010" w:usb3="00000000" w:csb0="00020001" w:csb1="00000000"/>
  </w:font>
  <w:font w:name="Newton-Ital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D75E0"/>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8F6"/>
    <w:rsid w:val="003A78F6"/>
    <w:rsid w:val="00527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8F6"/>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8F6"/>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2020-04-16T17:23:00Z</dcterms:modified>
</cp:coreProperties>
</file>