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5127"/>
      </w:tblGrid>
      <w:tr w:rsidR="00893912" w:rsidRPr="00893912" w:rsidTr="00B36FDB">
        <w:trPr>
          <w:jc w:val="center"/>
        </w:trPr>
        <w:tc>
          <w:tcPr>
            <w:tcW w:w="9566" w:type="dxa"/>
            <w:gridSpan w:val="2"/>
            <w:hideMark/>
          </w:tcPr>
          <w:p w:rsidR="00893912" w:rsidRPr="00893912" w:rsidRDefault="00893912" w:rsidP="00893912">
            <w:pPr>
              <w:widowControl w:val="0"/>
              <w:shd w:val="clear" w:color="auto" w:fill="FFFFFF"/>
              <w:jc w:val="both"/>
              <w:rPr>
                <w:b/>
                <w:color w:val="000000" w:themeColor="text1"/>
                <w:szCs w:val="28"/>
              </w:rPr>
            </w:pPr>
            <w:r w:rsidRPr="00893912">
              <w:rPr>
                <w:b/>
                <w:color w:val="000000" w:themeColor="text1"/>
                <w:szCs w:val="28"/>
              </w:rPr>
              <w:t>УДК 330.3</w:t>
            </w:r>
          </w:p>
        </w:tc>
      </w:tr>
      <w:tr w:rsidR="00893912" w:rsidRPr="00893912" w:rsidTr="00B36FDB">
        <w:trPr>
          <w:jc w:val="center"/>
        </w:trPr>
        <w:tc>
          <w:tcPr>
            <w:tcW w:w="4320" w:type="dxa"/>
          </w:tcPr>
          <w:p w:rsidR="00893912" w:rsidRPr="00893912" w:rsidRDefault="00893912" w:rsidP="00893912">
            <w:pPr>
              <w:widowControl w:val="0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5246" w:type="dxa"/>
          </w:tcPr>
          <w:p w:rsidR="00893912" w:rsidRPr="00893912" w:rsidRDefault="00893912" w:rsidP="00893912">
            <w:pPr>
              <w:jc w:val="both"/>
              <w:rPr>
                <w:color w:val="000000" w:themeColor="text1"/>
              </w:rPr>
            </w:pPr>
            <w:bookmarkStart w:id="0" w:name="_Toc39512814"/>
            <w:r w:rsidRPr="00893912">
              <w:rPr>
                <w:rFonts w:ascii="Times New Roman Полужирный" w:eastAsiaTheme="majorEastAsia" w:hAnsi="Times New Roman Полужирный"/>
                <w:b/>
                <w:bCs/>
                <w:iCs/>
                <w:color w:val="000000" w:themeColor="text1"/>
              </w:rPr>
              <w:t>Н.В. Романюк,</w:t>
            </w:r>
            <w:bookmarkEnd w:id="0"/>
            <w:r w:rsidRPr="00893912">
              <w:rPr>
                <w:color w:val="000000" w:themeColor="text1"/>
                <w:lang w:val="uk-UA"/>
              </w:rPr>
              <w:t xml:space="preserve"> </w:t>
            </w:r>
            <w:r w:rsidRPr="00893912">
              <w:rPr>
                <w:i/>
                <w:color w:val="000000" w:themeColor="text1"/>
                <w:lang w:val="uk-UA"/>
              </w:rPr>
              <w:t>канд. экон. наук, доц.,</w:t>
            </w:r>
          </w:p>
          <w:p w:rsidR="00893912" w:rsidRPr="00893912" w:rsidRDefault="00893912" w:rsidP="00893912">
            <w:pPr>
              <w:keepNext/>
              <w:jc w:val="both"/>
              <w:outlineLvl w:val="1"/>
              <w:rPr>
                <w:rFonts w:ascii="Times New Roman Полужирный" w:eastAsiaTheme="majorEastAsia" w:hAnsi="Times New Roman Полужирный"/>
                <w:b/>
                <w:bCs/>
                <w:i/>
                <w:iCs/>
                <w:color w:val="000000" w:themeColor="text1"/>
                <w:szCs w:val="28"/>
              </w:rPr>
            </w:pPr>
            <w:bookmarkStart w:id="1" w:name="_Toc39512815"/>
            <w:r w:rsidRPr="00893912">
              <w:rPr>
                <w:rFonts w:ascii="Times New Roman Полужирный" w:eastAsiaTheme="majorEastAsia" w:hAnsi="Times New Roman Полужирный"/>
                <w:b/>
                <w:bCs/>
                <w:iCs/>
                <w:color w:val="000000" w:themeColor="text1"/>
                <w:szCs w:val="28"/>
                <w:lang w:val="uk-UA"/>
              </w:rPr>
              <w:t>М.С. Грицай</w:t>
            </w:r>
            <w:bookmarkEnd w:id="1"/>
          </w:p>
          <w:p w:rsidR="00893912" w:rsidRPr="00893912" w:rsidRDefault="00893912" w:rsidP="00893912">
            <w:pPr>
              <w:widowControl w:val="0"/>
              <w:shd w:val="clear" w:color="auto" w:fill="FFFFFF"/>
              <w:jc w:val="both"/>
              <w:rPr>
                <w:i/>
                <w:color w:val="000000" w:themeColor="text1"/>
                <w:szCs w:val="28"/>
              </w:rPr>
            </w:pPr>
            <w:r w:rsidRPr="00893912">
              <w:rPr>
                <w:i/>
                <w:color w:val="000000" w:themeColor="text1"/>
                <w:szCs w:val="28"/>
              </w:rPr>
              <w:t>ГОУ ВПО «Донецкий национальный</w:t>
            </w:r>
          </w:p>
          <w:p w:rsidR="00893912" w:rsidRPr="00893912" w:rsidRDefault="00893912" w:rsidP="00893912">
            <w:pPr>
              <w:widowControl w:val="0"/>
              <w:shd w:val="clear" w:color="auto" w:fill="FFFFFF"/>
              <w:jc w:val="both"/>
              <w:rPr>
                <w:i/>
                <w:color w:val="000000" w:themeColor="text1"/>
                <w:szCs w:val="28"/>
              </w:rPr>
            </w:pPr>
            <w:r w:rsidRPr="00893912">
              <w:rPr>
                <w:i/>
                <w:color w:val="000000" w:themeColor="text1"/>
                <w:szCs w:val="28"/>
              </w:rPr>
              <w:t>технический университет»,</w:t>
            </w:r>
          </w:p>
          <w:p w:rsidR="00893912" w:rsidRPr="00893912" w:rsidRDefault="00893912" w:rsidP="00893912">
            <w:pPr>
              <w:widowControl w:val="0"/>
              <w:shd w:val="clear" w:color="auto" w:fill="FFFFFF"/>
              <w:jc w:val="both"/>
              <w:rPr>
                <w:i/>
                <w:color w:val="000000" w:themeColor="text1"/>
                <w:szCs w:val="28"/>
              </w:rPr>
            </w:pPr>
            <w:r w:rsidRPr="00893912">
              <w:rPr>
                <w:i/>
                <w:color w:val="000000" w:themeColor="text1"/>
                <w:szCs w:val="28"/>
              </w:rPr>
              <w:t>Донецк, Донецкая Народная Республика</w:t>
            </w:r>
          </w:p>
          <w:p w:rsidR="00893912" w:rsidRPr="00893912" w:rsidRDefault="00893912" w:rsidP="00893912">
            <w:pPr>
              <w:widowControl w:val="0"/>
              <w:shd w:val="clear" w:color="auto" w:fill="FFFFFF"/>
              <w:jc w:val="both"/>
              <w:rPr>
                <w:b/>
                <w:i/>
                <w:color w:val="000000" w:themeColor="text1"/>
                <w:szCs w:val="28"/>
                <w:lang w:val="en-US"/>
              </w:rPr>
            </w:pPr>
            <w:r w:rsidRPr="00893912">
              <w:rPr>
                <w:b/>
                <w:i/>
                <w:iCs/>
                <w:color w:val="000000" w:themeColor="text1"/>
                <w:szCs w:val="28"/>
                <w:lang w:val="uk-UA"/>
              </w:rPr>
              <w:t xml:space="preserve">N.V. Romanyuk, </w:t>
            </w:r>
            <w:r w:rsidRPr="00893912">
              <w:rPr>
                <w:b/>
                <w:bCs/>
                <w:i/>
                <w:color w:val="000000" w:themeColor="text1"/>
                <w:szCs w:val="28"/>
                <w:lang w:val="en-US"/>
              </w:rPr>
              <w:t>M.S. Gritsay</w:t>
            </w:r>
          </w:p>
          <w:p w:rsidR="00893912" w:rsidRPr="00893912" w:rsidRDefault="00893912" w:rsidP="00893912">
            <w:pPr>
              <w:widowControl w:val="0"/>
              <w:shd w:val="clear" w:color="auto" w:fill="FFFFFF"/>
              <w:jc w:val="both"/>
              <w:rPr>
                <w:i/>
                <w:color w:val="000000" w:themeColor="text1"/>
                <w:szCs w:val="28"/>
                <w:lang w:val="en-US"/>
              </w:rPr>
            </w:pPr>
            <w:r w:rsidRPr="00893912">
              <w:rPr>
                <w:i/>
                <w:color w:val="000000" w:themeColor="text1"/>
                <w:szCs w:val="28"/>
                <w:lang w:val="en-US"/>
              </w:rPr>
              <w:t>Donetsk National Technical University,</w:t>
            </w:r>
          </w:p>
          <w:p w:rsidR="00893912" w:rsidRPr="00893912" w:rsidRDefault="00893912" w:rsidP="00893912">
            <w:pPr>
              <w:widowControl w:val="0"/>
              <w:shd w:val="clear" w:color="auto" w:fill="FFFFFF"/>
              <w:jc w:val="both"/>
              <w:rPr>
                <w:color w:val="000000" w:themeColor="text1"/>
                <w:szCs w:val="28"/>
                <w:lang w:val="en-US"/>
              </w:rPr>
            </w:pPr>
            <w:r w:rsidRPr="00893912">
              <w:rPr>
                <w:i/>
                <w:color w:val="000000" w:themeColor="text1"/>
                <w:szCs w:val="28"/>
                <w:lang w:val="en-US"/>
              </w:rPr>
              <w:t>Donetsk, Donetsk People's Republic</w:t>
            </w:r>
          </w:p>
        </w:tc>
      </w:tr>
      <w:tr w:rsidR="00893912" w:rsidRPr="00893912" w:rsidTr="00B36FDB">
        <w:trPr>
          <w:jc w:val="center"/>
        </w:trPr>
        <w:tc>
          <w:tcPr>
            <w:tcW w:w="4320" w:type="dxa"/>
          </w:tcPr>
          <w:p w:rsidR="00893912" w:rsidRPr="00893912" w:rsidRDefault="00893912" w:rsidP="00893912">
            <w:pPr>
              <w:widowControl w:val="0"/>
              <w:jc w:val="center"/>
              <w:outlineLvl w:val="0"/>
              <w:rPr>
                <w:rFonts w:ascii="Times New Roman Полужирный" w:eastAsia="Times New Roman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val="en-US" w:eastAsia="ru-RU"/>
              </w:rPr>
            </w:pPr>
          </w:p>
        </w:tc>
        <w:tc>
          <w:tcPr>
            <w:tcW w:w="5246" w:type="dxa"/>
          </w:tcPr>
          <w:p w:rsidR="00893912" w:rsidRPr="00893912" w:rsidRDefault="00893912" w:rsidP="00893912">
            <w:pPr>
              <w:widowControl w:val="0"/>
              <w:jc w:val="both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893912" w:rsidRPr="00893912" w:rsidTr="00B36FDB">
        <w:trPr>
          <w:jc w:val="center"/>
        </w:trPr>
        <w:tc>
          <w:tcPr>
            <w:tcW w:w="9566" w:type="dxa"/>
            <w:gridSpan w:val="2"/>
          </w:tcPr>
          <w:p w:rsidR="00893912" w:rsidRPr="00893912" w:rsidRDefault="00893912" w:rsidP="00893912">
            <w:pPr>
              <w:widowControl w:val="0"/>
              <w:jc w:val="center"/>
              <w:outlineLvl w:val="0"/>
              <w:rPr>
                <w:rFonts w:ascii="Times New Roman Полужирный" w:eastAsia="Times New Roman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bookmarkStart w:id="2" w:name="_Toc39512816"/>
            <w:r w:rsidRPr="00893912">
              <w:rPr>
                <w:rFonts w:ascii="Times New Roman Полужирный" w:eastAsia="Times New Roman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МЕТОДЫ ПОВЫШЕНИЯ КВАЛИФИКАЦИИ ПЕРСОНАЛА ПРОМЫШЛЕННЫХ ПРЕДПРИЯТИЙ</w:t>
            </w:r>
            <w:bookmarkEnd w:id="2"/>
          </w:p>
        </w:tc>
      </w:tr>
      <w:tr w:rsidR="00893912" w:rsidRPr="00893912" w:rsidTr="00B36FDB">
        <w:trPr>
          <w:jc w:val="center"/>
        </w:trPr>
        <w:tc>
          <w:tcPr>
            <w:tcW w:w="9566" w:type="dxa"/>
            <w:gridSpan w:val="2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893912" w:rsidRPr="00893912" w:rsidTr="00B36FDB">
        <w:trPr>
          <w:jc w:val="center"/>
        </w:trPr>
        <w:tc>
          <w:tcPr>
            <w:tcW w:w="9566" w:type="dxa"/>
            <w:gridSpan w:val="2"/>
          </w:tcPr>
          <w:p w:rsidR="00893912" w:rsidRPr="00893912" w:rsidRDefault="00893912" w:rsidP="00893912">
            <w:pPr>
              <w:widowControl w:val="0"/>
              <w:shd w:val="clear" w:color="auto" w:fill="FFFFFF"/>
              <w:ind w:hanging="8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 w:rsidRPr="00893912">
              <w:rPr>
                <w:b/>
                <w:color w:val="000000" w:themeColor="text1"/>
                <w:szCs w:val="28"/>
                <w:lang w:val="en-US"/>
              </w:rPr>
              <w:t>METHODS FOR IMPROVING THE SKILLS OF EMPLOYEES OF INDUSTRIAL ENTERPRISES</w:t>
            </w:r>
          </w:p>
        </w:tc>
      </w:tr>
    </w:tbl>
    <w:p w:rsidR="00893912" w:rsidRPr="00893912" w:rsidRDefault="00893912" w:rsidP="0089391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</w:p>
    <w:p w:rsidR="00893912" w:rsidRPr="00893912" w:rsidRDefault="00893912" w:rsidP="0089391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4"/>
        </w:rPr>
      </w:pPr>
      <w:r w:rsidRPr="00893912">
        <w:rPr>
          <w:rFonts w:ascii="Times New Roman" w:eastAsiaTheme="minorEastAsia" w:hAnsi="Times New Roman" w:cs="Times New Roman"/>
          <w:i/>
          <w:color w:val="000000" w:themeColor="text1"/>
          <w:sz w:val="24"/>
        </w:rPr>
        <w:t>Аннотация. Статья посвящена особенностям организации процесса повышения квалификации работников предприятия</w:t>
      </w:r>
      <w:r w:rsidRPr="00893912">
        <w:rPr>
          <w:rFonts w:ascii="Times New Roman" w:eastAsiaTheme="minorEastAsia" w:hAnsi="Times New Roman" w:cs="Times New Roman"/>
          <w:i/>
          <w:iCs/>
          <w:color w:val="000000" w:themeColor="text1"/>
          <w:sz w:val="24"/>
        </w:rPr>
        <w:t xml:space="preserve">. </w:t>
      </w:r>
      <w:r w:rsidRPr="00893912">
        <w:rPr>
          <w:rFonts w:ascii="Times New Roman" w:eastAsiaTheme="minorEastAsia" w:hAnsi="Times New Roman" w:cs="Times New Roman"/>
          <w:i/>
          <w:color w:val="000000" w:themeColor="text1"/>
          <w:sz w:val="24"/>
        </w:rPr>
        <w:t>Повышение квалификации рассматривается как системное и целенаправленное совершенствование профессиональных знаний и навыков на основе инновационных технологий и обогащения передового профессионального опыта</w:t>
      </w:r>
      <w:r w:rsidRPr="00893912">
        <w:rPr>
          <w:rFonts w:ascii="Times New Roman" w:eastAsiaTheme="minorEastAsia" w:hAnsi="Times New Roman" w:cs="Times New Roman"/>
          <w:i/>
          <w:iCs/>
          <w:color w:val="000000" w:themeColor="text1"/>
          <w:sz w:val="24"/>
        </w:rPr>
        <w:t xml:space="preserve">. Также представлены методы повышения квалификации, как в организации, так и за её пределами. </w:t>
      </w:r>
    </w:p>
    <w:p w:rsidR="00893912" w:rsidRPr="00893912" w:rsidRDefault="00893912" w:rsidP="0089391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4"/>
        </w:rPr>
      </w:pPr>
      <w:r w:rsidRPr="00893912">
        <w:rPr>
          <w:rFonts w:ascii="Times New Roman" w:eastAsiaTheme="minorEastAsia" w:hAnsi="Times New Roman" w:cs="Times New Roman"/>
          <w:i/>
          <w:iCs/>
          <w:color w:val="000000" w:themeColor="text1"/>
          <w:sz w:val="24"/>
        </w:rPr>
        <w:t>Ключевые слова:</w:t>
      </w:r>
      <w:r w:rsidRPr="00893912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 </w:t>
      </w:r>
      <w:r w:rsidRPr="00893912">
        <w:rPr>
          <w:rFonts w:ascii="Times New Roman" w:eastAsiaTheme="minorEastAsia" w:hAnsi="Times New Roman" w:cs="Times New Roman"/>
          <w:i/>
          <w:iCs/>
          <w:color w:val="000000" w:themeColor="text1"/>
          <w:sz w:val="24"/>
        </w:rPr>
        <w:t>повышение квалификации, подготовка кадров, дополнительная профессиональная программа, активные методы обучения, формы организации повышения квалификации.</w:t>
      </w:r>
    </w:p>
    <w:p w:rsidR="00893912" w:rsidRPr="00893912" w:rsidRDefault="00893912" w:rsidP="00893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</w:rPr>
      </w:pPr>
    </w:p>
    <w:p w:rsidR="00893912" w:rsidRPr="00893912" w:rsidRDefault="00893912" w:rsidP="00893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</w:pPr>
      <w:r w:rsidRPr="00893912"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  <w:t>Abstract. The article is devoted to the peculiarities of the organization of the process of professional development of employees of the enterprise. Professional development is considered as a systematic and purposeful improvement of professional knowledge and skills based on innovative technologies and enrichment of advanced professional experience. Methods of professional development , both in the organization and outside it, are also presented.</w:t>
      </w:r>
    </w:p>
    <w:p w:rsidR="00893912" w:rsidRPr="00893912" w:rsidRDefault="00893912" w:rsidP="00893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</w:pPr>
      <w:r w:rsidRPr="00893912"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  <w:t>Keywords:</w:t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lang w:val="en-US"/>
        </w:rPr>
        <w:t xml:space="preserve"> </w:t>
      </w:r>
      <w:r w:rsidRPr="00893912"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  <w:t>professional development, training, additional professional program, active training methods, forms of organizational training.</w:t>
      </w:r>
    </w:p>
    <w:p w:rsidR="00893912" w:rsidRPr="00893912" w:rsidRDefault="00893912" w:rsidP="00893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lang w:val="en-US"/>
        </w:rPr>
      </w:pPr>
    </w:p>
    <w:p w:rsidR="00893912" w:rsidRPr="00893912" w:rsidRDefault="00893912" w:rsidP="00893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Постановка проблемы.  </w:t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 нынешнем производственном процессе и стремительно изменяющихся условиях, а также условиях производства, переподготовка и повышение квалификации сотрудников считается довольно значимой и неотъемлемой функцией управления персоналом в компании.</w:t>
      </w:r>
    </w:p>
    <w:p w:rsidR="00893912" w:rsidRPr="00893912" w:rsidRDefault="00893912" w:rsidP="00893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b/>
          <w:color w:val="000000" w:themeColor="text1"/>
          <w:sz w:val="28"/>
        </w:rPr>
        <w:t xml:space="preserve">Анализ предыдущих исследований и публикаций. </w:t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</w:rPr>
        <w:t>Исследованию вопросов, касающихся развития персонала посвящены работы как зарубежных, так и отечественных ученых, а именно: Г. Беккера, В. Вебера, Е.А. Гришновой, П.В. Журавлева, А.Я. Кибанова, Р. Марра, Ю.Г. Одегова, В.А. Савченко и др. Однако, следует заметить, что многие теоретические вопросы по данной научной тематике все еще остаются нерешенными и требуют дальнейшего комплексного исследования.</w:t>
      </w:r>
    </w:p>
    <w:p w:rsidR="00893912" w:rsidRPr="00893912" w:rsidRDefault="00893912" w:rsidP="00893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Цель исследования</w:t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 Целью исследования является анализ методов повышения квалификации на промышленных предприятиях.</w:t>
      </w:r>
    </w:p>
    <w:p w:rsidR="00893912" w:rsidRPr="00893912" w:rsidRDefault="00893912" w:rsidP="00893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lastRenderedPageBreak/>
        <w:t>Основные результаты исследования</w:t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 Прежде чем исследовать методы повышения квалификации, необходимо рассмотреть подходы различных авторов к понятию «повышение квалификации», табл. 1.</w:t>
      </w:r>
    </w:p>
    <w:p w:rsidR="00893912" w:rsidRPr="00893912" w:rsidRDefault="00893912" w:rsidP="00893912">
      <w:pPr>
        <w:tabs>
          <w:tab w:val="left" w:pos="8340"/>
          <w:tab w:val="right" w:pos="9638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</w:p>
    <w:p w:rsidR="00893912" w:rsidRPr="00893912" w:rsidRDefault="00893912" w:rsidP="00893912">
      <w:pPr>
        <w:tabs>
          <w:tab w:val="left" w:pos="8340"/>
          <w:tab w:val="right" w:pos="9638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  <w:t>Таблица 1</w:t>
      </w:r>
    </w:p>
    <w:p w:rsidR="00893912" w:rsidRPr="00893912" w:rsidRDefault="00893912" w:rsidP="0089391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Анализ понятий «повышения квалификации»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9"/>
        <w:gridCol w:w="2757"/>
        <w:gridCol w:w="6285"/>
      </w:tblGrid>
      <w:tr w:rsidR="00893912" w:rsidRPr="00893912" w:rsidTr="00B36FDB">
        <w:trPr>
          <w:jc w:val="center"/>
        </w:trPr>
        <w:tc>
          <w:tcPr>
            <w:tcW w:w="530" w:type="dxa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2771" w:type="dxa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Автор</w:t>
            </w:r>
          </w:p>
        </w:tc>
        <w:tc>
          <w:tcPr>
            <w:tcW w:w="6327" w:type="dxa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Понятие</w:t>
            </w:r>
          </w:p>
        </w:tc>
      </w:tr>
      <w:tr w:rsidR="00893912" w:rsidRPr="00893912" w:rsidTr="00B36FDB">
        <w:trPr>
          <w:jc w:val="center"/>
        </w:trPr>
        <w:tc>
          <w:tcPr>
            <w:tcW w:w="530" w:type="dxa"/>
            <w:vAlign w:val="center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771" w:type="dxa"/>
            <w:vAlign w:val="center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А.С. Афонин, А.Я. Кибанов [1]</w:t>
            </w:r>
          </w:p>
        </w:tc>
        <w:tc>
          <w:tcPr>
            <w:tcW w:w="6327" w:type="dxa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Подготовка кадров, включающую совершенствование</w:t>
            </w:r>
          </w:p>
          <w:p w:rsidR="00893912" w:rsidRPr="00893912" w:rsidRDefault="00893912" w:rsidP="008939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профессиональных компетенций в связи с повышением в должности или изменениями квалификационных требований к профессии.</w:t>
            </w:r>
          </w:p>
        </w:tc>
      </w:tr>
      <w:tr w:rsidR="00893912" w:rsidRPr="00893912" w:rsidTr="00B36FDB">
        <w:trPr>
          <w:jc w:val="center"/>
        </w:trPr>
        <w:tc>
          <w:tcPr>
            <w:tcW w:w="526" w:type="dxa"/>
            <w:vAlign w:val="center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</w:rPr>
              <w:br w:type="page"/>
            </w:r>
            <w:r w:rsidRPr="0089391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774" w:type="dxa"/>
            <w:vAlign w:val="center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Е.А. Власова [2]</w:t>
            </w:r>
          </w:p>
        </w:tc>
        <w:tc>
          <w:tcPr>
            <w:tcW w:w="6328" w:type="dxa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Обучение работника с целью углубления и совершенствования имеющихся у него профессиональных знаний, необходимых для его работы.</w:t>
            </w:r>
          </w:p>
        </w:tc>
      </w:tr>
      <w:tr w:rsidR="00893912" w:rsidRPr="00893912" w:rsidTr="00B36FDB">
        <w:trPr>
          <w:jc w:val="center"/>
        </w:trPr>
        <w:tc>
          <w:tcPr>
            <w:tcW w:w="526" w:type="dxa"/>
            <w:vAlign w:val="center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774" w:type="dxa"/>
            <w:vAlign w:val="center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И.И. Кельперис [3]</w:t>
            </w:r>
          </w:p>
        </w:tc>
        <w:tc>
          <w:tcPr>
            <w:tcW w:w="6328" w:type="dxa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Взаимообусловленный процесс, оказывающий  влияние, как на эффективность труда, так и на качество кадрового потенциала компании.</w:t>
            </w:r>
          </w:p>
        </w:tc>
      </w:tr>
      <w:tr w:rsidR="00893912" w:rsidRPr="00893912" w:rsidTr="00B36FDB">
        <w:trPr>
          <w:jc w:val="center"/>
        </w:trPr>
        <w:tc>
          <w:tcPr>
            <w:tcW w:w="526" w:type="dxa"/>
            <w:vAlign w:val="center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774" w:type="dxa"/>
            <w:vAlign w:val="center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Н.Л. Кабушкин [4]</w:t>
            </w:r>
          </w:p>
        </w:tc>
        <w:tc>
          <w:tcPr>
            <w:tcW w:w="6328" w:type="dxa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Определяет как профессиональное развитие, профессиональную подготовку человека. В основе повышения квалификации, по мнению автора, лежит профессиональная компетентность, которая дополняется методической, социальной и личной компетентностью.</w:t>
            </w:r>
          </w:p>
        </w:tc>
      </w:tr>
      <w:tr w:rsidR="00893912" w:rsidRPr="00893912" w:rsidTr="00B36FDB">
        <w:trPr>
          <w:jc w:val="center"/>
        </w:trPr>
        <w:tc>
          <w:tcPr>
            <w:tcW w:w="526" w:type="dxa"/>
            <w:vAlign w:val="center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2774" w:type="dxa"/>
            <w:vAlign w:val="center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А.И. Родина [5]</w:t>
            </w:r>
          </w:p>
        </w:tc>
        <w:tc>
          <w:tcPr>
            <w:tcW w:w="6328" w:type="dxa"/>
          </w:tcPr>
          <w:p w:rsidR="00893912" w:rsidRPr="00893912" w:rsidRDefault="00893912" w:rsidP="0089391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Специальная форма подготовки, предусматривающая комплексный подход к профильному обучению и поддержанию должного уровня подготовки кадров.</w:t>
            </w:r>
          </w:p>
        </w:tc>
      </w:tr>
    </w:tbl>
    <w:p w:rsidR="00893912" w:rsidRPr="00893912" w:rsidRDefault="00893912" w:rsidP="008939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Следственно, повышение квалификации работников – это системное и целеустремленное усовершенствование профессиональных знаний и навыков на базе инновационных технических новшеств и обогащения передового квалифицированного опыта.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Отечественные и зарубежные исследования в области повышения квалификации характеризуют три концепции подготовки квалифицированных кадров:</w:t>
      </w:r>
    </w:p>
    <w:p w:rsidR="00893912" w:rsidRPr="00893912" w:rsidRDefault="00893912" w:rsidP="00893912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концепция профильной подготовки, предусматривающая получение образования работника в соотношении с его специальностью, направлена на теперешний день. Нынешняя подготовка, повышающая квалификацию работающего сотрудника, целесообразна относительно недолговременного отрезка времени, способствует сохранению рабочего места и актуализации чувства собственного достоинства;</w:t>
      </w:r>
    </w:p>
    <w:p w:rsidR="00893912" w:rsidRPr="00893912" w:rsidRDefault="00893912" w:rsidP="00893912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концепция многопрофильного обучения, повышающая внутрипроизводственную и непроизводственную гибкость работника, является плодотворной и производительной с экономической и денежной позиций. Но присутствие мобильности работника в этом случае формирует риск для </w:t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 xml:space="preserve">предприятия, где он работает, потому что у работающего сотрудника появляется выбор и отсутствие определенной симпатии к соответствующему рабочему месту; </w:t>
      </w:r>
    </w:p>
    <w:p w:rsidR="00893912" w:rsidRPr="00893912" w:rsidRDefault="00893912" w:rsidP="00893912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концепция подготовки сотрудников, предусматривающая улучшение личных характеристик человека, которые заложены природой или приобретены в процессе профессиональной деятельности. Данный подход имеет расположение к тем работникам, которые владеют способностями к инновационно-современной, научной занятости, располагают талантливым даром управляющего начальника, учителя и т.п. [6]</w:t>
      </w:r>
    </w:p>
    <w:p w:rsidR="00893912" w:rsidRPr="00893912" w:rsidRDefault="00893912" w:rsidP="00893912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Изучение теоретического материала продемонстрировал, что увеличение квалификации, которое обеспечивает соответствие профессиональной компетенции сотрудника передовым изменениям производства, может реализовываться конкретно на самом предприятии.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основании статьи 122 Трудового Кодекса Украины «предоставляется гарантия для работников, что направляются для повышения квалификации, при направлении работников для повышения квалификации с отрывом от производства за ними хранится место работы (должность) и осуществляются выплаты, предусмотренные законодательством» [7]. 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Формы проведения учебных занятий в рамках повышения квалификации сотрудников зависят от инициаторов дополнительной профессиональной программы, мотивированной аудитории, значения организации процесса подготовки кадров, степени взаимосвязи с фактической и профессиональной работой. Более все распространёнными считаются такие формы, как круглые столы, мастер-классы, виртуозные, деловые игры, ролевые игры, тренинги, семинары по обмену навыком, корпоративные конкурсы профессионального умения.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Обучение в рамках компании ориентировано на ознакомление с рабочим помещением, улучшение профессиональных компетенций, внедрение современных мыслей, заключение важных производственных проблем, подготовку резервных управляющих работников. Подготовка сотрудников, характеризующаяся оперативностью и ориентацией на усвоение определенной производственной технологии, уменьшает период адаптации работника.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noProof/>
          <w:color w:val="000000" w:themeColor="text1"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53FD8132" wp14:editId="3F522F63">
            <wp:simplePos x="0" y="0"/>
            <wp:positionH relativeFrom="column">
              <wp:posOffset>546735</wp:posOffset>
            </wp:positionH>
            <wp:positionV relativeFrom="paragraph">
              <wp:posOffset>1234440</wp:posOffset>
            </wp:positionV>
            <wp:extent cx="5324475" cy="1628775"/>
            <wp:effectExtent l="114300" t="38100" r="104775" b="123825"/>
            <wp:wrapTopAndBottom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Целесообразны в процессе изучения такие методы, как исполнение функций в качестве помощника, постепенное осложнение заданий, ротация (замена) трудящихся мест, поручение доли функций, ответственности и др. </w:t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Подготовка сотрудников в рамках компании стереотипна, в главном, для трудящихся и обычных должностей служащих. Рассмотрим методы:</w:t>
      </w:r>
    </w:p>
    <w:p w:rsidR="00893912" w:rsidRPr="00893912" w:rsidRDefault="00893912" w:rsidP="0089391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Рис. 1 </w:t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</w:rPr>
        <w:sym w:font="Symbol" w:char="F02D"/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</w:rPr>
        <w:t xml:space="preserve"> Актуальные методы обучения в рамках организации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Сущность метода подготовки кадров баддинг заключается в том, что работнику определяется партнер, равный по статусу и функциональным обязанностям. Задача метода в осуществлении обратной связи, предоставляющей информацию о действиях, решениях того работника, к которому закреплен партнер. Преимущества метода в том, что он позволяет собрать объективную информацию о новых навыках работника и выполнении им текущих профессиональных обязанностей.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Метод баддинг отличается от наставничества или коучинга, так как участники выступают в равноправных ролях. Данная форма взаимодействия, строящаяся на доверительных отношениях, результативна и продуктивна [8].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Внедрение способа шеддуинг в рамках повышения квалификации содержится в том, что работнику предполагается в течение нескольких дней понаблюдать за работой управляющего либо сослуживца, владеющего профессиональным опытом. В роли наблюдающего работник укрепляет особенности, многофункциональные обязанности того человека, за которым он ведет наблюдение. В итоге работник становится очевидцем событий рабочего дня управляющего либо сослуживца, понимает, какими профессиональными компетенциями ему нужно завладеть для того, чтобы полноценно справиться с теми же задачами. Финальным шагом предоставленного способа считается интервью с работником о том, какие выводы он сделал для себя [8].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Метод коучинга (coaching) направлен на трехстороннее совершенствование работника (личная жизнь, общественная деятельность, профессиональная деятельность), посредством сотрудничества и помощи. Преимущества данного метода в том, что работник в результате поиска ответов на вопросы приходит к собственным выводам, находкам. В результате происходит повышение самооценки работника, актуализируется мотивированность на внедрение и реализацию.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Наставничество, предполагающее передачу профессионального опыта, формирование корпоративных ценностей, привитие общепризнанных норм поведения, считается формой обучения, способствующей профессиональной подготовке и адаптации юных работников на предприятии. Наставничество имеет возможность быть индивидуальным либо корпоративным. Цель наставничества – воспитание работника новоиспеченным методикам профессиональной деловитости, содействие в применении инновационных технологий, контроль над исполнением многофункциональных обязанностей работника. Суть наставничества выражается в последующем алгоритме: «информирую», «показываю», «исполняем», «исполняешь с моей подсказкой», «исполняешь и презентуешь свою работу».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Достоинства повышения квалификации внутри компании состоят в том, что оно, во-первых, наиболее прибыльно, во-вторых, имеет конкретную связь с ежедневной работой и содействует эффективному включению в </w:t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образовательный процесс работников. Повышение квалификации за пределами компании нацелено на создание профессиональных компетенций работника в большей степени на базе теоретического использованного материала, обучение разрешению профессиональных проблем.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К числу основных методов обучения вне работы относятся:</w:t>
      </w:r>
    </w:p>
    <w:p w:rsidR="00893912" w:rsidRPr="00893912" w:rsidRDefault="00893912" w:rsidP="00893912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93912" w:rsidRPr="00893912" w:rsidRDefault="00893912" w:rsidP="00893912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Таблица 2</w:t>
      </w:r>
    </w:p>
    <w:p w:rsidR="00893912" w:rsidRPr="00893912" w:rsidRDefault="00893912" w:rsidP="0089391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Методы повышения квалификации вне рабочего места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2363"/>
        <w:gridCol w:w="6545"/>
      </w:tblGrid>
      <w:tr w:rsidR="00893912" w:rsidRPr="00893912" w:rsidTr="00B36FDB">
        <w:trPr>
          <w:trHeight w:val="403"/>
        </w:trPr>
        <w:tc>
          <w:tcPr>
            <w:tcW w:w="675" w:type="dxa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№</w:t>
            </w:r>
          </w:p>
        </w:tc>
        <w:tc>
          <w:tcPr>
            <w:tcW w:w="2410" w:type="dxa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Название метода</w:t>
            </w:r>
          </w:p>
        </w:tc>
        <w:tc>
          <w:tcPr>
            <w:tcW w:w="6769" w:type="dxa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Характеристика</w:t>
            </w:r>
          </w:p>
        </w:tc>
      </w:tr>
      <w:tr w:rsidR="00893912" w:rsidRPr="00893912" w:rsidTr="00B36FDB">
        <w:trPr>
          <w:trHeight w:val="3116"/>
        </w:trPr>
        <w:tc>
          <w:tcPr>
            <w:tcW w:w="675" w:type="dxa"/>
            <w:vAlign w:val="center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Экспресс-семинары, проектные семинары</w:t>
            </w:r>
          </w:p>
        </w:tc>
        <w:tc>
          <w:tcPr>
            <w:tcW w:w="6769" w:type="dxa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 xml:space="preserve">Экспресс-семинар – это форма быстрого, качественного, удобного взаимодействия модераторов, педагогов, консультантов в рамках повышения квалификации работников. Основными задачами экспресс-семинара являются подготовка высоко мотивированных специалистов, краткое представление теоретического материала или технологии, анализ и оценивание аудитории при демонстрации идеи или проекта работником. </w:t>
            </w:r>
          </w:p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Групповой формой взаимодействия является проектный семинар, включающий анализ профессиональных проблем, обоснование актуальных идей и проектов [9].</w:t>
            </w:r>
          </w:p>
        </w:tc>
      </w:tr>
      <w:tr w:rsidR="00893912" w:rsidRPr="00893912" w:rsidTr="00B36FDB">
        <w:trPr>
          <w:trHeight w:val="1687"/>
        </w:trPr>
        <w:tc>
          <w:tcPr>
            <w:tcW w:w="675" w:type="dxa"/>
            <w:vAlign w:val="center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Кейс-стади</w:t>
            </w:r>
          </w:p>
        </w:tc>
        <w:tc>
          <w:tcPr>
            <w:tcW w:w="6769" w:type="dxa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Данный метод имеет ряд преимуществ, в частности, обучение осуществляется на основе анализа актуальных профессиональных проблем, предусматривает максимальную приближенность к реальности, включает много- кратную тренировку умений и навыков, разработку предложений по существенному изменению текущего положения [9].</w:t>
            </w:r>
          </w:p>
        </w:tc>
      </w:tr>
      <w:tr w:rsidR="00893912" w:rsidRPr="00893912" w:rsidTr="00B36FDB">
        <w:trPr>
          <w:trHeight w:val="1130"/>
        </w:trPr>
        <w:tc>
          <w:tcPr>
            <w:tcW w:w="675" w:type="dxa"/>
            <w:vAlign w:val="center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Тренинги</w:t>
            </w:r>
          </w:p>
        </w:tc>
        <w:tc>
          <w:tcPr>
            <w:tcW w:w="6769" w:type="dxa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Тренинги способствуют повышению бизнес-показателей предприятия посредством выработки навыков эффективных продаж, осуществления деловых переговоров, предотвращения конфликтных ситуаций на рабочем месте и т.д [9].</w:t>
            </w:r>
          </w:p>
        </w:tc>
      </w:tr>
      <w:tr w:rsidR="00893912" w:rsidRPr="00893912" w:rsidTr="00B36FDB">
        <w:trPr>
          <w:trHeight w:val="2252"/>
        </w:trPr>
        <w:tc>
          <w:tcPr>
            <w:tcW w:w="675" w:type="dxa"/>
            <w:vAlign w:val="center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Обучение действием (аction learning)</w:t>
            </w:r>
          </w:p>
        </w:tc>
        <w:tc>
          <w:tcPr>
            <w:tcW w:w="6769" w:type="dxa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Данный подход в обучении позволяет преодолеть барьер между теоретическими знаниями, приобретенными в ходе лекционных занятий, и практической деятельностью. Обучение действием способствует выработке определенного алгоритма по решению производственных проблем. Отличительными чертами метода являются групповая форма работы, обучение посредством реальной деятельности, адресность взаимодействия, принятие решений в команде [9].</w:t>
            </w:r>
          </w:p>
        </w:tc>
      </w:tr>
      <w:tr w:rsidR="00893912" w:rsidRPr="00893912" w:rsidTr="00B36FDB">
        <w:trPr>
          <w:trHeight w:val="2014"/>
        </w:trPr>
        <w:tc>
          <w:tcPr>
            <w:tcW w:w="675" w:type="dxa"/>
            <w:vAlign w:val="center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Вебинар</w:t>
            </w:r>
          </w:p>
        </w:tc>
        <w:tc>
          <w:tcPr>
            <w:tcW w:w="6769" w:type="dxa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Это онлайн-занятие, которое может включать лекцию, мастер- класс, презентацию инновационной технологии и т.д. Традиционно аудитория видит небольшое окно, где транслируется видео лица ведущего, и большой экран для презентации темы общения. На онлайн-занятии предусмотрено наличие чата, который обеспечивает обратную связь, взаимообмен мнениями участников вебинара [9].</w:t>
            </w:r>
          </w:p>
        </w:tc>
      </w:tr>
      <w:tr w:rsidR="00893912" w:rsidRPr="00893912" w:rsidTr="00B36FDB">
        <w:tc>
          <w:tcPr>
            <w:tcW w:w="675" w:type="dxa"/>
            <w:vAlign w:val="center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893912" w:rsidRPr="00893912" w:rsidRDefault="00893912" w:rsidP="0089391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Стажировка</w:t>
            </w:r>
          </w:p>
        </w:tc>
        <w:tc>
          <w:tcPr>
            <w:tcW w:w="6769" w:type="dxa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 xml:space="preserve">Стажировка может проходить индивидуально или в </w:t>
            </w:r>
            <w:r w:rsidRPr="00893912">
              <w:rPr>
                <w:color w:val="000000" w:themeColor="text1"/>
                <w:sz w:val="24"/>
                <w:szCs w:val="28"/>
              </w:rPr>
              <w:lastRenderedPageBreak/>
              <w:t xml:space="preserve">групповой форме для изучения передового отечественного или зарубежного опыта, обобщения теоретических знаний, которые </w:t>
            </w:r>
          </w:p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 xml:space="preserve">были получены в процессе освоения программ дополнительного образования, совершенствования профессиональных компетенций. Сроки и продолжительность </w:t>
            </w:r>
          </w:p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893912">
              <w:rPr>
                <w:color w:val="000000" w:themeColor="text1"/>
                <w:sz w:val="24"/>
                <w:szCs w:val="28"/>
              </w:rPr>
              <w:t>устанавливаются предприятием, направляющим работника на стажировку, и согласовываются с принимающей стороной [9].</w:t>
            </w:r>
          </w:p>
        </w:tc>
      </w:tr>
    </w:tbl>
    <w:p w:rsidR="00893912" w:rsidRPr="00893912" w:rsidRDefault="00893912" w:rsidP="00893912">
      <w:pPr>
        <w:tabs>
          <w:tab w:val="left" w:pos="1695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</w:rPr>
      </w:pP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Выводы.</w:t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Таким образом, представленные методы активного обучения позволяют сделать вывод об их многообразии, вариативности и связи с практической деятельностью. 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Итак, внешнее обучение работников в отличие от внутреннего имеет ряд преимуществ: 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– организация и проведение опытными преподавателями, экспертами; 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– применение инновационных технологий и современного оборудования; 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– предоставление актуальной информации. Повышение квалификации за пределами организации (внешнее обучение) осуществляется преимущественно для руководителей, специалистов и служащих. </w:t>
      </w:r>
    </w:p>
    <w:p w:rsidR="00893912" w:rsidRPr="00893912" w:rsidRDefault="00893912" w:rsidP="0089391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Стоит отметить, что данный процесс связан с отвлечением работников от их функциональных обязанностей и дополнительными финансовыми затратами. </w:t>
      </w:r>
    </w:p>
    <w:p w:rsidR="00893912" w:rsidRPr="00893912" w:rsidRDefault="00893912" w:rsidP="00893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Следовательно, повышение квалификации </w:t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2D"/>
      </w:r>
      <w:r w:rsidRPr="0089391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важнейший инструмент организации, который позволяет формировать организационную, производственную, экономическую, социальную среду и повышать её кадровый потенциал. Только правильная организация и отлаженность самого процесса позволит достичь предельно продуктивного результата.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8862"/>
      </w:tblGrid>
      <w:tr w:rsidR="00893912" w:rsidRPr="00893912" w:rsidTr="00B36FDB">
        <w:trPr>
          <w:jc w:val="center"/>
        </w:trPr>
        <w:tc>
          <w:tcPr>
            <w:tcW w:w="5000" w:type="pct"/>
            <w:gridSpan w:val="2"/>
          </w:tcPr>
          <w:p w:rsidR="00893912" w:rsidRPr="00893912" w:rsidRDefault="00893912" w:rsidP="00893912">
            <w:pPr>
              <w:contextualSpacing/>
              <w:jc w:val="both"/>
              <w:rPr>
                <w:color w:val="000000" w:themeColor="text1"/>
                <w:sz w:val="24"/>
              </w:rPr>
            </w:pPr>
          </w:p>
        </w:tc>
      </w:tr>
      <w:tr w:rsidR="00893912" w:rsidRPr="00893912" w:rsidTr="00B36FDB">
        <w:trPr>
          <w:jc w:val="center"/>
        </w:trPr>
        <w:tc>
          <w:tcPr>
            <w:tcW w:w="5000" w:type="pct"/>
            <w:gridSpan w:val="2"/>
          </w:tcPr>
          <w:p w:rsidR="00893912" w:rsidRPr="00893912" w:rsidRDefault="00893912" w:rsidP="00893912">
            <w:pPr>
              <w:jc w:val="center"/>
              <w:rPr>
                <w:b/>
                <w:color w:val="000000" w:themeColor="text1"/>
                <w:szCs w:val="28"/>
              </w:rPr>
            </w:pPr>
            <w:r w:rsidRPr="00893912">
              <w:rPr>
                <w:b/>
                <w:color w:val="000000" w:themeColor="text1"/>
                <w:szCs w:val="28"/>
              </w:rPr>
              <w:t>Список литературы</w:t>
            </w:r>
          </w:p>
        </w:tc>
      </w:tr>
      <w:tr w:rsidR="00893912" w:rsidRPr="00893912" w:rsidTr="00B36FDB">
        <w:trPr>
          <w:jc w:val="center"/>
        </w:trPr>
        <w:tc>
          <w:tcPr>
            <w:tcW w:w="293" w:type="pct"/>
          </w:tcPr>
          <w:p w:rsidR="00893912" w:rsidRPr="00893912" w:rsidRDefault="00893912" w:rsidP="008939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Романюк, Н.В. Обеспечение требований систем менеджмента качества при обосновании процессов профессионального развития персонала / Н.В. Романюк</w:t>
            </w:r>
            <w:r w:rsidRPr="00893912">
              <w:rPr>
                <w:color w:val="000000" w:themeColor="text1"/>
              </w:rPr>
              <w:t xml:space="preserve"> </w:t>
            </w:r>
            <w:r w:rsidRPr="00893912">
              <w:rPr>
                <w:color w:val="000000" w:themeColor="text1"/>
                <w:sz w:val="24"/>
              </w:rPr>
              <w:t>Современные тенденции развития и перспективы внедрения инновационных технологий в промышленности, образовании и экономике: сб. материалов V международной науч.-практ. конф. 20-21 апреля 2018 г. – Азов, 2018. Т4. № 1 (4)  – С. 210-215.</w:t>
            </w:r>
          </w:p>
        </w:tc>
      </w:tr>
      <w:tr w:rsidR="00893912" w:rsidRPr="00893912" w:rsidTr="00B36FDB">
        <w:trPr>
          <w:jc w:val="center"/>
        </w:trPr>
        <w:tc>
          <w:tcPr>
            <w:tcW w:w="293" w:type="pct"/>
          </w:tcPr>
          <w:p w:rsidR="00893912" w:rsidRPr="00893912" w:rsidRDefault="00893912" w:rsidP="008939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Власова, Е.А.  Модель управления затратами  на повышение квалификации преподавателей  университета  /  Е.А.  Власова  // Прикладная наинформатика. 2008.№ о5.  С. 17.</w:t>
            </w:r>
          </w:p>
        </w:tc>
      </w:tr>
      <w:tr w:rsidR="00893912" w:rsidRPr="00893912" w:rsidTr="00B36FDB">
        <w:trPr>
          <w:jc w:val="center"/>
        </w:trPr>
        <w:tc>
          <w:tcPr>
            <w:tcW w:w="293" w:type="pct"/>
          </w:tcPr>
          <w:p w:rsidR="00893912" w:rsidRPr="00893912" w:rsidRDefault="00893912" w:rsidP="008939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Кельперис, И. Повышение квалификации в процессе управления персоналом / И. Кельперис // Управление персоналом. 2007. № на 7. С. 113.</w:t>
            </w:r>
          </w:p>
        </w:tc>
      </w:tr>
      <w:tr w:rsidR="00893912" w:rsidRPr="00893912" w:rsidTr="00B36FDB">
        <w:trPr>
          <w:jc w:val="center"/>
        </w:trPr>
        <w:tc>
          <w:tcPr>
            <w:tcW w:w="293" w:type="pct"/>
          </w:tcPr>
          <w:p w:rsidR="00893912" w:rsidRPr="00893912" w:rsidRDefault="00893912" w:rsidP="008939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Кабушкин</w:t>
            </w:r>
            <w:r w:rsidRPr="00893912">
              <w:rPr>
                <w:i/>
                <w:iCs/>
                <w:color w:val="000000" w:themeColor="text1"/>
                <w:sz w:val="24"/>
              </w:rPr>
              <w:t xml:space="preserve">, </w:t>
            </w:r>
            <w:r w:rsidRPr="00893912">
              <w:rPr>
                <w:color w:val="000000" w:themeColor="text1"/>
                <w:sz w:val="24"/>
              </w:rPr>
              <w:t>Н</w:t>
            </w:r>
            <w:r w:rsidRPr="00893912">
              <w:rPr>
                <w:i/>
                <w:iCs/>
                <w:color w:val="000000" w:themeColor="text1"/>
                <w:sz w:val="24"/>
              </w:rPr>
              <w:t>.</w:t>
            </w:r>
            <w:r w:rsidRPr="00893912">
              <w:rPr>
                <w:color w:val="000000" w:themeColor="text1"/>
                <w:sz w:val="24"/>
              </w:rPr>
              <w:t>Л</w:t>
            </w:r>
            <w:r w:rsidRPr="00893912">
              <w:rPr>
                <w:i/>
                <w:iCs/>
                <w:color w:val="000000" w:themeColor="text1"/>
                <w:sz w:val="24"/>
              </w:rPr>
              <w:t xml:space="preserve">. </w:t>
            </w:r>
            <w:r w:rsidRPr="00893912">
              <w:rPr>
                <w:color w:val="000000" w:themeColor="text1"/>
                <w:sz w:val="24"/>
              </w:rPr>
              <w:t xml:space="preserve">Основы менеджмента: учеб. пособие / Н.Л. Кабушкин – 5-е изд., стереотип. – Мн.: Новое знание, 2002. – 336 с. [Электронный ресурс] – Режим доступа: </w:t>
            </w:r>
            <w:hyperlink r:id="rId11" w:history="1">
              <w:r w:rsidRPr="00893912">
                <w:rPr>
                  <w:color w:val="000000" w:themeColor="text1"/>
                  <w:sz w:val="24"/>
                  <w:u w:val="single"/>
                </w:rPr>
                <w:t>http://finlit.online/page/</w:t>
              </w:r>
            </w:hyperlink>
            <w:r w:rsidRPr="00893912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893912" w:rsidRPr="00893912" w:rsidTr="00B36FDB">
        <w:trPr>
          <w:jc w:val="center"/>
        </w:trPr>
        <w:tc>
          <w:tcPr>
            <w:tcW w:w="293" w:type="pct"/>
          </w:tcPr>
          <w:p w:rsidR="00893912" w:rsidRPr="00893912" w:rsidRDefault="00893912" w:rsidP="008939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Родина</w:t>
            </w:r>
            <w:r w:rsidRPr="00893912">
              <w:rPr>
                <w:i/>
                <w:iCs/>
                <w:color w:val="000000" w:themeColor="text1"/>
                <w:sz w:val="24"/>
              </w:rPr>
              <w:t xml:space="preserve">, </w:t>
            </w:r>
            <w:r w:rsidRPr="00893912">
              <w:rPr>
                <w:color w:val="000000" w:themeColor="text1"/>
                <w:sz w:val="24"/>
              </w:rPr>
              <w:t>Е</w:t>
            </w:r>
            <w:r w:rsidRPr="00893912">
              <w:rPr>
                <w:i/>
                <w:iCs/>
                <w:color w:val="000000" w:themeColor="text1"/>
                <w:sz w:val="24"/>
              </w:rPr>
              <w:t>.</w:t>
            </w:r>
            <w:r w:rsidRPr="00893912">
              <w:rPr>
                <w:color w:val="000000" w:themeColor="text1"/>
                <w:sz w:val="24"/>
              </w:rPr>
              <w:t>А</w:t>
            </w:r>
            <w:r w:rsidRPr="00893912">
              <w:rPr>
                <w:i/>
                <w:iCs/>
                <w:color w:val="000000" w:themeColor="text1"/>
                <w:sz w:val="24"/>
              </w:rPr>
              <w:t xml:space="preserve">. </w:t>
            </w:r>
            <w:r w:rsidRPr="00893912">
              <w:rPr>
                <w:color w:val="000000" w:themeColor="text1"/>
                <w:sz w:val="24"/>
              </w:rPr>
              <w:t xml:space="preserve">Повышение квалификации педагогических кадров дошкольных образовательных учреждений / Е.А. Родина // Народное образование. – 2013. [Электронный ресурс]- Режим доступа: </w:t>
            </w:r>
            <w:hyperlink r:id="rId12" w:history="1">
              <w:r w:rsidRPr="00893912">
                <w:rPr>
                  <w:color w:val="000000" w:themeColor="text1"/>
                  <w:sz w:val="24"/>
                  <w:u w:val="single"/>
                </w:rPr>
                <w:t>https://cyberleninka.ru/article/n/povyshenie-</w:t>
              </w:r>
              <w:r w:rsidRPr="00893912">
                <w:rPr>
                  <w:color w:val="000000" w:themeColor="text1"/>
                  <w:sz w:val="24"/>
                  <w:u w:val="single"/>
                </w:rPr>
                <w:lastRenderedPageBreak/>
                <w:t>kvalifikatsii-pedagogicheskih-kadrov-doshkolnyh-obrazovatelnyh-uchrezhdeniy-na-rayonnyh-stazhirovochnyh-ploschadkah</w:t>
              </w:r>
            </w:hyperlink>
            <w:r w:rsidRPr="00893912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893912" w:rsidRPr="00893912" w:rsidTr="00B36FDB">
        <w:trPr>
          <w:jc w:val="center"/>
        </w:trPr>
        <w:tc>
          <w:tcPr>
            <w:tcW w:w="293" w:type="pct"/>
          </w:tcPr>
          <w:p w:rsidR="00893912" w:rsidRPr="00893912" w:rsidRDefault="00893912" w:rsidP="008939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 xml:space="preserve">Бизнес «Управление персоналом» [Электронный ресурс] – Режим доступа: </w:t>
            </w:r>
            <w:hyperlink r:id="rId13" w:history="1">
              <w:r w:rsidRPr="00893912">
                <w:rPr>
                  <w:color w:val="000000" w:themeColor="text1"/>
                  <w:sz w:val="24"/>
                  <w:u w:val="single"/>
                </w:rPr>
                <w:t>http://www.grandars.ru</w:t>
              </w:r>
            </w:hyperlink>
            <w:r w:rsidRPr="00893912">
              <w:rPr>
                <w:color w:val="000000" w:themeColor="text1"/>
                <w:sz w:val="24"/>
              </w:rPr>
              <w:t xml:space="preserve">. </w:t>
            </w:r>
          </w:p>
        </w:tc>
      </w:tr>
      <w:tr w:rsidR="00893912" w:rsidRPr="00893912" w:rsidTr="00B36FDB">
        <w:trPr>
          <w:jc w:val="center"/>
        </w:trPr>
        <w:tc>
          <w:tcPr>
            <w:tcW w:w="293" w:type="pct"/>
          </w:tcPr>
          <w:p w:rsidR="00893912" w:rsidRPr="00893912" w:rsidRDefault="00893912" w:rsidP="008939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 xml:space="preserve">Кодекс законов о труде Украины 2014 [Электронный ресурс] – Режим доступа: </w:t>
            </w:r>
            <w:hyperlink r:id="rId14" w:history="1">
              <w:r w:rsidRPr="00893912">
                <w:rPr>
                  <w:color w:val="000000" w:themeColor="text1"/>
                  <w:sz w:val="24"/>
                  <w:u w:val="single"/>
                </w:rPr>
                <w:t>https://i.factor.ua/law-39/</w:t>
              </w:r>
            </w:hyperlink>
            <w:r w:rsidRPr="00893912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893912" w:rsidRPr="00893912" w:rsidTr="00B36FDB">
        <w:trPr>
          <w:jc w:val="center"/>
        </w:trPr>
        <w:tc>
          <w:tcPr>
            <w:tcW w:w="293" w:type="pct"/>
          </w:tcPr>
          <w:p w:rsidR="00893912" w:rsidRPr="00893912" w:rsidRDefault="00893912" w:rsidP="008939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 xml:space="preserve">Современные методы обучения персонала и оценка их эффективности [Электронный ресурс] – Режим доступа: </w:t>
            </w:r>
            <w:hyperlink r:id="rId15" w:history="1">
              <w:r w:rsidRPr="00893912">
                <w:rPr>
                  <w:color w:val="000000" w:themeColor="text1"/>
                  <w:sz w:val="24"/>
                  <w:u w:val="single"/>
                </w:rPr>
                <w:t>http://refleader.ru/jgeotrbewpol.html</w:t>
              </w:r>
            </w:hyperlink>
            <w:r w:rsidRPr="00893912">
              <w:rPr>
                <w:color w:val="000000" w:themeColor="text1"/>
                <w:sz w:val="24"/>
              </w:rPr>
              <w:t xml:space="preserve">. </w:t>
            </w:r>
          </w:p>
        </w:tc>
      </w:tr>
      <w:tr w:rsidR="00893912" w:rsidRPr="00893912" w:rsidTr="00B36FDB">
        <w:trPr>
          <w:jc w:val="center"/>
        </w:trPr>
        <w:tc>
          <w:tcPr>
            <w:tcW w:w="293" w:type="pct"/>
          </w:tcPr>
          <w:p w:rsidR="00893912" w:rsidRPr="00893912" w:rsidRDefault="00893912" w:rsidP="00893912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707" w:type="pct"/>
          </w:tcPr>
          <w:p w:rsidR="00893912" w:rsidRPr="00893912" w:rsidRDefault="00893912" w:rsidP="00893912">
            <w:pPr>
              <w:jc w:val="both"/>
              <w:rPr>
                <w:color w:val="000000" w:themeColor="text1"/>
                <w:sz w:val="24"/>
              </w:rPr>
            </w:pPr>
            <w:r w:rsidRPr="00893912">
              <w:rPr>
                <w:color w:val="000000" w:themeColor="text1"/>
                <w:sz w:val="24"/>
              </w:rPr>
              <w:t>Соловцова, Е. Е. Проблемы и перспективы внутрифирменного обучения / Е. Е. Соловцова // Образовательная политика. – 2006. – № 10. – С. 20-21.</w:t>
            </w:r>
          </w:p>
        </w:tc>
      </w:tr>
    </w:tbl>
    <w:p w:rsidR="00893912" w:rsidRPr="00893912" w:rsidRDefault="00893912" w:rsidP="0089391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527BFF" w:rsidRDefault="00527BFF">
      <w:bookmarkStart w:id="3" w:name="_GoBack"/>
      <w:bookmarkEnd w:id="3"/>
    </w:p>
    <w:sectPr w:rsidR="0052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D074A"/>
    <w:multiLevelType w:val="hybridMultilevel"/>
    <w:tmpl w:val="6DE20970"/>
    <w:lvl w:ilvl="0" w:tplc="11F8C7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70672F3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12"/>
    <w:rsid w:val="00527BFF"/>
    <w:rsid w:val="008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912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912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://www.grandars.ru" TargetMode="Externa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hyperlink" Target="https://cyberleninka.ru/article/n/povyshenie-kvalifikatsii-pedagogicheskih-kadrov-doshkolnyh-obrazovatelnyh-uchrezhdeniy-na-rayonnyh-stazhirovochnyh-ploschadka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://finlit.online/pa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fleader.ru/jgeotrbewpol.html" TargetMode="Externa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s://i.factor.ua/law-39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75AA85-4CFA-48AA-B5A2-76AB8E6B9CEA}" type="doc">
      <dgm:prSet loTypeId="urn:microsoft.com/office/officeart/2005/8/layout/matrix1" loCatId="matrix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63937536-E937-4DA4-89F7-4FAEE16C5B17}">
      <dgm:prSet phldrT="[Текст]" custT="1"/>
      <dgm:spPr>
        <a:xfrm>
          <a:off x="1676397" y="610790"/>
          <a:ext cx="1971679" cy="407193"/>
        </a:xfrm>
        <a:gradFill rotWithShape="0">
          <a:gsLst>
            <a:gs pos="0">
              <a:sysClr val="windowText" lastClr="000000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Text" lastClr="000000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Text" lastClr="000000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r>
            <a:rPr lang="ru-RU" sz="1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Актуальные методы обучения</a:t>
          </a:r>
        </a:p>
      </dgm:t>
    </dgm:pt>
    <dgm:pt modelId="{76FC0F48-9EE6-4819-9804-151E25E56ACE}" type="parTrans" cxnId="{8E145E0F-E974-4149-AB1F-37F023D3D828}">
      <dgm:prSet/>
      <dgm:spPr/>
      <dgm:t>
        <a:bodyPr/>
        <a:lstStyle/>
        <a:p>
          <a:pPr algn="ctr"/>
          <a:endParaRPr lang="ru-RU"/>
        </a:p>
      </dgm:t>
    </dgm:pt>
    <dgm:pt modelId="{44762A31-AC81-4DD4-92F6-E16E8B105677}" type="sibTrans" cxnId="{8E145E0F-E974-4149-AB1F-37F023D3D828}">
      <dgm:prSet/>
      <dgm:spPr/>
      <dgm:t>
        <a:bodyPr/>
        <a:lstStyle/>
        <a:p>
          <a:pPr algn="ctr"/>
          <a:endParaRPr lang="ru-RU"/>
        </a:p>
      </dgm:t>
    </dgm:pt>
    <dgm:pt modelId="{E5B961FE-E763-4074-BA12-DE8F99BA6C44}">
      <dgm:prSet phldrT="[Текст]" custT="1"/>
      <dgm:spPr>
        <a:xfrm rot="16200000">
          <a:off x="891538" y="-864205"/>
          <a:ext cx="814387" cy="2662237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endParaRPr lang="ru-RU" sz="1200" b="1" i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algn="ctr"/>
          <a:r>
            <a:rPr lang="ru-RU" sz="12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1. Баддинг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(включение обучаемого в процесс деятельности другого человека)</a:t>
          </a:r>
        </a:p>
      </dgm:t>
    </dgm:pt>
    <dgm:pt modelId="{36D88968-9DE1-4819-8161-B26767D803C6}" type="parTrans" cxnId="{75B848FB-8D29-4EE2-AE85-F49759B814F7}">
      <dgm:prSet/>
      <dgm:spPr/>
      <dgm:t>
        <a:bodyPr/>
        <a:lstStyle/>
        <a:p>
          <a:pPr algn="ctr"/>
          <a:endParaRPr lang="ru-RU"/>
        </a:p>
      </dgm:t>
    </dgm:pt>
    <dgm:pt modelId="{C1E1588F-F652-43A4-BCFD-1A093C3AC65F}" type="sibTrans" cxnId="{75B848FB-8D29-4EE2-AE85-F49759B814F7}">
      <dgm:prSet/>
      <dgm:spPr/>
      <dgm:t>
        <a:bodyPr/>
        <a:lstStyle/>
        <a:p>
          <a:pPr algn="ctr"/>
          <a:endParaRPr lang="ru-RU"/>
        </a:p>
      </dgm:t>
    </dgm:pt>
    <dgm:pt modelId="{53E33EAC-F168-427A-88D3-4FE4E5591265}">
      <dgm:prSet phldrT="[Текст]" custT="1"/>
      <dgm:spPr>
        <a:xfrm>
          <a:off x="2532706" y="0"/>
          <a:ext cx="2791781" cy="814387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endParaRPr lang="ru-RU" sz="1200" b="1" i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algn="ctr"/>
          <a:r>
            <a:rPr lang="ru-RU" sz="12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2. Шеддуинг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(наблюдение за процессом работы)</a:t>
          </a:r>
        </a:p>
      </dgm:t>
    </dgm:pt>
    <dgm:pt modelId="{BA2BB88E-EF95-4C41-A0AF-641AFBB69B9F}" type="parTrans" cxnId="{E64745A2-53A8-4B41-866D-B1522D266DD8}">
      <dgm:prSet/>
      <dgm:spPr/>
      <dgm:t>
        <a:bodyPr/>
        <a:lstStyle/>
        <a:p>
          <a:pPr algn="ctr"/>
          <a:endParaRPr lang="ru-RU"/>
        </a:p>
      </dgm:t>
    </dgm:pt>
    <dgm:pt modelId="{1C5E3EAA-76DF-4403-8073-F07D202AC51B}" type="sibTrans" cxnId="{E64745A2-53A8-4B41-866D-B1522D266DD8}">
      <dgm:prSet/>
      <dgm:spPr/>
      <dgm:t>
        <a:bodyPr/>
        <a:lstStyle/>
        <a:p>
          <a:pPr algn="ctr"/>
          <a:endParaRPr lang="ru-RU"/>
        </a:p>
      </dgm:t>
    </dgm:pt>
    <dgm:pt modelId="{CBA103DF-92E0-4BF8-B272-9AEB10C2EDBA}">
      <dgm:prSet phldrT="[Текст]" custT="1"/>
      <dgm:spPr>
        <a:xfrm rot="10800000">
          <a:off x="-32386" y="814387"/>
          <a:ext cx="2662237" cy="814387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r>
            <a:rPr lang="ru-RU" sz="12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3. Коучинг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(раскрытие потенциала личности обучаемого)</a:t>
          </a:r>
        </a:p>
      </dgm:t>
    </dgm:pt>
    <dgm:pt modelId="{48D66CD4-1475-4102-A063-B33EADBD648A}" type="parTrans" cxnId="{1CD137E3-39CF-4248-8C79-7EDC8F6F9A41}">
      <dgm:prSet/>
      <dgm:spPr/>
      <dgm:t>
        <a:bodyPr/>
        <a:lstStyle/>
        <a:p>
          <a:pPr algn="ctr"/>
          <a:endParaRPr lang="ru-RU"/>
        </a:p>
      </dgm:t>
    </dgm:pt>
    <dgm:pt modelId="{39F89D83-A822-4114-A6F6-6F6C0D27713C}" type="sibTrans" cxnId="{1CD137E3-39CF-4248-8C79-7EDC8F6F9A41}">
      <dgm:prSet/>
      <dgm:spPr/>
      <dgm:t>
        <a:bodyPr/>
        <a:lstStyle/>
        <a:p>
          <a:pPr algn="ctr"/>
          <a:endParaRPr lang="ru-RU"/>
        </a:p>
      </dgm:t>
    </dgm:pt>
    <dgm:pt modelId="{7BC593DC-2CD2-47E9-AED8-DD04D4D21D87}">
      <dgm:prSet phldrT="[Текст]" custT="1"/>
      <dgm:spPr>
        <a:xfrm rot="5400000">
          <a:off x="3553776" y="-109537"/>
          <a:ext cx="814387" cy="2662237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r>
            <a:rPr lang="ru-RU" sz="12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4. Наставничество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(целенаправленная передача опыта)</a:t>
          </a:r>
        </a:p>
      </dgm:t>
    </dgm:pt>
    <dgm:pt modelId="{FDBC1B99-AF75-4439-ABDF-85A4D4B9881A}" type="parTrans" cxnId="{F5B5169D-0DB9-4CD5-9476-8FA828A9ACBC}">
      <dgm:prSet/>
      <dgm:spPr/>
      <dgm:t>
        <a:bodyPr/>
        <a:lstStyle/>
        <a:p>
          <a:pPr algn="ctr"/>
          <a:endParaRPr lang="ru-RU"/>
        </a:p>
      </dgm:t>
    </dgm:pt>
    <dgm:pt modelId="{77803F9E-67E2-4879-8F12-5DABC7D4BDD0}" type="sibTrans" cxnId="{F5B5169D-0DB9-4CD5-9476-8FA828A9ACBC}">
      <dgm:prSet/>
      <dgm:spPr/>
      <dgm:t>
        <a:bodyPr/>
        <a:lstStyle/>
        <a:p>
          <a:pPr algn="ctr"/>
          <a:endParaRPr lang="ru-RU"/>
        </a:p>
      </dgm:t>
    </dgm:pt>
    <dgm:pt modelId="{C733524D-A820-47FF-86CA-2DA1276FE1FA}" type="pres">
      <dgm:prSet presAssocID="{6575AA85-4CFA-48AA-B5A2-76AB8E6B9CEA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A0D6143-6AFF-41DC-A097-38210AFB8BE4}" type="pres">
      <dgm:prSet presAssocID="{6575AA85-4CFA-48AA-B5A2-76AB8E6B9CEA}" presName="matrix" presStyleCnt="0"/>
      <dgm:spPr/>
    </dgm:pt>
    <dgm:pt modelId="{8B0B02A5-1973-4B7C-85D9-AB520E57ECA2}" type="pres">
      <dgm:prSet presAssocID="{6575AA85-4CFA-48AA-B5A2-76AB8E6B9CEA}" presName="tile1" presStyleLbl="node1" presStyleIdx="0" presStyleCnt="4" custLinFactNeighborX="-1073" custLinFactNeighborY="7333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9A5498CC-4BD2-4FF7-9E32-CA7DBB8B0864}" type="pres">
      <dgm:prSet presAssocID="{6575AA85-4CFA-48AA-B5A2-76AB8E6B9CEA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C44D5F-E807-4EC5-8744-7B02AEF1A799}" type="pres">
      <dgm:prSet presAssocID="{6575AA85-4CFA-48AA-B5A2-76AB8E6B9CEA}" presName="tile2" presStyleLbl="node1" presStyleIdx="1" presStyleCnt="4" custScaleX="104866" custLinFactNeighborX="-1216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40AE8424-3A0F-4CE1-B98E-2F99BE20B9A5}" type="pres">
      <dgm:prSet presAssocID="{6575AA85-4CFA-48AA-B5A2-76AB8E6B9CEA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076835-3C0C-4E02-8AD6-197A4473B05C}" type="pres">
      <dgm:prSet presAssocID="{6575AA85-4CFA-48AA-B5A2-76AB8E6B9CEA}" presName="tile3" presStyleLbl="node1" presStyleIdx="2" presStyleCnt="4" custLinFactNeighborY="248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ECA195E5-23CE-46D5-9FCB-99911AAE9BBB}" type="pres">
      <dgm:prSet presAssocID="{6575AA85-4CFA-48AA-B5A2-76AB8E6B9CEA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C67C24-3130-45A3-9DDF-4E333857D30F}" type="pres">
      <dgm:prSet presAssocID="{6575AA85-4CFA-48AA-B5A2-76AB8E6B9CEA}" presName="tile4" presStyleLbl="node1" presStyleIdx="3" presStyleCnt="4"/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9F11E2AA-5E2E-4E25-8B95-AB6734608E3B}" type="pres">
      <dgm:prSet presAssocID="{6575AA85-4CFA-48AA-B5A2-76AB8E6B9CEA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3C2E09-1D80-4AD3-B30B-ED65DEFABF08}" type="pres">
      <dgm:prSet presAssocID="{6575AA85-4CFA-48AA-B5A2-76AB8E6B9CEA}" presName="centerTile" presStyleLbl="fgShp" presStyleIdx="0" presStyleCnt="1" custScaleX="123435">
        <dgm:presLayoutVars>
          <dgm:chMax val="0"/>
          <dgm:chPref val="0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9B83A7EB-AE6F-4D06-B7E9-0ADDBBA554E9}" type="presOf" srcId="{CBA103DF-92E0-4BF8-B272-9AEB10C2EDBA}" destId="{ECA195E5-23CE-46D5-9FCB-99911AAE9BBB}" srcOrd="1" destOrd="0" presId="urn:microsoft.com/office/officeart/2005/8/layout/matrix1"/>
    <dgm:cxn modelId="{D39D3DC4-603F-492F-B583-BBEA7F1F3D29}" type="presOf" srcId="{CBA103DF-92E0-4BF8-B272-9AEB10C2EDBA}" destId="{A7076835-3C0C-4E02-8AD6-197A4473B05C}" srcOrd="0" destOrd="0" presId="urn:microsoft.com/office/officeart/2005/8/layout/matrix1"/>
    <dgm:cxn modelId="{990328B2-FDDC-4D72-BA27-4CED1FA8A23F}" type="presOf" srcId="{6575AA85-4CFA-48AA-B5A2-76AB8E6B9CEA}" destId="{C733524D-A820-47FF-86CA-2DA1276FE1FA}" srcOrd="0" destOrd="0" presId="urn:microsoft.com/office/officeart/2005/8/layout/matrix1"/>
    <dgm:cxn modelId="{E63E491A-25FA-4386-9430-44DC204572D5}" type="presOf" srcId="{63937536-E937-4DA4-89F7-4FAEE16C5B17}" destId="{1C3C2E09-1D80-4AD3-B30B-ED65DEFABF08}" srcOrd="0" destOrd="0" presId="urn:microsoft.com/office/officeart/2005/8/layout/matrix1"/>
    <dgm:cxn modelId="{C9245E76-A841-4C39-9C45-F79074F39516}" type="presOf" srcId="{53E33EAC-F168-427A-88D3-4FE4E5591265}" destId="{ABC44D5F-E807-4EC5-8744-7B02AEF1A799}" srcOrd="0" destOrd="0" presId="urn:microsoft.com/office/officeart/2005/8/layout/matrix1"/>
    <dgm:cxn modelId="{E64745A2-53A8-4B41-866D-B1522D266DD8}" srcId="{63937536-E937-4DA4-89F7-4FAEE16C5B17}" destId="{53E33EAC-F168-427A-88D3-4FE4E5591265}" srcOrd="1" destOrd="0" parTransId="{BA2BB88E-EF95-4C41-A0AF-641AFBB69B9F}" sibTransId="{1C5E3EAA-76DF-4403-8073-F07D202AC51B}"/>
    <dgm:cxn modelId="{8E145E0F-E974-4149-AB1F-37F023D3D828}" srcId="{6575AA85-4CFA-48AA-B5A2-76AB8E6B9CEA}" destId="{63937536-E937-4DA4-89F7-4FAEE16C5B17}" srcOrd="0" destOrd="0" parTransId="{76FC0F48-9EE6-4819-9804-151E25E56ACE}" sibTransId="{44762A31-AC81-4DD4-92F6-E16E8B105677}"/>
    <dgm:cxn modelId="{CFE6A02A-3F2A-46BC-B8C0-95C00A23B036}" type="presOf" srcId="{E5B961FE-E763-4074-BA12-DE8F99BA6C44}" destId="{9A5498CC-4BD2-4FF7-9E32-CA7DBB8B0864}" srcOrd="1" destOrd="0" presId="urn:microsoft.com/office/officeart/2005/8/layout/matrix1"/>
    <dgm:cxn modelId="{EB021F6B-2EE5-4FD0-862B-694D404E60D2}" type="presOf" srcId="{7BC593DC-2CD2-47E9-AED8-DD04D4D21D87}" destId="{9F11E2AA-5E2E-4E25-8B95-AB6734608E3B}" srcOrd="1" destOrd="0" presId="urn:microsoft.com/office/officeart/2005/8/layout/matrix1"/>
    <dgm:cxn modelId="{AD9814C4-C628-44EB-87DD-931D346AE5D0}" type="presOf" srcId="{53E33EAC-F168-427A-88D3-4FE4E5591265}" destId="{40AE8424-3A0F-4CE1-B98E-2F99BE20B9A5}" srcOrd="1" destOrd="0" presId="urn:microsoft.com/office/officeart/2005/8/layout/matrix1"/>
    <dgm:cxn modelId="{CBF52511-D143-4ECA-9623-7CF0B7CE456A}" type="presOf" srcId="{7BC593DC-2CD2-47E9-AED8-DD04D4D21D87}" destId="{9EC67C24-3130-45A3-9DDF-4E333857D30F}" srcOrd="0" destOrd="0" presId="urn:microsoft.com/office/officeart/2005/8/layout/matrix1"/>
    <dgm:cxn modelId="{75B848FB-8D29-4EE2-AE85-F49759B814F7}" srcId="{63937536-E937-4DA4-89F7-4FAEE16C5B17}" destId="{E5B961FE-E763-4074-BA12-DE8F99BA6C44}" srcOrd="0" destOrd="0" parTransId="{36D88968-9DE1-4819-8161-B26767D803C6}" sibTransId="{C1E1588F-F652-43A4-BCFD-1A093C3AC65F}"/>
    <dgm:cxn modelId="{F5B5169D-0DB9-4CD5-9476-8FA828A9ACBC}" srcId="{63937536-E937-4DA4-89F7-4FAEE16C5B17}" destId="{7BC593DC-2CD2-47E9-AED8-DD04D4D21D87}" srcOrd="3" destOrd="0" parTransId="{FDBC1B99-AF75-4439-ABDF-85A4D4B9881A}" sibTransId="{77803F9E-67E2-4879-8F12-5DABC7D4BDD0}"/>
    <dgm:cxn modelId="{421E3753-BB3F-49F7-9636-75F5D2300207}" type="presOf" srcId="{E5B961FE-E763-4074-BA12-DE8F99BA6C44}" destId="{8B0B02A5-1973-4B7C-85D9-AB520E57ECA2}" srcOrd="0" destOrd="0" presId="urn:microsoft.com/office/officeart/2005/8/layout/matrix1"/>
    <dgm:cxn modelId="{1CD137E3-39CF-4248-8C79-7EDC8F6F9A41}" srcId="{63937536-E937-4DA4-89F7-4FAEE16C5B17}" destId="{CBA103DF-92E0-4BF8-B272-9AEB10C2EDBA}" srcOrd="2" destOrd="0" parTransId="{48D66CD4-1475-4102-A063-B33EADBD648A}" sibTransId="{39F89D83-A822-4114-A6F6-6F6C0D27713C}"/>
    <dgm:cxn modelId="{FC627D1A-E529-4E6A-8008-62AD9C80D06D}" type="presParOf" srcId="{C733524D-A820-47FF-86CA-2DA1276FE1FA}" destId="{EA0D6143-6AFF-41DC-A097-38210AFB8BE4}" srcOrd="0" destOrd="0" presId="urn:microsoft.com/office/officeart/2005/8/layout/matrix1"/>
    <dgm:cxn modelId="{E3536337-AD3C-4DB4-A867-26F220CB7FE1}" type="presParOf" srcId="{EA0D6143-6AFF-41DC-A097-38210AFB8BE4}" destId="{8B0B02A5-1973-4B7C-85D9-AB520E57ECA2}" srcOrd="0" destOrd="0" presId="urn:microsoft.com/office/officeart/2005/8/layout/matrix1"/>
    <dgm:cxn modelId="{20459C37-8995-443E-A82A-8FF124A949B8}" type="presParOf" srcId="{EA0D6143-6AFF-41DC-A097-38210AFB8BE4}" destId="{9A5498CC-4BD2-4FF7-9E32-CA7DBB8B0864}" srcOrd="1" destOrd="0" presId="urn:microsoft.com/office/officeart/2005/8/layout/matrix1"/>
    <dgm:cxn modelId="{527E2870-B0BC-4E62-8E87-FF7185DD1648}" type="presParOf" srcId="{EA0D6143-6AFF-41DC-A097-38210AFB8BE4}" destId="{ABC44D5F-E807-4EC5-8744-7B02AEF1A799}" srcOrd="2" destOrd="0" presId="urn:microsoft.com/office/officeart/2005/8/layout/matrix1"/>
    <dgm:cxn modelId="{DDF92237-77D1-44F1-8F88-479880435E7B}" type="presParOf" srcId="{EA0D6143-6AFF-41DC-A097-38210AFB8BE4}" destId="{40AE8424-3A0F-4CE1-B98E-2F99BE20B9A5}" srcOrd="3" destOrd="0" presId="urn:microsoft.com/office/officeart/2005/8/layout/matrix1"/>
    <dgm:cxn modelId="{37A4D9DE-91FB-4625-B132-241E415C1402}" type="presParOf" srcId="{EA0D6143-6AFF-41DC-A097-38210AFB8BE4}" destId="{A7076835-3C0C-4E02-8AD6-197A4473B05C}" srcOrd="4" destOrd="0" presId="urn:microsoft.com/office/officeart/2005/8/layout/matrix1"/>
    <dgm:cxn modelId="{8D5FAB70-2FFF-4B0D-BAFC-52E8FFBBBE0A}" type="presParOf" srcId="{EA0D6143-6AFF-41DC-A097-38210AFB8BE4}" destId="{ECA195E5-23CE-46D5-9FCB-99911AAE9BBB}" srcOrd="5" destOrd="0" presId="urn:microsoft.com/office/officeart/2005/8/layout/matrix1"/>
    <dgm:cxn modelId="{78A2D0CC-1857-497B-9B12-9715A182495C}" type="presParOf" srcId="{EA0D6143-6AFF-41DC-A097-38210AFB8BE4}" destId="{9EC67C24-3130-45A3-9DDF-4E333857D30F}" srcOrd="6" destOrd="0" presId="urn:microsoft.com/office/officeart/2005/8/layout/matrix1"/>
    <dgm:cxn modelId="{B3BD27A3-73CF-4728-A485-10037EC91E23}" type="presParOf" srcId="{EA0D6143-6AFF-41DC-A097-38210AFB8BE4}" destId="{9F11E2AA-5E2E-4E25-8B95-AB6734608E3B}" srcOrd="7" destOrd="0" presId="urn:microsoft.com/office/officeart/2005/8/layout/matrix1"/>
    <dgm:cxn modelId="{B64A17E6-F01F-429A-9949-4A300E90076D}" type="presParOf" srcId="{C733524D-A820-47FF-86CA-2DA1276FE1FA}" destId="{1C3C2E09-1D80-4AD3-B30B-ED65DEFABF08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0B02A5-1973-4B7C-85D9-AB520E57ECA2}">
      <dsp:nvSpPr>
        <dsp:cNvPr id="0" name=""/>
        <dsp:cNvSpPr/>
      </dsp:nvSpPr>
      <dsp:spPr>
        <a:xfrm rot="16200000">
          <a:off x="891538" y="-864205"/>
          <a:ext cx="814387" cy="2662237"/>
        </a:xfrm>
        <a:prstGeom prst="round1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b="1" i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1. Баддинг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(включение обучаемого в процесс деятельности другого человека)</a:t>
          </a:r>
        </a:p>
      </dsp:txBody>
      <dsp:txXfrm rot="5400000">
        <a:off x="-32386" y="59719"/>
        <a:ext cx="2662237" cy="610790"/>
      </dsp:txXfrm>
    </dsp:sp>
    <dsp:sp modelId="{ABC44D5F-E807-4EC5-8744-7B02AEF1A799}">
      <dsp:nvSpPr>
        <dsp:cNvPr id="0" name=""/>
        <dsp:cNvSpPr/>
      </dsp:nvSpPr>
      <dsp:spPr>
        <a:xfrm>
          <a:off x="2532706" y="0"/>
          <a:ext cx="2791781" cy="814387"/>
        </a:xfrm>
        <a:prstGeom prst="round1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b="1" i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2. Шеддуинг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(наблюдение за процессом работы)</a:t>
          </a:r>
        </a:p>
      </dsp:txBody>
      <dsp:txXfrm>
        <a:off x="2532706" y="0"/>
        <a:ext cx="2791781" cy="610790"/>
      </dsp:txXfrm>
    </dsp:sp>
    <dsp:sp modelId="{A7076835-3C0C-4E02-8AD6-197A4473B05C}">
      <dsp:nvSpPr>
        <dsp:cNvPr id="0" name=""/>
        <dsp:cNvSpPr/>
      </dsp:nvSpPr>
      <dsp:spPr>
        <a:xfrm rot="10800000">
          <a:off x="-32386" y="814387"/>
          <a:ext cx="2662237" cy="814387"/>
        </a:xfrm>
        <a:prstGeom prst="round1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3. Коучинг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(раскрытие потенциала личности обучаемого)</a:t>
          </a:r>
        </a:p>
      </dsp:txBody>
      <dsp:txXfrm rot="10800000">
        <a:off x="-32386" y="1017984"/>
        <a:ext cx="2662237" cy="610790"/>
      </dsp:txXfrm>
    </dsp:sp>
    <dsp:sp modelId="{9EC67C24-3130-45A3-9DDF-4E333857D30F}">
      <dsp:nvSpPr>
        <dsp:cNvPr id="0" name=""/>
        <dsp:cNvSpPr/>
      </dsp:nvSpPr>
      <dsp:spPr>
        <a:xfrm rot="5400000">
          <a:off x="3553776" y="-109537"/>
          <a:ext cx="814387" cy="2662237"/>
        </a:xfrm>
        <a:prstGeom prst="round1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4. Наставничество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 (целенаправленная передача опыта)</a:t>
          </a:r>
        </a:p>
      </dsp:txBody>
      <dsp:txXfrm rot="-5400000">
        <a:off x="2629851" y="1017984"/>
        <a:ext cx="2662237" cy="610790"/>
      </dsp:txXfrm>
    </dsp:sp>
    <dsp:sp modelId="{1C3C2E09-1D80-4AD3-B30B-ED65DEFABF08}">
      <dsp:nvSpPr>
        <dsp:cNvPr id="0" name=""/>
        <dsp:cNvSpPr/>
      </dsp:nvSpPr>
      <dsp:spPr>
        <a:xfrm>
          <a:off x="1676397" y="610790"/>
          <a:ext cx="1971679" cy="407193"/>
        </a:xfrm>
        <a:prstGeom prst="roundRect">
          <a:avLst/>
        </a:prstGeom>
        <a:gradFill rotWithShape="0">
          <a:gsLst>
            <a:gs pos="0">
              <a:sysClr val="windowText" lastClr="000000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Text" lastClr="000000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Text" lastClr="000000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Актуальные методы обучения</a:t>
          </a:r>
        </a:p>
      </dsp:txBody>
      <dsp:txXfrm>
        <a:off x="1696275" y="630668"/>
        <a:ext cx="1931923" cy="367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2020-06-15T14:47:00Z</dcterms:created>
  <dcterms:modified xsi:type="dcterms:W3CDTF">2020-06-15T14:55:00Z</dcterms:modified>
</cp:coreProperties>
</file>