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2"/>
        <w:gridCol w:w="5120"/>
      </w:tblGrid>
      <w:tr w:rsidR="00EF5542" w:rsidRPr="00EF5542" w:rsidTr="00B36FDB">
        <w:trPr>
          <w:jc w:val="center"/>
        </w:trPr>
        <w:tc>
          <w:tcPr>
            <w:tcW w:w="9566" w:type="dxa"/>
            <w:gridSpan w:val="2"/>
            <w:hideMark/>
          </w:tcPr>
          <w:p w:rsidR="00EF5542" w:rsidRPr="00EF5542" w:rsidRDefault="00EF5542" w:rsidP="00EF5542">
            <w:pPr>
              <w:widowControl w:val="0"/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EF5542">
              <w:rPr>
                <w:rFonts w:eastAsia="Times New Roman"/>
                <w:b/>
                <w:color w:val="000000" w:themeColor="text1"/>
                <w:szCs w:val="28"/>
                <w:lang w:eastAsia="ru-RU"/>
              </w:rPr>
              <w:t>УДК 658.5.011</w:t>
            </w:r>
          </w:p>
        </w:tc>
      </w:tr>
      <w:tr w:rsidR="00EF5542" w:rsidRPr="00EF5542" w:rsidTr="00B36FDB">
        <w:trPr>
          <w:jc w:val="center"/>
        </w:trPr>
        <w:tc>
          <w:tcPr>
            <w:tcW w:w="4321" w:type="dxa"/>
          </w:tcPr>
          <w:p w:rsidR="00EF5542" w:rsidRPr="00EF5542" w:rsidRDefault="00EF5542" w:rsidP="00EF5542">
            <w:pPr>
              <w:widowControl w:val="0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EF5542" w:rsidRPr="00EF5542" w:rsidRDefault="00EF5542" w:rsidP="00EF5542">
            <w:pPr>
              <w:jc w:val="both"/>
              <w:rPr>
                <w:rFonts w:eastAsia="Times New Roman"/>
                <w:i/>
                <w:color w:val="000000" w:themeColor="text1"/>
                <w:szCs w:val="28"/>
              </w:rPr>
            </w:pPr>
            <w:bookmarkStart w:id="0" w:name="_Toc39512768"/>
            <w:r w:rsidRPr="00EF5542">
              <w:rPr>
                <w:rFonts w:eastAsiaTheme="majorEastAsia"/>
                <w:b/>
                <w:bCs/>
                <w:iCs/>
                <w:color w:val="000000" w:themeColor="text1"/>
              </w:rPr>
              <w:t>Е. А. Шумаева,</w:t>
            </w:r>
            <w:bookmarkEnd w:id="0"/>
            <w:r w:rsidRPr="00EF5542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EF5542">
              <w:rPr>
                <w:rFonts w:eastAsia="Times New Roman"/>
                <w:i/>
                <w:color w:val="000000" w:themeColor="text1"/>
                <w:szCs w:val="28"/>
              </w:rPr>
              <w:t>канд. наук  гос. упр., доц.</w:t>
            </w:r>
          </w:p>
          <w:p w:rsidR="00EF5542" w:rsidRPr="00EF5542" w:rsidRDefault="00EF5542" w:rsidP="00EF5542">
            <w:pPr>
              <w:keepNext/>
              <w:jc w:val="both"/>
              <w:outlineLvl w:val="1"/>
              <w:rPr>
                <w:rFonts w:eastAsia="Times New Roman"/>
                <w:b/>
                <w:bCs/>
                <w:iCs/>
                <w:color w:val="000000" w:themeColor="text1"/>
                <w:szCs w:val="28"/>
                <w:lang w:eastAsia="ru-RU"/>
              </w:rPr>
            </w:pPr>
            <w:bookmarkStart w:id="1" w:name="_Toc39512769"/>
            <w:r w:rsidRPr="00EF5542">
              <w:rPr>
                <w:rFonts w:eastAsia="Times New Roman"/>
                <w:b/>
                <w:bCs/>
                <w:iCs/>
                <w:color w:val="000000" w:themeColor="text1"/>
                <w:szCs w:val="28"/>
                <w:lang w:eastAsia="ru-RU"/>
              </w:rPr>
              <w:t>Е.С. Бондаренко</w:t>
            </w:r>
            <w:bookmarkEnd w:id="1"/>
            <w:r w:rsidRPr="00EF5542">
              <w:rPr>
                <w:rFonts w:eastAsia="Times New Roman"/>
                <w:b/>
                <w:bCs/>
                <w:iCs/>
                <w:color w:val="000000" w:themeColor="text1"/>
                <w:szCs w:val="28"/>
                <w:lang w:eastAsia="ru-RU"/>
              </w:rPr>
              <w:t xml:space="preserve"> </w:t>
            </w:r>
          </w:p>
          <w:p w:rsidR="00EF5542" w:rsidRPr="00EF5542" w:rsidRDefault="00EF5542" w:rsidP="00EF5542">
            <w:pPr>
              <w:shd w:val="clear" w:color="auto" w:fill="FFFFFF"/>
              <w:rPr>
                <w:rFonts w:eastAsia="Times New Roman"/>
                <w:i/>
                <w:color w:val="000000" w:themeColor="text1"/>
                <w:szCs w:val="28"/>
                <w:lang w:eastAsia="ru-RU"/>
              </w:rPr>
            </w:pPr>
            <w:r w:rsidRPr="00EF5542">
              <w:rPr>
                <w:rFonts w:eastAsia="Times New Roman"/>
                <w:i/>
                <w:color w:val="000000" w:themeColor="text1"/>
                <w:szCs w:val="28"/>
                <w:lang w:eastAsia="ru-RU"/>
              </w:rPr>
              <w:t>ГОУВПО «Донецкий национальный</w:t>
            </w:r>
          </w:p>
          <w:p w:rsidR="00EF5542" w:rsidRPr="00EF5542" w:rsidRDefault="00EF5542" w:rsidP="00EF5542">
            <w:pPr>
              <w:shd w:val="clear" w:color="auto" w:fill="FFFFFF"/>
              <w:rPr>
                <w:rFonts w:eastAsia="Times New Roman"/>
                <w:i/>
                <w:color w:val="000000" w:themeColor="text1"/>
                <w:szCs w:val="28"/>
                <w:lang w:eastAsia="ru-RU"/>
              </w:rPr>
            </w:pPr>
            <w:r w:rsidRPr="00EF5542">
              <w:rPr>
                <w:rFonts w:eastAsia="Times New Roman"/>
                <w:i/>
                <w:color w:val="000000" w:themeColor="text1"/>
                <w:szCs w:val="28"/>
                <w:lang w:eastAsia="ru-RU"/>
              </w:rPr>
              <w:t xml:space="preserve"> технический университет»</w:t>
            </w:r>
          </w:p>
          <w:p w:rsidR="00EF5542" w:rsidRPr="00EF5542" w:rsidRDefault="00EF5542" w:rsidP="00EF5542">
            <w:pPr>
              <w:shd w:val="clear" w:color="auto" w:fill="FFFFFF"/>
              <w:rPr>
                <w:rFonts w:eastAsia="Times New Roman"/>
                <w:i/>
                <w:color w:val="000000" w:themeColor="text1"/>
                <w:szCs w:val="28"/>
                <w:lang w:eastAsia="ru-RU"/>
              </w:rPr>
            </w:pPr>
            <w:r w:rsidRPr="00EF5542">
              <w:rPr>
                <w:rFonts w:eastAsia="Times New Roman"/>
                <w:i/>
                <w:color w:val="000000" w:themeColor="text1"/>
                <w:szCs w:val="28"/>
                <w:lang w:eastAsia="ru-RU"/>
              </w:rPr>
              <w:t>Донецк, Донецкая Народная Республика</w:t>
            </w:r>
          </w:p>
          <w:p w:rsidR="00EF5542" w:rsidRPr="00EF5542" w:rsidRDefault="00EF5542" w:rsidP="00EF5542">
            <w:pPr>
              <w:shd w:val="clear" w:color="auto" w:fill="FFFFFF"/>
              <w:rPr>
                <w:rFonts w:eastAsia="Times New Roman"/>
                <w:i/>
                <w:color w:val="000000" w:themeColor="text1"/>
                <w:szCs w:val="28"/>
                <w:lang w:val="en-US" w:eastAsia="ru-RU"/>
              </w:rPr>
            </w:pPr>
            <w:r w:rsidRPr="00EF5542">
              <w:rPr>
                <w:rFonts w:eastAsia="Times New Roman"/>
                <w:b/>
                <w:i/>
                <w:color w:val="000000" w:themeColor="text1"/>
                <w:szCs w:val="28"/>
                <w:lang w:val="en-US" w:eastAsia="ru-RU"/>
              </w:rPr>
              <w:t>O.A. Shumaieva,</w:t>
            </w:r>
          </w:p>
          <w:p w:rsidR="00EF5542" w:rsidRPr="00EF5542" w:rsidRDefault="00EF5542" w:rsidP="00EF5542">
            <w:pPr>
              <w:shd w:val="clear" w:color="auto" w:fill="FFFFFF"/>
              <w:rPr>
                <w:rFonts w:eastAsia="Times New Roman"/>
                <w:b/>
                <w:i/>
                <w:color w:val="000000" w:themeColor="text1"/>
                <w:szCs w:val="28"/>
                <w:lang w:val="en-US" w:eastAsia="ru-RU"/>
              </w:rPr>
            </w:pPr>
            <w:r w:rsidRPr="00EF5542">
              <w:rPr>
                <w:rFonts w:eastAsia="Times New Roman"/>
                <w:b/>
                <w:i/>
                <w:color w:val="000000" w:themeColor="text1"/>
                <w:szCs w:val="28"/>
                <w:lang w:val="en-US" w:eastAsia="ru-RU"/>
              </w:rPr>
              <w:t>K.S. Bondarenko</w:t>
            </w:r>
          </w:p>
          <w:p w:rsidR="00EF5542" w:rsidRPr="00EF5542" w:rsidRDefault="00EF5542" w:rsidP="00EF5542">
            <w:pPr>
              <w:shd w:val="clear" w:color="auto" w:fill="FFFFFF"/>
              <w:rPr>
                <w:rFonts w:eastAsia="Times New Roman"/>
                <w:i/>
                <w:color w:val="000000" w:themeColor="text1"/>
                <w:szCs w:val="28"/>
                <w:lang w:val="en-US" w:eastAsia="ru-RU"/>
              </w:rPr>
            </w:pPr>
            <w:r w:rsidRPr="00EF5542">
              <w:rPr>
                <w:rFonts w:eastAsia="Times New Roman"/>
                <w:i/>
                <w:color w:val="000000" w:themeColor="text1"/>
                <w:szCs w:val="28"/>
                <w:lang w:val="en-US" w:eastAsia="ru-RU"/>
              </w:rPr>
              <w:t>Donetsk national Technical University</w:t>
            </w:r>
          </w:p>
          <w:p w:rsidR="00EF5542" w:rsidRPr="00EF5542" w:rsidRDefault="00EF5542" w:rsidP="00EF5542">
            <w:pPr>
              <w:shd w:val="clear" w:color="auto" w:fill="FFFFFF"/>
              <w:rPr>
                <w:rFonts w:eastAsia="Times New Roman"/>
                <w:i/>
                <w:color w:val="000000" w:themeColor="text1"/>
                <w:szCs w:val="28"/>
                <w:lang w:val="en-US" w:eastAsia="ru-RU"/>
              </w:rPr>
            </w:pPr>
            <w:r w:rsidRPr="00EF5542">
              <w:rPr>
                <w:rFonts w:eastAsia="Times New Roman"/>
                <w:i/>
                <w:color w:val="000000" w:themeColor="text1"/>
                <w:szCs w:val="28"/>
                <w:lang w:val="en-US" w:eastAsia="ru-RU"/>
              </w:rPr>
              <w:t>Donetsk, Donetsk People's Republic</w:t>
            </w:r>
          </w:p>
        </w:tc>
      </w:tr>
      <w:tr w:rsidR="00EF5542" w:rsidRPr="00EF5542" w:rsidTr="00B36FDB">
        <w:trPr>
          <w:jc w:val="center"/>
        </w:trPr>
        <w:tc>
          <w:tcPr>
            <w:tcW w:w="9566" w:type="dxa"/>
            <w:gridSpan w:val="2"/>
          </w:tcPr>
          <w:p w:rsidR="00EF5542" w:rsidRPr="00EF5542" w:rsidRDefault="00EF5542" w:rsidP="00EF5542">
            <w:pPr>
              <w:widowControl w:val="0"/>
              <w:jc w:val="center"/>
              <w:outlineLvl w:val="0"/>
              <w:rPr>
                <w:rFonts w:ascii="Times New Roman Полужирный" w:eastAsia="Times New Roman" w:hAnsi="Times New Roman Полужирный"/>
                <w:bCs/>
                <w:kern w:val="32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bookmarkStart w:id="2" w:name="_Toc39512770"/>
            <w:r w:rsidRPr="00EF5542">
              <w:rPr>
                <w:rFonts w:ascii="Times New Roman Полужирный" w:eastAsia="Times New Roman" w:hAnsi="Times New Roman Полужирный"/>
                <w:bCs/>
                <w:kern w:val="32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ОРГАНИЗАЦИЯ СОВРЕМЕННЫХ НИОКР В СУДОСТРОИТЕЛЬНОЙ ОТРАСЛИ</w:t>
            </w:r>
            <w:bookmarkEnd w:id="2"/>
          </w:p>
        </w:tc>
      </w:tr>
      <w:tr w:rsidR="00EF5542" w:rsidRPr="00EF5542" w:rsidTr="00B36FDB">
        <w:trPr>
          <w:jc w:val="center"/>
        </w:trPr>
        <w:tc>
          <w:tcPr>
            <w:tcW w:w="9566" w:type="dxa"/>
            <w:gridSpan w:val="2"/>
          </w:tcPr>
          <w:p w:rsidR="00EF5542" w:rsidRPr="00EF5542" w:rsidRDefault="00EF5542" w:rsidP="00EF5542">
            <w:pPr>
              <w:jc w:val="both"/>
              <w:rPr>
                <w:color w:val="000000" w:themeColor="text1"/>
              </w:rPr>
            </w:pPr>
          </w:p>
        </w:tc>
      </w:tr>
      <w:tr w:rsidR="00EF5542" w:rsidRPr="00EF5542" w:rsidTr="00B36FDB">
        <w:trPr>
          <w:jc w:val="center"/>
        </w:trPr>
        <w:tc>
          <w:tcPr>
            <w:tcW w:w="9566" w:type="dxa"/>
            <w:gridSpan w:val="2"/>
          </w:tcPr>
          <w:p w:rsidR="00EF5542" w:rsidRPr="00EF5542" w:rsidRDefault="00EF5542" w:rsidP="00EF5542">
            <w:pPr>
              <w:widowControl w:val="0"/>
              <w:shd w:val="clear" w:color="auto" w:fill="FFFFFF"/>
              <w:jc w:val="center"/>
              <w:rPr>
                <w:b/>
                <w:color w:val="000000" w:themeColor="text1"/>
                <w:szCs w:val="28"/>
                <w:lang w:val="en-US"/>
              </w:rPr>
            </w:pPr>
            <w:r w:rsidRPr="00EF5542">
              <w:rPr>
                <w:rFonts w:eastAsiaTheme="majorEastAsia"/>
                <w:b/>
                <w:color w:val="000000" w:themeColor="text1"/>
                <w:lang w:val="en-US"/>
              </w:rPr>
              <w:t>ORGANIZATION OF MODERN R&amp;D IN THE SHIPBUILDING INDUSTRY</w:t>
            </w:r>
          </w:p>
        </w:tc>
      </w:tr>
    </w:tbl>
    <w:p w:rsidR="00EF5542" w:rsidRPr="00EF5542" w:rsidRDefault="00EF5542" w:rsidP="00EF5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EF5542" w:rsidRPr="00EF5542" w:rsidRDefault="00EF5542" w:rsidP="00EF55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55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Аннотация</w:t>
      </w:r>
      <w:r w:rsidRPr="00EF5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F5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EF55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 статье исследована значимость применения научно-исследовательских и опытно-конструкторских работ для развития судостроительной отрасли. Проанализированы возможности использования информационных технологий и систем автоматизированного проектирования в судостроении.</w:t>
      </w:r>
    </w:p>
    <w:p w:rsidR="00EF5542" w:rsidRPr="00EF5542" w:rsidRDefault="00EF5542" w:rsidP="00EF55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55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Ключевые слова:</w:t>
      </w:r>
      <w:r w:rsidRPr="00EF554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Pr="00EF55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НИОКР, судостроительная отрасль, САПР, расходы на НИОКР.</w:t>
      </w:r>
    </w:p>
    <w:p w:rsidR="00EF5542" w:rsidRPr="00EF5542" w:rsidRDefault="00EF5542" w:rsidP="00EF55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EF5542" w:rsidRPr="00EF5542" w:rsidRDefault="00EF5542" w:rsidP="00EF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  <w:r w:rsidRPr="00EF5542">
        <w:rPr>
          <w:rFonts w:ascii="Times New Roman" w:eastAsia="Calibri" w:hAnsi="Times New Roman" w:cs="Times New Roman"/>
          <w:i/>
          <w:color w:val="000000" w:themeColor="text1"/>
          <w:sz w:val="24"/>
          <w:lang w:val="en-US"/>
        </w:rPr>
        <w:t>Abstract</w:t>
      </w:r>
      <w:r w:rsidRPr="00EF55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t>. In the article is explored the importance of the use of research and development for the development of the shipbuilding industry. The possibilities of using information technology and computer-aided design systems in shipbuilding are analyzed.</w:t>
      </w:r>
    </w:p>
    <w:p w:rsidR="00EF5542" w:rsidRPr="00EF5542" w:rsidRDefault="00EF5542" w:rsidP="00EF5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  <w:r w:rsidRPr="00EF55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t>Keywords: R&amp;D, shipbuilding industry, CAD, R&amp;D expenses.</w:t>
      </w:r>
    </w:p>
    <w:p w:rsidR="00EF5542" w:rsidRPr="00EF5542" w:rsidRDefault="00EF5542" w:rsidP="00EF55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EF5542" w:rsidRPr="00EF5542" w:rsidRDefault="00EF5542" w:rsidP="00EF55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Постановка проблемы. </w:t>
      </w: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судостроительной отрасли важно для экономики государства, так как оно значительно влияет на обороноспособность, инфраструктуру страны, торговлю, перевозку пассажиров, морских промыслов, добычу на морском шельфе нефти и газа. Государственная поддержка судостроения положительно сказывается на развитии смежных отраслей, таких как металлургия, электроника, приборостроение, способствует созданию рабочих мест.</w:t>
      </w:r>
    </w:p>
    <w:p w:rsidR="00EF5542" w:rsidRPr="00EF5542" w:rsidRDefault="00EF5542" w:rsidP="00EF55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настоящий момент потенциал судостроительной промышленности России уменьшился. Это связано c тем, что в начале 1990-х годов сократились объемы финансирования, в частности, уменьшились финансовые затраты на осуществление научно-исследовательских и опытно-конструкторских работ (далее – НИОКР).</w:t>
      </w:r>
    </w:p>
    <w:p w:rsidR="00EF5542" w:rsidRPr="00EF5542" w:rsidRDefault="00EF5542" w:rsidP="00EF55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Анализ предыдущих исследований и публикаций.</w:t>
      </w:r>
      <w:r w:rsidRPr="00EF554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Многие экономисты изучали преимущества увеличения расходов на НИОКР. Например, Г. Морби с 1976 по 1985 годы исследовал взаимосвязь между расходами на НИОКР в объеме продаж и ростом прибыли, изучив деятельность 800 крупнейших корпораций США.</w:t>
      </w:r>
    </w:p>
    <w:p w:rsidR="00EF5542" w:rsidRPr="00EF5542" w:rsidRDefault="00EF5542" w:rsidP="00EF55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известны работы М. Бреннера и Б. Раштона, которые изучили деятельность 54 химических корпораций с 1971 по 1986 г. и сделали вывод о </w:t>
      </w: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наличии преимуществ, которые дают расходы на НИОКР. Южноамериканский экономист Ц. Гриличec занимался исследованием взаимосвязи между размерами вложений в НИОКР и подъемом продуктивности труда в компаниях обрабатывающей индустрии США в 70-х гг. [1].</w:t>
      </w:r>
    </w:p>
    <w:p w:rsidR="00EF5542" w:rsidRPr="00EF5542" w:rsidRDefault="00EF5542" w:rsidP="00EF55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периода c 1957 по 1977 г. в исследованиях применялась стандартная производственная функция Кобба-Дугласа, которая учитывала накопленные издержки на НИОКР в предшествующие годы. Эксперимент проводился на базе одной тысячи наиболее крупных фирм, результативность оценивалась по изменению добавленной стоимости или объемов реализаций.</w:t>
      </w:r>
    </w:p>
    <w:p w:rsidR="00EF5542" w:rsidRPr="00EF5542" w:rsidRDefault="00EF5542" w:rsidP="00EF5542">
      <w:pPr>
        <w:spacing w:after="0"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анализа собранных сведений были сделаны следующие выводы:</w:t>
      </w:r>
    </w:p>
    <w:p w:rsidR="00EF5542" w:rsidRPr="00EF5542" w:rsidRDefault="00EF5542" w:rsidP="00EF5542">
      <w:pPr>
        <w:spacing w:after="0"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1) издержки на НИОКР производят положительное воздействие на повышение производительности труда и, очевидно, предоставляют, достаточно большой размер доходов;</w:t>
      </w:r>
    </w:p>
    <w:p w:rsidR="00EF5542" w:rsidRPr="00EF5542" w:rsidRDefault="00EF5542" w:rsidP="00EF5542">
      <w:pPr>
        <w:spacing w:after="0"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2) при расчете расходов на НИОКР самую принципиальную роль для продуктивности труда имеет финансирование значимых исследований;</w:t>
      </w:r>
    </w:p>
    <w:p w:rsidR="00EF5542" w:rsidRPr="00EF5542" w:rsidRDefault="00EF5542" w:rsidP="00EF5542">
      <w:pPr>
        <w:spacing w:after="0"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3) на уровне компании финансирование НИОКР физическим лицом считается более действенным, чем выделение средств из государственного бюджета.</w:t>
      </w:r>
    </w:p>
    <w:p w:rsidR="00EF5542" w:rsidRPr="00EF5542" w:rsidRDefault="00EF5542" w:rsidP="00EF5542">
      <w:pPr>
        <w:spacing w:after="0"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Цель исследования.</w:t>
      </w:r>
      <w:r w:rsidRPr="00EF554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Целью работы является изучение организации современных научно-исследовательских и опытно-конструкторских работ в судостроительной отрасли.</w:t>
      </w:r>
    </w:p>
    <w:p w:rsidR="00EF5542" w:rsidRPr="00EF5542" w:rsidRDefault="00EF5542" w:rsidP="00EF5542">
      <w:pPr>
        <w:spacing w:after="0"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Основные результаты исследования.</w:t>
      </w:r>
      <w:r w:rsidRPr="00EF554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Научно-исследовательские и опытно-конструкторские работы представляют собой совокупность работ, направленных на получение новых знаний и практическое их применение при создании нового изделия или технологии [2].</w:t>
      </w:r>
    </w:p>
    <w:p w:rsidR="00EF5542" w:rsidRPr="00EF5542" w:rsidRDefault="00EF5542" w:rsidP="00EF5542">
      <w:pPr>
        <w:spacing w:after="0"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Задачами научно-исследовательских опытно-конструкторских работ являются:</w:t>
      </w:r>
    </w:p>
    <w:p w:rsidR="00EF5542" w:rsidRPr="00EF5542" w:rsidRDefault="00EF5542" w:rsidP="00EF5542">
      <w:pPr>
        <w:numPr>
          <w:ilvl w:val="0"/>
          <w:numId w:val="1"/>
        </w:numPr>
        <w:tabs>
          <w:tab w:val="left" w:pos="1134"/>
        </w:tabs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новых знаний в области развития природы и общества, новых областей их применения;</w:t>
      </w:r>
    </w:p>
    <w:p w:rsidR="00EF5542" w:rsidRPr="00EF5542" w:rsidRDefault="00EF5542" w:rsidP="00EF5542">
      <w:pPr>
        <w:numPr>
          <w:ilvl w:val="0"/>
          <w:numId w:val="1"/>
        </w:numPr>
        <w:tabs>
          <w:tab w:val="left" w:pos="1134"/>
        </w:tabs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теоретическая и экспериментальная проверка возможности материализации в сфере производства разработанных на стадии стратегического маркетинга нормативов конкурентоспособности товаров организации;</w:t>
      </w:r>
    </w:p>
    <w:p w:rsidR="00EF5542" w:rsidRPr="00EF5542" w:rsidRDefault="00EF5542" w:rsidP="00EF5542">
      <w:pPr>
        <w:numPr>
          <w:ilvl w:val="0"/>
          <w:numId w:val="1"/>
        </w:numPr>
        <w:tabs>
          <w:tab w:val="left" w:pos="1134"/>
        </w:tabs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реализация портфеля новшеств и инноваций.</w:t>
      </w:r>
    </w:p>
    <w:p w:rsidR="00EF5542" w:rsidRPr="00EF5542" w:rsidRDefault="00EF5542" w:rsidP="00EF5542">
      <w:pPr>
        <w:shd w:val="clear" w:color="auto" w:fill="FFFFFF"/>
        <w:spacing w:after="0"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последним данным исследовательских организаций мировые вложения в НИОКР увеличиваются во многих регионах мира и образуют рынок величиной более 2 триллионов долларов трлн. долларов США. На ведущих позициях по объему НИОКР находятся, в большей степени, державы c передовыми экономическими показателями, в частности: США, Великобритания, Япония и др. Государства выделяют финансирование на </w:t>
      </w: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разработки и получают прибыль от продажи интеллектуальной собственности.</w:t>
      </w:r>
    </w:p>
    <w:p w:rsidR="00EF5542" w:rsidRPr="00EF5542" w:rsidRDefault="00EF5542" w:rsidP="00EF5542">
      <w:pPr>
        <w:shd w:val="clear" w:color="auto" w:fill="FFFFFF"/>
        <w:spacing w:after="0"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На рис. 1 представлены основные направления инвестиций в НИОКР в мире в 2018 году.</w:t>
      </w:r>
    </w:p>
    <w:p w:rsidR="00EF5542" w:rsidRPr="00EF5542" w:rsidRDefault="00EF5542" w:rsidP="00EF5542">
      <w:pPr>
        <w:shd w:val="clear" w:color="auto" w:fill="FFFFFF"/>
        <w:spacing w:after="0"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 – важная составляющая часть мировой экономики, связующее звено между регионами, а морской транспорт является одной из самых стратегически важных отраслей для любого государства, так как связывает главные мировые районы производства товаров, разделённые океанами.</w:t>
      </w:r>
    </w:p>
    <w:p w:rsidR="00EF5542" w:rsidRPr="00EF5542" w:rsidRDefault="00EF5542" w:rsidP="00EF5542">
      <w:pPr>
        <w:shd w:val="clear" w:color="auto" w:fill="FFFFFF"/>
        <w:spacing w:after="0"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Среди успешных судостроительных стран можно выделить Корею, Японию, Китай и США. Суммарные объемы судостроения Китая, Южной Кореи и Японии составляют 80% мирового рынка.</w:t>
      </w:r>
    </w:p>
    <w:p w:rsidR="00EF5542" w:rsidRPr="00EF5542" w:rsidRDefault="00EF5542" w:rsidP="00EF554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88A1DEE" wp14:editId="05AAFD0B">
            <wp:extent cx="5018567" cy="258371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567" cy="258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542" w:rsidRPr="00EF5542" w:rsidRDefault="00EF5542" w:rsidP="00EF5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Рис. 1.  Основные направления инвестиций в НИОКР в мире</w:t>
      </w:r>
    </w:p>
    <w:p w:rsidR="00EF5542" w:rsidRPr="00EF5542" w:rsidRDefault="00EF5542" w:rsidP="00EF5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в 2018 году, %, [1]</w:t>
      </w:r>
    </w:p>
    <w:p w:rsidR="00EF5542" w:rsidRPr="00EF5542" w:rsidRDefault="00EF5542" w:rsidP="00EF554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5542" w:rsidRPr="00EF5542" w:rsidRDefault="00EF5542" w:rsidP="00EF55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Так, Южная Корея по итогам 2019 года второй год подряд удерживает первое место в мире по объему полученных судостроительных заказов. Благодаря регулярным инвестициям в производство, страна достигла колоссальных результатов, и по сравнению с периодом начала 90-х годов в несколько раз увеличила производительность труда в отрасли.</w:t>
      </w:r>
    </w:p>
    <w:p w:rsidR="00EF5542" w:rsidRPr="00EF5542" w:rsidRDefault="00EF5542" w:rsidP="00EF55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Судостроительная индустрия бывшего CCCP производила тридцать процентов общего объема продукции мирового военного судостроения и входила в рейтинг десяти стран с развитыми технологиями в области гражданского кораблестроения.</w:t>
      </w:r>
    </w:p>
    <w:p w:rsidR="00EF5542" w:rsidRPr="00EF5542" w:rsidRDefault="00EF5542" w:rsidP="00EF55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Доля судостроительной отрасли в валовом внутреннем продукте РФ составляет всего 0,8%. Это очень мало, с учетом того, что Россия является морской державой. Эта проблема сегодня представляется для России особенно важной – России также нужны значительные меры по вовлечению бизнеса в НИОКР [2].</w:t>
      </w:r>
    </w:p>
    <w:p w:rsidR="00EF5542" w:rsidRPr="00EF5542" w:rsidRDefault="00EF5542" w:rsidP="00EF55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Однако, по данным ЦНИИМФ, в России наблюдается положительная динамика количества построенных судов гражданского флота с 2016 по 2018 гг. (рис. 2).</w:t>
      </w:r>
    </w:p>
    <w:p w:rsidR="00EF5542" w:rsidRPr="00EF5542" w:rsidRDefault="00EF5542" w:rsidP="00EF5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F554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3FDAF234" wp14:editId="4D8A8BA8">
            <wp:extent cx="3365500" cy="2019300"/>
            <wp:effectExtent l="0" t="0" r="6350" b="0"/>
            <wp:docPr id="2" name="Рисунок 2" descr="https://sdelanounas.ru/i/c/3/v/c3Vkb3N0cm9lbmllLmluZm8vY2F0YWxvZy91cGxvYWQvaW1hZ2VzLzElMjg0OSUyOS5qcGc_X19pZD0xMTg5MDA=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delanounas.ru/i/c/3/v/c3Vkb3N0cm9lbmllLmluZm8vY2F0YWxvZy91cGxvYWQvaW1hZ2VzLzElMjg0OSUyOS5qcGc_X19pZD0xMTg5MDA=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542" w:rsidRPr="00EF5542" w:rsidRDefault="00EF5542" w:rsidP="00EF5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Рис. 2.  Динамика количества построенных судов гражданского флота, </w:t>
      </w:r>
    </w:p>
    <w:p w:rsidR="00EF5542" w:rsidRPr="00EF5542" w:rsidRDefault="00EF5542" w:rsidP="00EF5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2012-2018 гг., ед. [3]</w:t>
      </w:r>
    </w:p>
    <w:p w:rsidR="00EF5542" w:rsidRPr="00EF5542" w:rsidRDefault="00EF5542" w:rsidP="00EF5542">
      <w:pPr>
        <w:shd w:val="clear" w:color="auto" w:fill="FFFFFF"/>
        <w:spacing w:after="0" w:line="252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Для прорывного развития всех отраслей промышленности важнейшим направлением является увеличение объемов НИОКР. Каждый год США зарабатывают огромные суммы на реализации этой деятельности, а именно ежегодно 150 млрд. долларов. Эта сумма составляет приблизительно 12% от ВВП Соединенных Штатов. Для сравнения, прибыль от добычи и продажи нефтяных продуктов России в 2015 году сформировалась в размере около 90 млрд. долларов.  В Финляндии, которая входит в рейтинг пяти стран по выделению средств на НИОКР, патенты дают до 20% ВВП, в России – менее 1%. [2].</w:t>
      </w:r>
    </w:p>
    <w:p w:rsidR="00EF5542" w:rsidRPr="00EF5542" w:rsidRDefault="00EF5542" w:rsidP="00EF5542">
      <w:pPr>
        <w:spacing w:after="0"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Однако потенциал в этой области имеет тенденцию усиления: в России открываются новые научно-исследовательские институты, занимающиеся разработкой новых технологий. Ведущими научно-исследовательскими институтами в России в настоящее время являются НИИ Транснефть, ЦНИИчермет имени И.П. Бардина, НИИ ПМ имени В.И. Кузнецова.</w:t>
      </w:r>
    </w:p>
    <w:p w:rsidR="00EF5542" w:rsidRPr="00EF5542" w:rsidRDefault="00EF5542" w:rsidP="00EF5542">
      <w:pPr>
        <w:spacing w:after="0"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Стоит подчеркнуть, что нынешний показатель автоматизации в сфере судостроительной промышленности в Российской Федерации недостаточно высок, но, вместе с тем, судостроение имеет огромный запас ресурсов и потенциал с укоренением внедрения </w:t>
      </w:r>
      <w:r w:rsidRPr="00EF55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IT</w:t>
      </w: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-технологий.</w:t>
      </w:r>
    </w:p>
    <w:p w:rsidR="00EF5542" w:rsidRPr="00EF5542" w:rsidRDefault="00EF5542" w:rsidP="00EF5542">
      <w:pPr>
        <w:spacing w:after="0"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Для судостроительных и судоремонтных предприятий большую роль играют наработанные базы знаний, содержащие стандартные фрагменты различных графиков проектов ремонта, допускающие в сжатые сроки оценить реальную продолжительность и стоимость выполнения будущего судоремонта. Решение всех этих задач управления позволяют обеспечить и упростить  системы автоматизированного проектирования (далее – САПР).</w:t>
      </w:r>
    </w:p>
    <w:p w:rsidR="00EF5542" w:rsidRPr="00EF5542" w:rsidRDefault="00EF5542" w:rsidP="00EF5542">
      <w:pPr>
        <w:spacing w:after="0"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САПР при проектировании и ремонте судов позволяет усовершенствовать процесс работы проектирования и минимизировать затраты на производство. Среди преимуществ САПР можно выделить следующие:</w:t>
      </w:r>
    </w:p>
    <w:p w:rsidR="00EF5542" w:rsidRPr="00EF5542" w:rsidRDefault="00EF5542" w:rsidP="00EF5542">
      <w:pPr>
        <w:numPr>
          <w:ilvl w:val="0"/>
          <w:numId w:val="2"/>
        </w:numPr>
        <w:tabs>
          <w:tab w:val="left" w:pos="1134"/>
        </w:tabs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ускорение процесса проектирования;</w:t>
      </w:r>
    </w:p>
    <w:p w:rsidR="00EF5542" w:rsidRPr="00EF5542" w:rsidRDefault="00EF5542" w:rsidP="00EF5542">
      <w:pPr>
        <w:numPr>
          <w:ilvl w:val="0"/>
          <w:numId w:val="2"/>
        </w:numPr>
        <w:tabs>
          <w:tab w:val="left" w:pos="1134"/>
        </w:tabs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точности выполнения;</w:t>
      </w:r>
    </w:p>
    <w:p w:rsidR="00EF5542" w:rsidRPr="00EF5542" w:rsidRDefault="00EF5542" w:rsidP="00EF5542">
      <w:pPr>
        <w:numPr>
          <w:ilvl w:val="0"/>
          <w:numId w:val="2"/>
        </w:numPr>
        <w:tabs>
          <w:tab w:val="left" w:pos="1134"/>
        </w:tabs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качества;</w:t>
      </w:r>
    </w:p>
    <w:p w:rsidR="00EF5542" w:rsidRPr="00EF5542" w:rsidRDefault="00EF5542" w:rsidP="00EF5542">
      <w:pPr>
        <w:numPr>
          <w:ilvl w:val="0"/>
          <w:numId w:val="2"/>
        </w:numPr>
        <w:tabs>
          <w:tab w:val="left" w:pos="1134"/>
        </w:tabs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многократного использования чертежа;</w:t>
      </w:r>
    </w:p>
    <w:p w:rsidR="00EF5542" w:rsidRPr="00EF5542" w:rsidRDefault="00EF5542" w:rsidP="00EF5542">
      <w:pPr>
        <w:numPr>
          <w:ilvl w:val="0"/>
          <w:numId w:val="2"/>
        </w:numPr>
        <w:tabs>
          <w:tab w:val="left" w:pos="1134"/>
        </w:tabs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высокоточных инструментов для работы с чертежами;</w:t>
      </w:r>
    </w:p>
    <w:p w:rsidR="00EF5542" w:rsidRPr="00EF5542" w:rsidRDefault="00EF5542" w:rsidP="00EF5542">
      <w:pPr>
        <w:numPr>
          <w:ilvl w:val="0"/>
          <w:numId w:val="2"/>
        </w:numPr>
        <w:tabs>
          <w:tab w:val="left" w:pos="1134"/>
        </w:tabs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ускорение расчетов и анализа при проектировании;</w:t>
      </w:r>
    </w:p>
    <w:p w:rsidR="00EF5542" w:rsidRPr="00EF5542" w:rsidRDefault="00EF5542" w:rsidP="00EF5542">
      <w:pPr>
        <w:numPr>
          <w:ilvl w:val="0"/>
          <w:numId w:val="2"/>
        </w:numPr>
        <w:tabs>
          <w:tab w:val="left" w:pos="1134"/>
        </w:tabs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понижение затрат на обновление.</w:t>
      </w:r>
    </w:p>
    <w:p w:rsidR="00EF5542" w:rsidRPr="00EF5542" w:rsidRDefault="00EF5542" w:rsidP="00EF5542">
      <w:pPr>
        <w:spacing w:after="0"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Стоит отметить, что большое количество компаний, которые производят типичные проектные решения, в настоящее время достигают значимых успехов в этой области.</w:t>
      </w:r>
    </w:p>
    <w:p w:rsidR="00EF5542" w:rsidRPr="00EF5542" w:rsidRDefault="00EF5542" w:rsidP="00EF5542">
      <w:pPr>
        <w:spacing w:after="0"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В целях данного исследования проведен сравнительный анализ возможностей и простоты использования программных продуктов для судостроительной области. Результаты представлены в табл. 1.</w:t>
      </w:r>
    </w:p>
    <w:p w:rsidR="00EF5542" w:rsidRPr="00EF5542" w:rsidRDefault="00EF5542" w:rsidP="00EF5542">
      <w:pPr>
        <w:spacing w:after="0"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5542" w:rsidRPr="00EF5542" w:rsidRDefault="00EF5542" w:rsidP="00EF55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5542" w:rsidRPr="00EF5542" w:rsidRDefault="00EF5542" w:rsidP="00EF554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Таблица 1</w:t>
      </w:r>
    </w:p>
    <w:p w:rsidR="00EF5542" w:rsidRPr="00EF5542" w:rsidRDefault="00EF5542" w:rsidP="00EF55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Сравнительная характеристика систем автоматизированного </w:t>
      </w:r>
    </w:p>
    <w:p w:rsidR="00EF5542" w:rsidRPr="00EF5542" w:rsidRDefault="00EF5542" w:rsidP="00EF55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проектирования судов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1800"/>
        <w:gridCol w:w="5572"/>
        <w:gridCol w:w="2199"/>
      </w:tblGrid>
      <w:tr w:rsidR="00EF5542" w:rsidRPr="00EF5542" w:rsidTr="00B36FDB">
        <w:tc>
          <w:tcPr>
            <w:tcW w:w="1809" w:type="dxa"/>
          </w:tcPr>
          <w:p w:rsidR="00EF5542" w:rsidRPr="00EF5542" w:rsidRDefault="00EF5542" w:rsidP="00EF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Программный продукт</w:t>
            </w:r>
          </w:p>
        </w:tc>
        <w:tc>
          <w:tcPr>
            <w:tcW w:w="5812" w:type="dxa"/>
          </w:tcPr>
          <w:p w:rsidR="00EF5542" w:rsidRPr="00EF5542" w:rsidRDefault="00EF5542" w:rsidP="00EF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5542" w:rsidRPr="00EF5542" w:rsidRDefault="00EF5542" w:rsidP="00EF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Возможности</w:t>
            </w:r>
          </w:p>
        </w:tc>
        <w:tc>
          <w:tcPr>
            <w:tcW w:w="2233" w:type="dxa"/>
          </w:tcPr>
          <w:p w:rsidR="00EF5542" w:rsidRPr="00EF5542" w:rsidRDefault="00EF5542" w:rsidP="00EF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Простота использования интерфейса</w:t>
            </w:r>
          </w:p>
        </w:tc>
      </w:tr>
      <w:tr w:rsidR="00EF5542" w:rsidRPr="00EF5542" w:rsidTr="00B36FDB">
        <w:tc>
          <w:tcPr>
            <w:tcW w:w="1809" w:type="dxa"/>
          </w:tcPr>
          <w:p w:rsidR="00EF5542" w:rsidRPr="00EF5542" w:rsidRDefault="00EF5542" w:rsidP="00EF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Autodesk</w:t>
            </w:r>
          </w:p>
        </w:tc>
        <w:tc>
          <w:tcPr>
            <w:tcW w:w="5812" w:type="dxa"/>
          </w:tcPr>
          <w:p w:rsidR="00EF5542" w:rsidRPr="00EF5542" w:rsidRDefault="00EF5542" w:rsidP="00EF5542">
            <w:pPr>
              <w:numPr>
                <w:ilvl w:val="0"/>
                <w:numId w:val="3"/>
              </w:numPr>
              <w:ind w:left="34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геометрические элементы любой сложной формы;</w:t>
            </w:r>
          </w:p>
          <w:p w:rsidR="00EF5542" w:rsidRPr="00EF5542" w:rsidRDefault="00EF5542" w:rsidP="00EF5542">
            <w:pPr>
              <w:numPr>
                <w:ilvl w:val="0"/>
                <w:numId w:val="3"/>
              </w:numPr>
              <w:ind w:left="34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модификация твердотельных моделей с помощью поверхностей;</w:t>
            </w:r>
          </w:p>
          <w:p w:rsidR="00EF5542" w:rsidRPr="00EF5542" w:rsidRDefault="00EF5542" w:rsidP="00EF5542">
            <w:pPr>
              <w:numPr>
                <w:ilvl w:val="0"/>
                <w:numId w:val="3"/>
              </w:numPr>
              <w:ind w:left="34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качества поверхностей.</w:t>
            </w:r>
          </w:p>
        </w:tc>
        <w:tc>
          <w:tcPr>
            <w:tcW w:w="2233" w:type="dxa"/>
          </w:tcPr>
          <w:p w:rsidR="00EF5542" w:rsidRPr="00EF5542" w:rsidRDefault="00EF5542" w:rsidP="00EF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EF5542" w:rsidRPr="00EF5542" w:rsidTr="00B36FDB">
        <w:tc>
          <w:tcPr>
            <w:tcW w:w="1809" w:type="dxa"/>
          </w:tcPr>
          <w:p w:rsidR="00EF5542" w:rsidRPr="00EF5542" w:rsidRDefault="00EF5542" w:rsidP="00EF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IsoDraw</w:t>
            </w:r>
          </w:p>
        </w:tc>
        <w:tc>
          <w:tcPr>
            <w:tcW w:w="5812" w:type="dxa"/>
          </w:tcPr>
          <w:p w:rsidR="00EF5542" w:rsidRPr="00EF5542" w:rsidRDefault="00EF5542" w:rsidP="00EF5542">
            <w:pPr>
              <w:numPr>
                <w:ilvl w:val="0"/>
                <w:numId w:val="3"/>
              </w:numPr>
              <w:ind w:left="34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интеграция 2D- и 3D-графики в имитационные модели.</w:t>
            </w:r>
          </w:p>
        </w:tc>
        <w:tc>
          <w:tcPr>
            <w:tcW w:w="2233" w:type="dxa"/>
          </w:tcPr>
          <w:p w:rsidR="00EF5542" w:rsidRPr="00EF5542" w:rsidRDefault="00EF5542" w:rsidP="00EF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F5542" w:rsidRPr="00EF5542" w:rsidTr="00B36FDB">
        <w:tc>
          <w:tcPr>
            <w:tcW w:w="1809" w:type="dxa"/>
          </w:tcPr>
          <w:p w:rsidR="00EF5542" w:rsidRPr="00EF5542" w:rsidRDefault="00EF5542" w:rsidP="00EF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Arbortex</w:t>
            </w:r>
          </w:p>
        </w:tc>
        <w:tc>
          <w:tcPr>
            <w:tcW w:w="5812" w:type="dxa"/>
          </w:tcPr>
          <w:p w:rsidR="00EF5542" w:rsidRPr="00EF5542" w:rsidRDefault="00EF5542" w:rsidP="00EF5542">
            <w:pPr>
              <w:numPr>
                <w:ilvl w:val="0"/>
                <w:numId w:val="3"/>
              </w:numPr>
              <w:ind w:left="34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интеграция текстов нормативной базы техдокументации и другой цифровой информации в имитационные модели.</w:t>
            </w:r>
          </w:p>
        </w:tc>
        <w:tc>
          <w:tcPr>
            <w:tcW w:w="2233" w:type="dxa"/>
          </w:tcPr>
          <w:p w:rsidR="00EF5542" w:rsidRPr="00EF5542" w:rsidRDefault="00EF5542" w:rsidP="00EF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F5542" w:rsidRPr="00EF5542" w:rsidTr="00B36FDB">
        <w:tc>
          <w:tcPr>
            <w:tcW w:w="1809" w:type="dxa"/>
          </w:tcPr>
          <w:p w:rsidR="00EF5542" w:rsidRPr="00EF5542" w:rsidRDefault="00EF5542" w:rsidP="00EF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CATIA</w:t>
            </w:r>
          </w:p>
          <w:p w:rsidR="00EF5542" w:rsidRPr="00EF5542" w:rsidRDefault="00EF5542" w:rsidP="00EF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EF5542" w:rsidRPr="00EF5542" w:rsidRDefault="00EF5542" w:rsidP="00EF5542">
            <w:pPr>
              <w:numPr>
                <w:ilvl w:val="0"/>
                <w:numId w:val="3"/>
              </w:numPr>
              <w:ind w:left="34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проектирование внутренних судовых помещений;</w:t>
            </w:r>
          </w:p>
          <w:p w:rsidR="00EF5542" w:rsidRPr="00EF5542" w:rsidRDefault="00EF5542" w:rsidP="00EF5542">
            <w:pPr>
              <w:numPr>
                <w:ilvl w:val="0"/>
                <w:numId w:val="3"/>
              </w:numPr>
              <w:ind w:left="34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кривизны и касательных;</w:t>
            </w:r>
          </w:p>
          <w:p w:rsidR="00EF5542" w:rsidRPr="00EF5542" w:rsidRDefault="00EF5542" w:rsidP="00EF5542">
            <w:pPr>
              <w:numPr>
                <w:ilvl w:val="0"/>
                <w:numId w:val="3"/>
              </w:numPr>
              <w:ind w:left="34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расчеты общей и местной прочности корпуса и его составных частей.</w:t>
            </w:r>
          </w:p>
        </w:tc>
        <w:tc>
          <w:tcPr>
            <w:tcW w:w="2233" w:type="dxa"/>
          </w:tcPr>
          <w:p w:rsidR="00EF5542" w:rsidRPr="00EF5542" w:rsidRDefault="00EF5542" w:rsidP="00EF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EF5542" w:rsidRPr="00EF5542" w:rsidTr="00B36FDB">
        <w:tc>
          <w:tcPr>
            <w:tcW w:w="1809" w:type="dxa"/>
          </w:tcPr>
          <w:p w:rsidR="00EF5542" w:rsidRPr="00EF5542" w:rsidRDefault="00EF5542" w:rsidP="00EF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DELMIA</w:t>
            </w:r>
          </w:p>
        </w:tc>
        <w:tc>
          <w:tcPr>
            <w:tcW w:w="5812" w:type="dxa"/>
          </w:tcPr>
          <w:p w:rsidR="00EF5542" w:rsidRPr="00EF5542" w:rsidRDefault="00EF5542" w:rsidP="00EF5542">
            <w:pPr>
              <w:numPr>
                <w:ilvl w:val="0"/>
                <w:numId w:val="3"/>
              </w:numPr>
              <w:ind w:left="34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автоматизация производственной документации;</w:t>
            </w:r>
          </w:p>
          <w:p w:rsidR="00EF5542" w:rsidRPr="00EF5542" w:rsidRDefault="00EF5542" w:rsidP="00EF5542">
            <w:pPr>
              <w:numPr>
                <w:ilvl w:val="0"/>
                <w:numId w:val="3"/>
              </w:numPr>
              <w:ind w:left="34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автоматизация производства;</w:t>
            </w:r>
          </w:p>
          <w:p w:rsidR="00EF5542" w:rsidRPr="00EF5542" w:rsidRDefault="00EF5542" w:rsidP="00EF5542">
            <w:pPr>
              <w:numPr>
                <w:ilvl w:val="0"/>
                <w:numId w:val="3"/>
              </w:numPr>
              <w:ind w:left="34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проектирование </w:t>
            </w:r>
            <w:hyperlink r:id="rId11" w:history="1">
              <w:r w:rsidRPr="00EF554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оптимальной</w:t>
              </w:r>
            </w:hyperlink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сети</w:t>
            </w:r>
          </w:p>
          <w:p w:rsidR="00EF5542" w:rsidRPr="00EF5542" w:rsidRDefault="00EF5542" w:rsidP="00EF5542">
            <w:pPr>
              <w:numPr>
                <w:ilvl w:val="0"/>
                <w:numId w:val="3"/>
              </w:numPr>
              <w:ind w:left="34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морских перевозок;</w:t>
            </w:r>
          </w:p>
          <w:p w:rsidR="00EF5542" w:rsidRPr="00EF5542" w:rsidRDefault="00EF5542" w:rsidP="00EF5542">
            <w:pPr>
              <w:numPr>
                <w:ilvl w:val="0"/>
                <w:numId w:val="3"/>
              </w:numPr>
              <w:ind w:left="348" w:hanging="2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оптимизация технического обслуживания.</w:t>
            </w:r>
          </w:p>
        </w:tc>
        <w:tc>
          <w:tcPr>
            <w:tcW w:w="2233" w:type="dxa"/>
          </w:tcPr>
          <w:p w:rsidR="00EF5542" w:rsidRPr="00EF5542" w:rsidRDefault="00EF5542" w:rsidP="00EF5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EF5542" w:rsidRPr="00EF5542" w:rsidRDefault="00EF5542" w:rsidP="00EF55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5542" w:rsidRPr="00EF5542" w:rsidRDefault="00EF5542" w:rsidP="00EF55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Анализ показывает, что среди всех исследуемых программных пакетов CATIA и DELMIA являются многофункциональными и простыми в использовании, а совместное использование данных программ позволит реализовать комплексный подход в проектировании судов и достичь следующих результатов: </w:t>
      </w:r>
    </w:p>
    <w:p w:rsidR="00EF5542" w:rsidRPr="00EF5542" w:rsidRDefault="00EF5542" w:rsidP="00EF5542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производительности труда конструктора;</w:t>
      </w:r>
    </w:p>
    <w:p w:rsidR="00EF5542" w:rsidRPr="00EF5542" w:rsidRDefault="00EF5542" w:rsidP="00EF5542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уменьшение требуемого числа конструкторов-проектировщиков;</w:t>
      </w:r>
    </w:p>
    <w:p w:rsidR="00EF5542" w:rsidRPr="00EF5542" w:rsidRDefault="00EF5542" w:rsidP="00EF5542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минимизация числа ошибок, связанных с ручным оформлением документов;</w:t>
      </w:r>
    </w:p>
    <w:p w:rsidR="00EF5542" w:rsidRPr="00EF5542" w:rsidRDefault="00EF5542" w:rsidP="00EF5542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5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уменьшение затрат на производство.</w:t>
      </w:r>
    </w:p>
    <w:p w:rsidR="00EF5542" w:rsidRPr="00EF5542" w:rsidRDefault="00EF5542" w:rsidP="00EF55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55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Выводы.</w:t>
      </w:r>
      <w:r w:rsidRPr="00EF554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EF5542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можно предположить, что, инвестируя немалые ресурсы в создание условий для успешного проведения испытаний и разработок в судостроительной сфере, государство сможет достичь высоких показателей в экономике. Также следует учитывать, что важными являются, как объем капиталовложений в НИОКР, так и гарантия их результативного ввода в эксплуатацию в согласовании c созданной максимально пригодной стратегией долговременного научного и технологического развития.</w:t>
      </w:r>
    </w:p>
    <w:tbl>
      <w:tblPr>
        <w:tblW w:w="4918" w:type="pct"/>
        <w:jc w:val="center"/>
        <w:tblLook w:val="04A0" w:firstRow="1" w:lastRow="0" w:firstColumn="1" w:lastColumn="0" w:noHBand="0" w:noVBand="1"/>
      </w:tblPr>
      <w:tblGrid>
        <w:gridCol w:w="552"/>
        <w:gridCol w:w="8862"/>
      </w:tblGrid>
      <w:tr w:rsidR="00EF5542" w:rsidRPr="00EF5542" w:rsidTr="00B36FDB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F5542" w:rsidRPr="00EF5542" w:rsidRDefault="00EF5542" w:rsidP="00EF55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</w:p>
        </w:tc>
      </w:tr>
      <w:tr w:rsidR="00EF5542" w:rsidRPr="00EF5542" w:rsidTr="00B36FDB">
        <w:trPr>
          <w:jc w:val="center"/>
        </w:trPr>
        <w:tc>
          <w:tcPr>
            <w:tcW w:w="5000" w:type="pct"/>
            <w:gridSpan w:val="2"/>
            <w:shd w:val="clear" w:color="auto" w:fill="auto"/>
            <w:hideMark/>
          </w:tcPr>
          <w:p w:rsidR="00EF5542" w:rsidRPr="00EF5542" w:rsidRDefault="00EF5542" w:rsidP="00EF554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55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Список литературы</w:t>
            </w:r>
          </w:p>
        </w:tc>
      </w:tr>
      <w:tr w:rsidR="00EF5542" w:rsidRPr="00EF5542" w:rsidTr="00B36FDB">
        <w:trPr>
          <w:jc w:val="center"/>
        </w:trPr>
        <w:tc>
          <w:tcPr>
            <w:tcW w:w="293" w:type="pct"/>
            <w:shd w:val="clear" w:color="auto" w:fill="auto"/>
          </w:tcPr>
          <w:p w:rsidR="00EF5542" w:rsidRPr="00EF5542" w:rsidRDefault="00EF5542" w:rsidP="00EF5542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pct"/>
            <w:shd w:val="clear" w:color="auto" w:fill="auto"/>
            <w:hideMark/>
          </w:tcPr>
          <w:p w:rsidR="00EF5542" w:rsidRPr="00EF5542" w:rsidRDefault="00EF5542" w:rsidP="00EF5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Сколько тратят на НИОКР государство и бизнес</w:t>
            </w:r>
            <w:r w:rsidRPr="00EF55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[Электронный ресурс]. – Режим доступа:  </w:t>
            </w:r>
            <w:hyperlink r:id="rId12" w:history="1">
              <w:r w:rsidRPr="00EF554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http://ect-center.com/blog/rashodi-niokr</w:t>
              </w:r>
            </w:hyperlink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F5542" w:rsidRPr="00EF5542" w:rsidTr="00B36FDB">
        <w:trPr>
          <w:jc w:val="center"/>
        </w:trPr>
        <w:tc>
          <w:tcPr>
            <w:tcW w:w="293" w:type="pct"/>
            <w:shd w:val="clear" w:color="auto" w:fill="auto"/>
          </w:tcPr>
          <w:p w:rsidR="00EF5542" w:rsidRPr="00EF5542" w:rsidRDefault="00EF5542" w:rsidP="00EF5542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pct"/>
            <w:shd w:val="clear" w:color="auto" w:fill="auto"/>
            <w:hideMark/>
          </w:tcPr>
          <w:p w:rsidR="00EF5542" w:rsidRPr="00EF5542" w:rsidRDefault="00EF5542" w:rsidP="00EF5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Кульбаков </w:t>
            </w: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Роль сферы НИОКР в современной экономике [Электронный ресурс]. – Режим доступа: http://www.kylbakov.ru/page110/page121/index.html.</w:t>
            </w:r>
          </w:p>
        </w:tc>
      </w:tr>
      <w:tr w:rsidR="00EF5542" w:rsidRPr="00EF5542" w:rsidTr="00B36FDB">
        <w:trPr>
          <w:jc w:val="center"/>
        </w:trPr>
        <w:tc>
          <w:tcPr>
            <w:tcW w:w="293" w:type="pct"/>
            <w:shd w:val="clear" w:color="auto" w:fill="auto"/>
          </w:tcPr>
          <w:p w:rsidR="00EF5542" w:rsidRPr="00EF5542" w:rsidRDefault="00EF5542" w:rsidP="00EF5542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pct"/>
            <w:shd w:val="clear" w:color="auto" w:fill="auto"/>
            <w:hideMark/>
          </w:tcPr>
          <w:p w:rsidR="00EF5542" w:rsidRPr="00EF5542" w:rsidRDefault="00EF5542" w:rsidP="00EF5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САПР в современном российском судостроении. Круглый стол. "</w:t>
            </w: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REM</w:t>
            </w:r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 3. 2007 г. [Электронный ресурс]. – Режим доступа:  </w:t>
            </w:r>
            <w:hyperlink r:id="rId13" w:history="1">
              <w:r w:rsidRPr="00EF554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http://icad.spb.ru/articles/29/</w:t>
              </w:r>
            </w:hyperlink>
            <w:r w:rsidRPr="00EF5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527BFF" w:rsidRDefault="00527BFF">
      <w:bookmarkStart w:id="3" w:name="_GoBack"/>
      <w:bookmarkEnd w:id="3"/>
    </w:p>
    <w:sectPr w:rsidR="0052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8377C"/>
    <w:multiLevelType w:val="hybridMultilevel"/>
    <w:tmpl w:val="9410D0BE"/>
    <w:lvl w:ilvl="0" w:tplc="D9CE5D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947EB4"/>
    <w:multiLevelType w:val="hybridMultilevel"/>
    <w:tmpl w:val="39AE372A"/>
    <w:lvl w:ilvl="0" w:tplc="D9CE5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46BB"/>
    <w:multiLevelType w:val="hybridMultilevel"/>
    <w:tmpl w:val="305E0C0A"/>
    <w:lvl w:ilvl="0" w:tplc="4B42B7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strike w:val="0"/>
        <w:dstrike w:val="0"/>
        <w:color w:val="000000"/>
        <w:spacing w:val="0"/>
        <w:w w:val="100"/>
        <w:position w:val="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76DE7"/>
    <w:multiLevelType w:val="hybridMultilevel"/>
    <w:tmpl w:val="0AB2CB24"/>
    <w:lvl w:ilvl="0" w:tplc="D9CE5D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5E645D"/>
    <w:multiLevelType w:val="hybridMultilevel"/>
    <w:tmpl w:val="37587B9A"/>
    <w:lvl w:ilvl="0" w:tplc="D9CE5D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42"/>
    <w:rsid w:val="00527BFF"/>
    <w:rsid w:val="00E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542"/>
    <w:pPr>
      <w:spacing w:after="0" w:line="240" w:lineRule="auto"/>
    </w:pPr>
    <w:rPr>
      <w:rFonts w:ascii="Times New Roman" w:eastAsiaTheme="minorEastAsia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EF5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542"/>
    <w:pPr>
      <w:spacing w:after="0" w:line="240" w:lineRule="auto"/>
    </w:pPr>
    <w:rPr>
      <w:rFonts w:ascii="Times New Roman" w:eastAsiaTheme="minorEastAsia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EF5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elanounas.ru/i/c/3/v/f_c3Vkb3N0cm9lbmllLmluZm8vY2F0YWxvZy91cGxvYWQvaW1hZ2VzLzElMjg0OSUyOS5qcGc_X19pZD0xMTg5MDA=.jpeg" TargetMode="External"/><Relationship Id="rId13" Type="http://schemas.openxmlformats.org/officeDocument/2006/relationships/hyperlink" Target="http://icad.spb.ru/articles/29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hyperlink" Target="http://ect-center.com/blog/rashodi-nio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3ds.com/ru/produkty-i-uslugi/delmia/produkty/delmia-quintiq/optimizacija-planirovanij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2020-06-15T14:47:00Z</dcterms:created>
  <dcterms:modified xsi:type="dcterms:W3CDTF">2020-06-15T14:52:00Z</dcterms:modified>
</cp:coreProperties>
</file>