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4854"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7"/>
        <w:gridCol w:w="5125"/>
      </w:tblGrid>
      <w:tr w:rsidR="00CF6A71" w:rsidRPr="00CF6A71" w:rsidTr="00B36FDB">
        <w:trPr>
          <w:jc w:val="center"/>
        </w:trPr>
        <w:tc>
          <w:tcPr>
            <w:tcW w:w="9566" w:type="dxa"/>
            <w:gridSpan w:val="2"/>
            <w:hideMark/>
          </w:tcPr>
          <w:p w:rsidR="00CF6A71" w:rsidRPr="00CF6A71" w:rsidRDefault="00CF6A71" w:rsidP="00CF6A71">
            <w:pPr>
              <w:widowControl w:val="0"/>
              <w:rPr>
                <w:b/>
                <w:color w:val="000000" w:themeColor="text1"/>
                <w:szCs w:val="28"/>
              </w:rPr>
            </w:pPr>
            <w:r w:rsidRPr="00CF6A71">
              <w:rPr>
                <w:b/>
                <w:noProof/>
                <w:color w:val="000000" w:themeColor="text1"/>
                <w:szCs w:val="28"/>
                <w:lang w:eastAsia="ru-RU"/>
              </w:rPr>
              <w:t>УДК 338.45</w:t>
            </w:r>
          </w:p>
        </w:tc>
      </w:tr>
      <w:tr w:rsidR="00CF6A71" w:rsidRPr="00CF6A71" w:rsidTr="00B36FDB">
        <w:trPr>
          <w:jc w:val="center"/>
        </w:trPr>
        <w:tc>
          <w:tcPr>
            <w:tcW w:w="4321" w:type="dxa"/>
          </w:tcPr>
          <w:p w:rsidR="00CF6A71" w:rsidRPr="00CF6A71" w:rsidRDefault="00CF6A71" w:rsidP="00CF6A71">
            <w:pPr>
              <w:widowControl w:val="0"/>
              <w:rPr>
                <w:b/>
                <w:color w:val="000000" w:themeColor="text1"/>
                <w:szCs w:val="28"/>
              </w:rPr>
            </w:pPr>
          </w:p>
        </w:tc>
        <w:tc>
          <w:tcPr>
            <w:tcW w:w="5245" w:type="dxa"/>
            <w:tcMar>
              <w:left w:w="0" w:type="dxa"/>
              <w:right w:w="0" w:type="dxa"/>
            </w:tcMar>
          </w:tcPr>
          <w:p w:rsidR="00CF6A71" w:rsidRPr="00CF6A71" w:rsidRDefault="00CF6A71" w:rsidP="00CF6A71">
            <w:pPr>
              <w:keepNext/>
              <w:jc w:val="both"/>
              <w:outlineLvl w:val="1"/>
              <w:rPr>
                <w:rFonts w:ascii="Times New Roman Полужирный" w:eastAsiaTheme="majorEastAsia" w:hAnsi="Times New Roman Полужирный"/>
                <w:b/>
                <w:bCs/>
                <w:iCs/>
                <w:noProof/>
                <w:color w:val="000000" w:themeColor="text1"/>
                <w:szCs w:val="28"/>
                <w:lang w:val="en-US" w:eastAsia="ru-RU"/>
              </w:rPr>
            </w:pPr>
            <w:bookmarkStart w:id="0" w:name="_Toc39512835"/>
            <w:r w:rsidRPr="00CF6A71">
              <w:rPr>
                <w:rFonts w:ascii="Times New Roman Полужирный" w:eastAsiaTheme="majorEastAsia" w:hAnsi="Times New Roman Полужирный"/>
                <w:b/>
                <w:bCs/>
                <w:iCs/>
                <w:noProof/>
                <w:color w:val="000000" w:themeColor="text1"/>
                <w:szCs w:val="28"/>
                <w:lang w:val="en-US" w:eastAsia="ru-RU"/>
              </w:rPr>
              <w:t>E.A. Shumaieva</w:t>
            </w:r>
            <w:r w:rsidRPr="00CF6A71">
              <w:rPr>
                <w:rFonts w:eastAsiaTheme="majorEastAsia"/>
                <w:b/>
                <w:bCs/>
                <w:iCs/>
                <w:noProof/>
                <w:color w:val="000000" w:themeColor="text1"/>
                <w:szCs w:val="28"/>
                <w:lang w:val="en-US" w:eastAsia="ru-RU"/>
              </w:rPr>
              <w:t>,</w:t>
            </w:r>
            <w:r w:rsidRPr="00CF6A71">
              <w:rPr>
                <w:rFonts w:ascii="Times New Roman Полужирный" w:eastAsiaTheme="majorEastAsia" w:hAnsi="Times New Roman Полужирный"/>
                <w:b/>
                <w:bCs/>
                <w:iCs/>
                <w:noProof/>
                <w:color w:val="000000" w:themeColor="text1"/>
                <w:szCs w:val="28"/>
                <w:lang w:val="en-US" w:eastAsia="ru-RU"/>
              </w:rPr>
              <w:t xml:space="preserve"> E.E. Korytchenkova</w:t>
            </w:r>
            <w:bookmarkEnd w:id="0"/>
          </w:p>
          <w:p w:rsidR="00CF6A71" w:rsidRPr="00CF6A71" w:rsidRDefault="00CF6A71" w:rsidP="00CF6A71">
            <w:pPr>
              <w:rPr>
                <w:i/>
                <w:noProof/>
                <w:color w:val="000000" w:themeColor="text1"/>
                <w:szCs w:val="28"/>
                <w:lang w:val="en-US" w:eastAsia="ru-RU"/>
              </w:rPr>
            </w:pPr>
            <w:r w:rsidRPr="00CF6A71">
              <w:rPr>
                <w:i/>
                <w:noProof/>
                <w:color w:val="000000" w:themeColor="text1"/>
                <w:szCs w:val="28"/>
                <w:lang w:val="en-US" w:eastAsia="ru-RU"/>
              </w:rPr>
              <w:t>Donetsk National Technical University</w:t>
            </w:r>
          </w:p>
          <w:p w:rsidR="00CF6A71" w:rsidRPr="00CF6A71" w:rsidRDefault="00CF6A71" w:rsidP="00CF6A71">
            <w:pPr>
              <w:widowControl w:val="0"/>
              <w:rPr>
                <w:i/>
                <w:noProof/>
                <w:color w:val="000000" w:themeColor="text1"/>
                <w:szCs w:val="28"/>
                <w:lang w:val="en-US" w:eastAsia="ru-RU"/>
              </w:rPr>
            </w:pPr>
            <w:r w:rsidRPr="00CF6A71">
              <w:rPr>
                <w:i/>
                <w:noProof/>
                <w:color w:val="000000" w:themeColor="text1"/>
                <w:szCs w:val="28"/>
                <w:lang w:val="en-US" w:eastAsia="ru-RU"/>
              </w:rPr>
              <w:t>Donetsk, Donetsk People’s Republic</w:t>
            </w:r>
          </w:p>
          <w:p w:rsidR="00CF6A71" w:rsidRPr="00CF6A71" w:rsidRDefault="00CF6A71" w:rsidP="00CF6A71">
            <w:pPr>
              <w:rPr>
                <w:rFonts w:eastAsia="Calibri"/>
                <w:i/>
                <w:color w:val="000000" w:themeColor="text1"/>
              </w:rPr>
            </w:pPr>
            <w:r w:rsidRPr="00CF6A71">
              <w:rPr>
                <w:b/>
                <w:i/>
                <w:color w:val="000000" w:themeColor="text1"/>
              </w:rPr>
              <w:t xml:space="preserve">Е.А. </w:t>
            </w:r>
            <w:proofErr w:type="spellStart"/>
            <w:r w:rsidRPr="00CF6A71">
              <w:rPr>
                <w:b/>
                <w:i/>
                <w:color w:val="000000" w:themeColor="text1"/>
              </w:rPr>
              <w:t>Шумаева</w:t>
            </w:r>
            <w:proofErr w:type="spellEnd"/>
            <w:r w:rsidRPr="00CF6A71">
              <w:rPr>
                <w:b/>
                <w:i/>
                <w:color w:val="000000" w:themeColor="text1"/>
              </w:rPr>
              <w:t>,</w:t>
            </w:r>
            <w:r w:rsidRPr="00CF6A71">
              <w:rPr>
                <w:rFonts w:eastAsia="Calibri"/>
                <w:b/>
                <w:i/>
                <w:color w:val="000000" w:themeColor="text1"/>
              </w:rPr>
              <w:t xml:space="preserve"> </w:t>
            </w:r>
            <w:r w:rsidRPr="00CF6A71">
              <w:rPr>
                <w:rFonts w:eastAsia="Calibri"/>
                <w:i/>
                <w:color w:val="000000" w:themeColor="text1"/>
              </w:rPr>
              <w:t xml:space="preserve">канд. наук гос. упр., доц., </w:t>
            </w:r>
          </w:p>
          <w:p w:rsidR="00CF6A71" w:rsidRPr="00CF6A71" w:rsidRDefault="00CF6A71" w:rsidP="00CF6A71">
            <w:pPr>
              <w:rPr>
                <w:rFonts w:eastAsia="Calibri"/>
                <w:color w:val="000000" w:themeColor="text1"/>
              </w:rPr>
            </w:pPr>
            <w:r w:rsidRPr="00CF6A71">
              <w:rPr>
                <w:b/>
                <w:i/>
                <w:color w:val="000000" w:themeColor="text1"/>
              </w:rPr>
              <w:t xml:space="preserve">Е.Е. </w:t>
            </w:r>
            <w:proofErr w:type="spellStart"/>
            <w:r w:rsidRPr="00CF6A71">
              <w:rPr>
                <w:b/>
                <w:i/>
                <w:color w:val="000000" w:themeColor="text1"/>
              </w:rPr>
              <w:t>Корытченкова</w:t>
            </w:r>
            <w:proofErr w:type="spellEnd"/>
            <w:r w:rsidRPr="00CF6A71">
              <w:rPr>
                <w:rFonts w:eastAsia="Calibri"/>
                <w:color w:val="000000" w:themeColor="text1"/>
              </w:rPr>
              <w:t>,</w:t>
            </w:r>
          </w:p>
          <w:p w:rsidR="00CF6A71" w:rsidRPr="00CF6A71" w:rsidRDefault="00CF6A71" w:rsidP="00CF6A71">
            <w:pPr>
              <w:rPr>
                <w:rFonts w:eastAsia="Calibri"/>
                <w:i/>
                <w:color w:val="000000" w:themeColor="text1"/>
              </w:rPr>
            </w:pPr>
            <w:r w:rsidRPr="00CF6A71">
              <w:rPr>
                <w:rFonts w:eastAsia="Calibri"/>
                <w:i/>
                <w:color w:val="000000" w:themeColor="text1"/>
              </w:rPr>
              <w:t>ГОУВПО «Донецкий национальный</w:t>
            </w:r>
          </w:p>
          <w:p w:rsidR="00CF6A71" w:rsidRPr="00CF6A71" w:rsidRDefault="00CF6A71" w:rsidP="00CF6A71">
            <w:pPr>
              <w:rPr>
                <w:rFonts w:eastAsia="Calibri"/>
                <w:i/>
                <w:color w:val="000000" w:themeColor="text1"/>
              </w:rPr>
            </w:pPr>
            <w:r w:rsidRPr="00CF6A71">
              <w:rPr>
                <w:rFonts w:eastAsia="Calibri"/>
                <w:i/>
                <w:color w:val="000000" w:themeColor="text1"/>
              </w:rPr>
              <w:t xml:space="preserve">технический университет», </w:t>
            </w:r>
          </w:p>
          <w:p w:rsidR="00CF6A71" w:rsidRPr="00CF6A71" w:rsidRDefault="00CF6A71" w:rsidP="00CF6A71">
            <w:pPr>
              <w:widowControl w:val="0"/>
              <w:rPr>
                <w:color w:val="000000" w:themeColor="text1"/>
              </w:rPr>
            </w:pPr>
            <w:r w:rsidRPr="00CF6A71">
              <w:rPr>
                <w:rFonts w:eastAsia="Calibri"/>
                <w:i/>
                <w:color w:val="000000" w:themeColor="text1"/>
              </w:rPr>
              <w:t>Донецк, Донецкая Народная Республика</w:t>
            </w:r>
          </w:p>
        </w:tc>
      </w:tr>
      <w:tr w:rsidR="00CF6A71" w:rsidRPr="00CF6A71" w:rsidTr="00B36FDB">
        <w:trPr>
          <w:jc w:val="center"/>
        </w:trPr>
        <w:tc>
          <w:tcPr>
            <w:tcW w:w="4321" w:type="dxa"/>
          </w:tcPr>
          <w:p w:rsidR="00CF6A71" w:rsidRPr="00CF6A71" w:rsidRDefault="00CF6A71" w:rsidP="00CF6A71">
            <w:pPr>
              <w:widowControl w:val="0"/>
              <w:jc w:val="center"/>
              <w:outlineLvl w:val="0"/>
              <w:rPr>
                <w:rFonts w:ascii="Times New Roman Полужирный" w:eastAsia="Times New Roman" w:hAnsi="Times New Roman Полужирный"/>
                <w:bCs/>
                <w:kern w:val="32"/>
                <w:szCs w:val="28"/>
                <w:bdr w:val="none" w:sz="0" w:space="0" w:color="auto" w:frame="1"/>
                <w:shd w:val="clear" w:color="auto" w:fill="FFFFFF"/>
                <w:lang w:eastAsia="ru-RU"/>
              </w:rPr>
            </w:pPr>
          </w:p>
        </w:tc>
        <w:tc>
          <w:tcPr>
            <w:tcW w:w="5245" w:type="dxa"/>
          </w:tcPr>
          <w:p w:rsidR="00CF6A71" w:rsidRPr="00CF6A71" w:rsidRDefault="00CF6A71" w:rsidP="00CF6A71">
            <w:pPr>
              <w:widowControl w:val="0"/>
              <w:rPr>
                <w:color w:val="000000" w:themeColor="text1"/>
              </w:rPr>
            </w:pPr>
          </w:p>
        </w:tc>
      </w:tr>
      <w:tr w:rsidR="00CF6A71" w:rsidRPr="00CF6A71" w:rsidTr="00B36FDB">
        <w:trPr>
          <w:jc w:val="center"/>
        </w:trPr>
        <w:tc>
          <w:tcPr>
            <w:tcW w:w="9566" w:type="dxa"/>
            <w:gridSpan w:val="2"/>
          </w:tcPr>
          <w:p w:rsidR="00CF6A71" w:rsidRPr="00CF6A71" w:rsidRDefault="00CF6A71" w:rsidP="00CF6A71">
            <w:pPr>
              <w:widowControl w:val="0"/>
              <w:jc w:val="center"/>
              <w:outlineLvl w:val="0"/>
              <w:rPr>
                <w:rFonts w:eastAsia="Times New Roman"/>
                <w:bCs/>
                <w:kern w:val="32"/>
                <w:szCs w:val="28"/>
                <w:bdr w:val="none" w:sz="0" w:space="0" w:color="auto" w:frame="1"/>
                <w:shd w:val="clear" w:color="auto" w:fill="FFFFFF"/>
                <w:lang w:val="en-US" w:eastAsia="ru-RU"/>
              </w:rPr>
            </w:pPr>
            <w:bookmarkStart w:id="1" w:name="_Toc39512836"/>
            <w:r w:rsidRPr="00CF6A71">
              <w:rPr>
                <w:rFonts w:ascii="Times New Roman Полужирный" w:eastAsia="Times New Roman" w:hAnsi="Times New Roman Полужирный"/>
                <w:bCs/>
                <w:noProof/>
                <w:kern w:val="32"/>
                <w:szCs w:val="28"/>
                <w:bdr w:val="none" w:sz="0" w:space="0" w:color="auto" w:frame="1"/>
                <w:shd w:val="clear" w:color="auto" w:fill="FFFFFF"/>
                <w:lang w:val="en-US" w:eastAsia="ru-RU"/>
              </w:rPr>
              <w:t>DIGITALIZATION OF THE ELECTRIC POWER INDUSTRY AS A FACTOR OF INTENSIVE DEVELOPMENT OF THE INDUSTRY</w:t>
            </w:r>
            <w:bookmarkEnd w:id="1"/>
          </w:p>
        </w:tc>
      </w:tr>
      <w:tr w:rsidR="00CF6A71" w:rsidRPr="00CF6A71" w:rsidTr="00B36FDB">
        <w:trPr>
          <w:jc w:val="center"/>
        </w:trPr>
        <w:tc>
          <w:tcPr>
            <w:tcW w:w="9566" w:type="dxa"/>
            <w:gridSpan w:val="2"/>
          </w:tcPr>
          <w:p w:rsidR="00CF6A71" w:rsidRPr="00CF6A71" w:rsidRDefault="00CF6A71" w:rsidP="00CF6A71">
            <w:pPr>
              <w:jc w:val="both"/>
              <w:rPr>
                <w:color w:val="000000" w:themeColor="text1"/>
                <w:lang w:val="en-US"/>
              </w:rPr>
            </w:pPr>
          </w:p>
        </w:tc>
      </w:tr>
      <w:tr w:rsidR="00CF6A71" w:rsidRPr="00CF6A71" w:rsidTr="00B36FDB">
        <w:trPr>
          <w:jc w:val="center"/>
        </w:trPr>
        <w:tc>
          <w:tcPr>
            <w:tcW w:w="9566" w:type="dxa"/>
            <w:gridSpan w:val="2"/>
          </w:tcPr>
          <w:p w:rsidR="00CF6A71" w:rsidRPr="00CF6A71" w:rsidRDefault="00CF6A71" w:rsidP="00CF6A71">
            <w:pPr>
              <w:ind w:hanging="8"/>
              <w:jc w:val="center"/>
              <w:rPr>
                <w:b/>
                <w:color w:val="000000" w:themeColor="text1"/>
                <w:szCs w:val="28"/>
              </w:rPr>
            </w:pPr>
            <w:r w:rsidRPr="00CF6A71">
              <w:rPr>
                <w:rFonts w:ascii="Times New Roman Полужирный" w:hAnsi="Times New Roman Полужирный"/>
                <w:b/>
                <w:color w:val="000000" w:themeColor="text1"/>
                <w:szCs w:val="28"/>
                <w:shd w:val="clear" w:color="auto" w:fill="FFFFFF"/>
              </w:rPr>
              <w:t>ЦИФРОВИЗАЦИЯ ЭЛЕКТРОЭНЕРГЕТИКИ КАК ФАКТОР</w:t>
            </w:r>
            <w:r w:rsidRPr="00CF6A71">
              <w:rPr>
                <w:rFonts w:ascii="Times New Roman Полужирный" w:hAnsi="Times New Roman Полужирный"/>
                <w:b/>
                <w:color w:val="000000" w:themeColor="text1"/>
                <w:szCs w:val="28"/>
              </w:rPr>
              <w:br/>
            </w:r>
            <w:r w:rsidRPr="00CF6A71">
              <w:rPr>
                <w:rFonts w:ascii="Times New Roman Полужирный" w:hAnsi="Times New Roman Полужирный"/>
                <w:b/>
                <w:color w:val="000000" w:themeColor="text1"/>
                <w:szCs w:val="28"/>
                <w:shd w:val="clear" w:color="auto" w:fill="FFFFFF"/>
              </w:rPr>
              <w:t>ИНТЕНСИВНОГО РАЗВИТИЯ ОТРАСЛИ</w:t>
            </w:r>
          </w:p>
        </w:tc>
      </w:tr>
    </w:tbl>
    <w:p w:rsidR="00CF6A71" w:rsidRPr="00CF6A71" w:rsidRDefault="00CF6A71" w:rsidP="00CF6A71">
      <w:pPr>
        <w:spacing w:after="0" w:line="240" w:lineRule="auto"/>
        <w:ind w:firstLine="426"/>
        <w:jc w:val="both"/>
        <w:rPr>
          <w:rFonts w:ascii="Times New Roman" w:eastAsia="Calibri" w:hAnsi="Times New Roman" w:cs="Times New Roman"/>
          <w:b/>
          <w:color w:val="000000" w:themeColor="text1"/>
          <w:sz w:val="28"/>
          <w:szCs w:val="28"/>
        </w:rPr>
      </w:pPr>
    </w:p>
    <w:p w:rsidR="00CF6A71" w:rsidRPr="00CF6A71" w:rsidRDefault="00CF6A71" w:rsidP="00CF6A71">
      <w:pPr>
        <w:spacing w:after="0" w:line="240" w:lineRule="auto"/>
        <w:ind w:firstLine="709"/>
        <w:jc w:val="both"/>
        <w:rPr>
          <w:rFonts w:ascii="Times New Roman" w:eastAsiaTheme="minorEastAsia" w:hAnsi="Times New Roman" w:cs="Times New Roman"/>
          <w:i/>
          <w:noProof/>
          <w:color w:val="000000" w:themeColor="text1"/>
          <w:sz w:val="24"/>
          <w:szCs w:val="28"/>
          <w:lang w:val="en-US" w:eastAsia="ru-RU"/>
        </w:rPr>
      </w:pPr>
      <w:r w:rsidRPr="00CF6A71">
        <w:rPr>
          <w:rFonts w:ascii="Times New Roman" w:eastAsiaTheme="minorEastAsia" w:hAnsi="Times New Roman" w:cs="Times New Roman"/>
          <w:i/>
          <w:noProof/>
          <w:color w:val="000000" w:themeColor="text1"/>
          <w:sz w:val="24"/>
          <w:szCs w:val="28"/>
          <w:lang w:val="en-US" w:eastAsia="ru-RU"/>
        </w:rPr>
        <w:t>Abstract. The growing inefficiency of the traditional way of life in the electric power industry is becoming a limiting factor for the development of the country's economy. Digitalization is a current trend for improving the efficiency of industries, including energy. The article discusses the problems of digital transformation of this industry and possible ways to overcome the associated difficulties.</w:t>
      </w:r>
    </w:p>
    <w:p w:rsidR="00CF6A71" w:rsidRPr="00CF6A71" w:rsidRDefault="00CF6A71" w:rsidP="00CF6A71">
      <w:pPr>
        <w:spacing w:after="0" w:line="240" w:lineRule="auto"/>
        <w:ind w:firstLine="709"/>
        <w:jc w:val="both"/>
        <w:rPr>
          <w:rFonts w:ascii="Times New Roman" w:eastAsiaTheme="minorEastAsia" w:hAnsi="Times New Roman" w:cs="Times New Roman"/>
          <w:noProof/>
          <w:color w:val="000000" w:themeColor="text1"/>
          <w:sz w:val="28"/>
          <w:szCs w:val="28"/>
          <w:lang w:val="en-US" w:eastAsia="ru-RU"/>
        </w:rPr>
      </w:pPr>
      <w:r w:rsidRPr="00CF6A71">
        <w:rPr>
          <w:rFonts w:ascii="Times New Roman" w:eastAsiaTheme="minorEastAsia" w:hAnsi="Times New Roman" w:cs="Times New Roman"/>
          <w:i/>
          <w:noProof/>
          <w:color w:val="000000" w:themeColor="text1"/>
          <w:sz w:val="24"/>
          <w:szCs w:val="28"/>
          <w:lang w:val="en-US" w:eastAsia="ru-RU"/>
        </w:rPr>
        <w:t>Keywords: energy transition, digitalization, fuel and energy complex</w:t>
      </w:r>
    </w:p>
    <w:p w:rsidR="00CF6A71" w:rsidRPr="00CF6A71" w:rsidRDefault="00CF6A71" w:rsidP="00CF6A71">
      <w:pPr>
        <w:spacing w:after="0" w:line="240" w:lineRule="auto"/>
        <w:ind w:firstLine="708"/>
        <w:jc w:val="center"/>
        <w:rPr>
          <w:rFonts w:ascii="Times New Roman" w:eastAsiaTheme="minorEastAsia" w:hAnsi="Times New Roman" w:cs="Times New Roman"/>
          <w:i/>
          <w:noProof/>
          <w:color w:val="000000" w:themeColor="text1"/>
          <w:sz w:val="28"/>
          <w:szCs w:val="32"/>
          <w:lang w:val="en-US" w:eastAsia="ru-RU"/>
        </w:rPr>
      </w:pPr>
    </w:p>
    <w:p w:rsidR="00CF6A71" w:rsidRPr="00CF6A71" w:rsidRDefault="00CF6A71" w:rsidP="00CF6A71">
      <w:pPr>
        <w:spacing w:after="0" w:line="240" w:lineRule="auto"/>
        <w:ind w:firstLine="709"/>
        <w:jc w:val="both"/>
        <w:rPr>
          <w:rFonts w:ascii="Times New Roman" w:eastAsiaTheme="minorEastAsia" w:hAnsi="Times New Roman" w:cs="Times New Roman"/>
          <w:i/>
          <w:noProof/>
          <w:color w:val="000000" w:themeColor="text1"/>
          <w:sz w:val="24"/>
          <w:szCs w:val="28"/>
          <w:lang w:eastAsia="ru-RU"/>
        </w:rPr>
      </w:pPr>
      <w:r w:rsidRPr="00CF6A71">
        <w:rPr>
          <w:rFonts w:ascii="Times New Roman" w:eastAsiaTheme="minorEastAsia" w:hAnsi="Times New Roman" w:cs="Times New Roman"/>
          <w:i/>
          <w:noProof/>
          <w:color w:val="000000" w:themeColor="text1"/>
          <w:sz w:val="24"/>
          <w:szCs w:val="28"/>
          <w:lang w:eastAsia="ru-RU"/>
        </w:rPr>
        <w:t>Аннотация. Растущая неэффективность традиционного уклада в сфере электроэнергетики становится сдерживающим фактором для развития экономики страны. Цифровизация – актуальная тенденция для повышения эффективности работы отраслей, включая энергетическую. В статье рассмотрена проблематика цифровой трансформации данной отрасли и возможные пути преодоления связанных с этим трудностей.</w:t>
      </w:r>
    </w:p>
    <w:p w:rsidR="00CF6A71" w:rsidRPr="00CF6A71" w:rsidRDefault="00CF6A71" w:rsidP="00CF6A71">
      <w:pPr>
        <w:spacing w:after="0" w:line="240" w:lineRule="auto"/>
        <w:ind w:firstLine="709"/>
        <w:jc w:val="both"/>
        <w:rPr>
          <w:rFonts w:ascii="Times New Roman" w:eastAsiaTheme="minorEastAsia" w:hAnsi="Times New Roman" w:cs="Times New Roman"/>
          <w:i/>
          <w:noProof/>
          <w:color w:val="000000" w:themeColor="text1"/>
          <w:sz w:val="24"/>
          <w:szCs w:val="28"/>
          <w:lang w:eastAsia="ru-RU"/>
        </w:rPr>
      </w:pPr>
      <w:r w:rsidRPr="00CF6A71">
        <w:rPr>
          <w:rFonts w:ascii="Times New Roman" w:eastAsiaTheme="minorEastAsia" w:hAnsi="Times New Roman" w:cs="Times New Roman"/>
          <w:i/>
          <w:noProof/>
          <w:color w:val="000000" w:themeColor="text1"/>
          <w:sz w:val="24"/>
          <w:szCs w:val="28"/>
          <w:lang w:eastAsia="ru-RU"/>
        </w:rPr>
        <w:t>Ключевые слова: энергетический переход, цифровизация, топливно-энергетический комплекс</w:t>
      </w:r>
    </w:p>
    <w:p w:rsidR="00CF6A71" w:rsidRPr="00CF6A71" w:rsidRDefault="00CF6A71" w:rsidP="00CF6A71">
      <w:pPr>
        <w:spacing w:after="0" w:line="240" w:lineRule="auto"/>
        <w:ind w:firstLine="708"/>
        <w:jc w:val="both"/>
        <w:rPr>
          <w:rFonts w:ascii="Times New Roman" w:eastAsiaTheme="minorEastAsia" w:hAnsi="Times New Roman" w:cs="Times New Roman"/>
          <w:noProof/>
          <w:color w:val="000000" w:themeColor="text1"/>
          <w:sz w:val="28"/>
          <w:szCs w:val="28"/>
          <w:lang w:eastAsia="ru-RU"/>
        </w:rPr>
      </w:pPr>
    </w:p>
    <w:p w:rsidR="00CF6A71" w:rsidRPr="00CF6A71" w:rsidRDefault="00CF6A71" w:rsidP="00CF6A71">
      <w:pPr>
        <w:spacing w:after="0" w:line="240" w:lineRule="auto"/>
        <w:ind w:firstLine="708"/>
        <w:jc w:val="both"/>
        <w:rPr>
          <w:rFonts w:ascii="Times New Roman" w:eastAsiaTheme="minorEastAsia" w:hAnsi="Times New Roman" w:cs="Times New Roman"/>
          <w:noProof/>
          <w:color w:val="000000" w:themeColor="text1"/>
          <w:sz w:val="28"/>
          <w:szCs w:val="28"/>
          <w:lang w:val="en-US" w:eastAsia="ru-RU"/>
        </w:rPr>
      </w:pPr>
      <w:r w:rsidRPr="00CF6A71">
        <w:rPr>
          <w:rFonts w:ascii="Times New Roman" w:eastAsiaTheme="minorEastAsia" w:hAnsi="Times New Roman" w:cs="Times New Roman"/>
          <w:b/>
          <w:bCs/>
          <w:noProof/>
          <w:color w:val="000000" w:themeColor="text1"/>
          <w:sz w:val="28"/>
          <w:szCs w:val="28"/>
          <w:lang w:val="en-US" w:eastAsia="ru-RU"/>
        </w:rPr>
        <w:t xml:space="preserve">Problem statement. </w:t>
      </w:r>
      <w:r w:rsidRPr="00CF6A71">
        <w:rPr>
          <w:rFonts w:ascii="Times New Roman" w:eastAsiaTheme="minorEastAsia" w:hAnsi="Times New Roman" w:cs="Times New Roman"/>
          <w:bCs/>
          <w:noProof/>
          <w:color w:val="000000" w:themeColor="text1"/>
          <w:sz w:val="28"/>
          <w:szCs w:val="28"/>
          <w:lang w:val="en-US" w:eastAsia="ru-RU"/>
        </w:rPr>
        <w:t>Today, an investment increase in digital infrastructure and in the digitization market is observerd in the world. This trend is explained by the huge advantages offered by the introduction of digital technologies: reduced costs, increased efficiency of business processes, and as a result, increased competitiveness of companies.</w:t>
      </w:r>
    </w:p>
    <w:p w:rsidR="00CF6A71" w:rsidRPr="00CF6A71" w:rsidRDefault="00CF6A71" w:rsidP="00CF6A71">
      <w:pPr>
        <w:spacing w:after="0" w:line="240" w:lineRule="auto"/>
        <w:ind w:firstLine="708"/>
        <w:jc w:val="both"/>
        <w:rPr>
          <w:rFonts w:ascii="Times New Roman" w:eastAsiaTheme="minorEastAsia" w:hAnsi="Times New Roman" w:cs="Times New Roman"/>
          <w:noProof/>
          <w:color w:val="000000" w:themeColor="text1"/>
          <w:sz w:val="28"/>
          <w:szCs w:val="28"/>
          <w:lang w:val="en-US" w:eastAsia="ru-RU"/>
        </w:rPr>
      </w:pPr>
      <w:r w:rsidRPr="00CF6A71">
        <w:rPr>
          <w:rFonts w:ascii="Times New Roman" w:eastAsiaTheme="minorEastAsia" w:hAnsi="Times New Roman" w:cs="Times New Roman"/>
          <w:b/>
          <w:noProof/>
          <w:color w:val="000000" w:themeColor="text1"/>
          <w:sz w:val="28"/>
          <w:szCs w:val="28"/>
          <w:lang w:val="en-US" w:eastAsia="ru-RU"/>
        </w:rPr>
        <w:t>Analysis of previous research and publications.</w:t>
      </w:r>
      <w:r w:rsidRPr="00CF6A71">
        <w:rPr>
          <w:rFonts w:ascii="Times New Roman" w:eastAsiaTheme="minorEastAsia" w:hAnsi="Times New Roman" w:cs="Times New Roman"/>
          <w:noProof/>
          <w:color w:val="000000" w:themeColor="text1"/>
          <w:sz w:val="28"/>
          <w:szCs w:val="28"/>
          <w:lang w:val="en-US" w:eastAsia="ru-RU"/>
        </w:rPr>
        <w:t xml:space="preserve"> Digitalization is called a fundamental part of the architecture of the fourth industrial revolution, the so-called «Industry 4.0». Already in 2017, the digitalization of the economy was included in the list of the main directions of strategic development of the Russian Federation until 2025. At the same time, in the summer of 2017, the government approved the «Digital economy» program, which implies both the transition to fundamentally different principles of interaction between subjects, and the development of Russian high-tech companies. Such authors as T. A. Mitrova, I. V. Danilin, R. M. Khaziakhmetov and others are engaged in digital transformation of industrial sectors, including energy.</w:t>
      </w:r>
    </w:p>
    <w:p w:rsidR="00CF6A71" w:rsidRPr="00CF6A71" w:rsidRDefault="00CF6A71" w:rsidP="00CF6A71">
      <w:pPr>
        <w:spacing w:after="0" w:line="240" w:lineRule="auto"/>
        <w:ind w:firstLine="708"/>
        <w:jc w:val="both"/>
        <w:rPr>
          <w:rFonts w:ascii="Times New Roman" w:eastAsiaTheme="minorEastAsia" w:hAnsi="Times New Roman" w:cs="Times New Roman"/>
          <w:noProof/>
          <w:color w:val="000000" w:themeColor="text1"/>
          <w:sz w:val="28"/>
          <w:szCs w:val="28"/>
          <w:lang w:val="en-US" w:eastAsia="ru-RU"/>
        </w:rPr>
      </w:pPr>
      <w:r w:rsidRPr="00CF6A71">
        <w:rPr>
          <w:rFonts w:ascii="Times New Roman" w:eastAsiaTheme="minorEastAsia" w:hAnsi="Times New Roman" w:cs="Times New Roman"/>
          <w:b/>
          <w:noProof/>
          <w:color w:val="000000" w:themeColor="text1"/>
          <w:sz w:val="28"/>
          <w:szCs w:val="28"/>
          <w:lang w:val="en-US" w:eastAsia="ru-RU"/>
        </w:rPr>
        <w:lastRenderedPageBreak/>
        <w:t xml:space="preserve">Purpose of research. </w:t>
      </w:r>
      <w:r w:rsidRPr="00CF6A71">
        <w:rPr>
          <w:rFonts w:ascii="Times New Roman" w:eastAsiaTheme="minorEastAsia" w:hAnsi="Times New Roman" w:cs="Times New Roman"/>
          <w:noProof/>
          <w:color w:val="000000" w:themeColor="text1"/>
          <w:sz w:val="28"/>
          <w:szCs w:val="28"/>
          <w:lang w:val="en-US" w:eastAsia="ru-RU"/>
        </w:rPr>
        <w:t>The purpose of the article is to study the process of digital transformation of the electric power sector as a factor of intensive development of the industry.</w:t>
      </w:r>
    </w:p>
    <w:p w:rsidR="00CF6A71" w:rsidRPr="00CF6A71" w:rsidRDefault="00CF6A71" w:rsidP="00CF6A71">
      <w:pPr>
        <w:spacing w:after="0" w:line="240" w:lineRule="auto"/>
        <w:ind w:firstLine="708"/>
        <w:jc w:val="both"/>
        <w:rPr>
          <w:rFonts w:ascii="Times New Roman" w:eastAsiaTheme="minorEastAsia" w:hAnsi="Times New Roman" w:cs="Times New Roman"/>
          <w:noProof/>
          <w:color w:val="000000" w:themeColor="text1"/>
          <w:sz w:val="28"/>
          <w:szCs w:val="28"/>
          <w:lang w:val="en-US" w:eastAsia="ru-RU"/>
        </w:rPr>
      </w:pPr>
      <w:r w:rsidRPr="00CF6A71">
        <w:rPr>
          <w:rFonts w:ascii="Times New Roman" w:eastAsiaTheme="minorEastAsia" w:hAnsi="Times New Roman" w:cs="Times New Roman"/>
          <w:b/>
          <w:noProof/>
          <w:color w:val="000000" w:themeColor="text1"/>
          <w:sz w:val="28"/>
          <w:szCs w:val="28"/>
          <w:lang w:val="en-US" w:eastAsia="ru-RU"/>
        </w:rPr>
        <w:t xml:space="preserve">Main results of the study. </w:t>
      </w:r>
      <w:r w:rsidRPr="00CF6A71">
        <w:rPr>
          <w:rFonts w:ascii="Times New Roman" w:eastAsiaTheme="minorEastAsia" w:hAnsi="Times New Roman" w:cs="Times New Roman"/>
          <w:noProof/>
          <w:color w:val="000000" w:themeColor="text1"/>
          <w:sz w:val="28"/>
          <w:szCs w:val="28"/>
          <w:lang w:val="en-US" w:eastAsia="ru-RU"/>
        </w:rPr>
        <w:t>Many countries are currently implementing scenarios of the so-called energy transition – a new technological structure in the electric power industry, which is facilitated by active automation of production processes, the development of digital technologies, etc. The energy transition paradigm is focused on the large-scale use of distributed renewable energy [1,2], the involvement of private investment and the formation of decentralized markets, the intellectualization of infrastructure and the transition of consumers to active Pro-consumer behaviors (table 1).</w:t>
      </w:r>
    </w:p>
    <w:p w:rsidR="00CF6A71" w:rsidRPr="00CF6A71" w:rsidRDefault="00CF6A71" w:rsidP="00CF6A71">
      <w:pPr>
        <w:spacing w:after="0" w:line="240" w:lineRule="auto"/>
        <w:ind w:firstLine="708"/>
        <w:jc w:val="both"/>
        <w:rPr>
          <w:rFonts w:ascii="Times New Roman" w:eastAsiaTheme="minorEastAsia" w:hAnsi="Times New Roman" w:cs="Times New Roman"/>
          <w:noProof/>
          <w:color w:val="000000" w:themeColor="text1"/>
          <w:sz w:val="28"/>
          <w:szCs w:val="28"/>
          <w:lang w:val="en-US" w:eastAsia="ru-RU"/>
        </w:rPr>
      </w:pPr>
    </w:p>
    <w:p w:rsidR="00CF6A71" w:rsidRPr="00CF6A71" w:rsidRDefault="00CF6A71" w:rsidP="00CF6A71">
      <w:pPr>
        <w:spacing w:after="0" w:line="240" w:lineRule="auto"/>
        <w:ind w:firstLine="708"/>
        <w:jc w:val="right"/>
        <w:rPr>
          <w:rFonts w:ascii="Times New Roman" w:eastAsiaTheme="minorEastAsia" w:hAnsi="Times New Roman" w:cs="Times New Roman"/>
          <w:noProof/>
          <w:color w:val="000000" w:themeColor="text1"/>
          <w:sz w:val="28"/>
          <w:szCs w:val="28"/>
          <w:lang w:val="en-US" w:eastAsia="ru-RU"/>
        </w:rPr>
      </w:pPr>
      <w:r w:rsidRPr="00CF6A71">
        <w:rPr>
          <w:rFonts w:ascii="Times New Roman" w:eastAsiaTheme="minorEastAsia" w:hAnsi="Times New Roman" w:cs="Times New Roman"/>
          <w:noProof/>
          <w:color w:val="000000" w:themeColor="text1"/>
          <w:sz w:val="28"/>
          <w:szCs w:val="28"/>
          <w:lang w:val="en-US" w:eastAsia="ru-RU"/>
        </w:rPr>
        <w:t xml:space="preserve">Table 1 </w:t>
      </w:r>
    </w:p>
    <w:p w:rsidR="00CF6A71" w:rsidRPr="00CF6A71" w:rsidRDefault="00CF6A71" w:rsidP="00CF6A71">
      <w:pPr>
        <w:spacing w:after="0" w:line="240" w:lineRule="auto"/>
        <w:jc w:val="center"/>
        <w:rPr>
          <w:rFonts w:ascii="Times New Roman" w:eastAsiaTheme="minorEastAsia" w:hAnsi="Times New Roman" w:cs="Times New Roman"/>
          <w:noProof/>
          <w:color w:val="000000" w:themeColor="text1"/>
          <w:sz w:val="28"/>
          <w:szCs w:val="28"/>
          <w:lang w:val="en-US" w:eastAsia="ru-RU"/>
        </w:rPr>
      </w:pPr>
      <w:r w:rsidRPr="00CF6A71">
        <w:rPr>
          <w:rFonts w:ascii="Times New Roman" w:eastAsiaTheme="minorEastAsia" w:hAnsi="Times New Roman" w:cs="Times New Roman"/>
          <w:noProof/>
          <w:color w:val="000000" w:themeColor="text1"/>
          <w:sz w:val="28"/>
          <w:szCs w:val="28"/>
          <w:lang w:val="en-US" w:eastAsia="ru-RU"/>
        </w:rPr>
        <w:t>The contents of the energy paradigms</w:t>
      </w:r>
    </w:p>
    <w:tbl>
      <w:tblPr>
        <w:tblStyle w:val="a3"/>
        <w:tblW w:w="4873" w:type="pct"/>
        <w:jc w:val="center"/>
        <w:tblLook w:val="04A0" w:firstRow="1" w:lastRow="0" w:firstColumn="1" w:lastColumn="0" w:noHBand="0" w:noVBand="1"/>
      </w:tblPr>
      <w:tblGrid>
        <w:gridCol w:w="4748"/>
        <w:gridCol w:w="4580"/>
      </w:tblGrid>
      <w:tr w:rsidR="00CF6A71" w:rsidRPr="00CF6A71" w:rsidTr="00B36FDB">
        <w:trPr>
          <w:trHeight w:val="352"/>
          <w:jc w:val="center"/>
        </w:trPr>
        <w:tc>
          <w:tcPr>
            <w:tcW w:w="2545" w:type="pct"/>
          </w:tcPr>
          <w:p w:rsidR="00CF6A71" w:rsidRPr="00CF6A71" w:rsidRDefault="00CF6A71" w:rsidP="00CF6A71">
            <w:pPr>
              <w:jc w:val="center"/>
              <w:rPr>
                <w:b/>
                <w:bCs/>
                <w:noProof/>
                <w:color w:val="000000" w:themeColor="text1"/>
                <w:szCs w:val="28"/>
                <w:lang w:val="en-US" w:eastAsia="ru-RU"/>
              </w:rPr>
            </w:pPr>
            <w:r w:rsidRPr="00CF6A71">
              <w:rPr>
                <w:b/>
                <w:bCs/>
                <w:noProof/>
                <w:color w:val="000000" w:themeColor="text1"/>
                <w:sz w:val="24"/>
                <w:szCs w:val="24"/>
                <w:lang w:val="en-US" w:eastAsia="ru-RU"/>
              </w:rPr>
              <w:t>The current (dominant) energy paradigm</w:t>
            </w:r>
          </w:p>
        </w:tc>
        <w:tc>
          <w:tcPr>
            <w:tcW w:w="2455" w:type="pct"/>
            <w:vAlign w:val="center"/>
          </w:tcPr>
          <w:p w:rsidR="00CF6A71" w:rsidRPr="00CF6A71" w:rsidRDefault="00CF6A71" w:rsidP="00CF6A71">
            <w:pPr>
              <w:jc w:val="center"/>
              <w:rPr>
                <w:b/>
                <w:bCs/>
                <w:noProof/>
                <w:color w:val="000000" w:themeColor="text1"/>
                <w:sz w:val="24"/>
                <w:szCs w:val="24"/>
                <w:lang w:eastAsia="ru-RU"/>
              </w:rPr>
            </w:pPr>
            <w:r w:rsidRPr="00CF6A71">
              <w:rPr>
                <w:b/>
                <w:bCs/>
                <w:noProof/>
                <w:color w:val="000000" w:themeColor="text1"/>
                <w:sz w:val="24"/>
                <w:szCs w:val="24"/>
                <w:lang w:eastAsia="ru-RU"/>
              </w:rPr>
              <w:t>The coming energy paradigm</w:t>
            </w:r>
          </w:p>
        </w:tc>
      </w:tr>
      <w:tr w:rsidR="00CF6A71" w:rsidRPr="00CF6A71" w:rsidTr="00B36FDB">
        <w:trPr>
          <w:trHeight w:val="352"/>
          <w:jc w:val="center"/>
        </w:trPr>
        <w:tc>
          <w:tcPr>
            <w:tcW w:w="2545" w:type="pct"/>
            <w:vAlign w:val="center"/>
          </w:tcPr>
          <w:p w:rsidR="00CF6A71" w:rsidRPr="00CF6A71" w:rsidRDefault="00CF6A71" w:rsidP="00CF6A71">
            <w:pPr>
              <w:tabs>
                <w:tab w:val="left" w:pos="3000"/>
              </w:tabs>
              <w:jc w:val="center"/>
              <w:rPr>
                <w:noProof/>
                <w:color w:val="000000" w:themeColor="text1"/>
                <w:sz w:val="24"/>
                <w:szCs w:val="24"/>
                <w:lang w:val="en-US" w:eastAsia="ru-RU"/>
              </w:rPr>
            </w:pPr>
            <w:r w:rsidRPr="00CF6A71">
              <w:rPr>
                <w:noProof/>
                <w:color w:val="000000" w:themeColor="text1"/>
                <w:sz w:val="24"/>
                <w:szCs w:val="24"/>
                <w:lang w:val="en-US" w:eastAsia="ru-RU"/>
              </w:rPr>
              <w:t>Dominance of power sources based on hydrocarbon fuels</w:t>
            </w:r>
          </w:p>
        </w:tc>
        <w:tc>
          <w:tcPr>
            <w:tcW w:w="2455" w:type="pct"/>
          </w:tcPr>
          <w:p w:rsidR="00CF6A71" w:rsidRPr="00CF6A71" w:rsidRDefault="00CF6A71" w:rsidP="00CF6A71">
            <w:pPr>
              <w:jc w:val="both"/>
              <w:rPr>
                <w:noProof/>
                <w:color w:val="000000" w:themeColor="text1"/>
                <w:sz w:val="24"/>
                <w:szCs w:val="24"/>
                <w:lang w:val="en-US" w:eastAsia="ru-RU"/>
              </w:rPr>
            </w:pPr>
            <w:r w:rsidRPr="00CF6A71">
              <w:rPr>
                <w:noProof/>
                <w:color w:val="000000" w:themeColor="text1"/>
                <w:sz w:val="24"/>
                <w:szCs w:val="24"/>
                <w:lang w:val="en-US" w:eastAsia="ru-RU"/>
              </w:rPr>
              <w:t xml:space="preserve">"Clean energy" of renewable energy sources. </w:t>
            </w:r>
          </w:p>
          <w:p w:rsidR="00CF6A71" w:rsidRPr="00CF6A71" w:rsidRDefault="00CF6A71" w:rsidP="00CF6A71">
            <w:pPr>
              <w:jc w:val="both"/>
              <w:rPr>
                <w:noProof/>
                <w:color w:val="000000" w:themeColor="text1"/>
                <w:sz w:val="24"/>
                <w:szCs w:val="24"/>
                <w:lang w:val="en-US" w:eastAsia="ru-RU"/>
              </w:rPr>
            </w:pPr>
            <w:r w:rsidRPr="00CF6A71">
              <w:rPr>
                <w:noProof/>
                <w:color w:val="000000" w:themeColor="text1"/>
                <w:sz w:val="24"/>
                <w:szCs w:val="24"/>
                <w:lang w:val="en-US" w:eastAsia="ru-RU"/>
              </w:rPr>
              <w:t xml:space="preserve">Deep decentralization of energy production. </w:t>
            </w:r>
          </w:p>
          <w:p w:rsidR="00CF6A71" w:rsidRPr="00CF6A71" w:rsidRDefault="00CF6A71" w:rsidP="00CF6A71">
            <w:pPr>
              <w:jc w:val="both"/>
              <w:rPr>
                <w:noProof/>
                <w:color w:val="000000" w:themeColor="text1"/>
                <w:sz w:val="24"/>
                <w:szCs w:val="24"/>
                <w:lang w:val="en-US" w:eastAsia="ru-RU"/>
              </w:rPr>
            </w:pPr>
            <w:r w:rsidRPr="00CF6A71">
              <w:rPr>
                <w:noProof/>
                <w:color w:val="000000" w:themeColor="text1"/>
                <w:sz w:val="24"/>
                <w:szCs w:val="24"/>
                <w:lang w:val="en-US" w:eastAsia="ru-RU"/>
              </w:rPr>
              <w:t>Growth of the role of electricity in the structure of fuel and energy resources consumption</w:t>
            </w:r>
          </w:p>
        </w:tc>
      </w:tr>
      <w:tr w:rsidR="00CF6A71" w:rsidRPr="00CF6A71" w:rsidTr="00B36FDB">
        <w:trPr>
          <w:trHeight w:val="352"/>
          <w:jc w:val="center"/>
        </w:trPr>
        <w:tc>
          <w:tcPr>
            <w:tcW w:w="2545" w:type="pct"/>
          </w:tcPr>
          <w:p w:rsidR="00CF6A71" w:rsidRPr="00CF6A71" w:rsidRDefault="00CF6A71" w:rsidP="00CF6A71">
            <w:pPr>
              <w:jc w:val="both"/>
              <w:rPr>
                <w:noProof/>
                <w:color w:val="000000" w:themeColor="text1"/>
                <w:sz w:val="24"/>
                <w:szCs w:val="24"/>
                <w:lang w:val="en-US" w:eastAsia="ru-RU"/>
              </w:rPr>
            </w:pPr>
            <w:r w:rsidRPr="00CF6A71">
              <w:rPr>
                <w:noProof/>
                <w:color w:val="000000" w:themeColor="text1"/>
                <w:sz w:val="24"/>
                <w:szCs w:val="24"/>
                <w:lang w:val="en-US" w:eastAsia="ru-RU"/>
              </w:rPr>
              <w:t>Large vertically integrated energy companies with powerful power units, large deposits, and large processing plants</w:t>
            </w:r>
          </w:p>
        </w:tc>
        <w:tc>
          <w:tcPr>
            <w:tcW w:w="2455" w:type="pct"/>
            <w:vAlign w:val="center"/>
          </w:tcPr>
          <w:p w:rsidR="00CF6A71" w:rsidRPr="00CF6A71" w:rsidRDefault="00CF6A71" w:rsidP="00CF6A71">
            <w:pPr>
              <w:jc w:val="both"/>
              <w:rPr>
                <w:noProof/>
                <w:color w:val="000000" w:themeColor="text1"/>
                <w:sz w:val="24"/>
                <w:szCs w:val="24"/>
                <w:lang w:eastAsia="ru-RU"/>
              </w:rPr>
            </w:pPr>
            <w:r w:rsidRPr="00CF6A71">
              <w:rPr>
                <w:noProof/>
                <w:color w:val="000000" w:themeColor="text1"/>
                <w:sz w:val="24"/>
                <w:szCs w:val="24"/>
                <w:lang w:eastAsia="ru-RU"/>
              </w:rPr>
              <w:t>Decentralized markets, private investment</w:t>
            </w:r>
          </w:p>
        </w:tc>
      </w:tr>
      <w:tr w:rsidR="00CF6A71" w:rsidRPr="00CF6A71" w:rsidTr="00B36FDB">
        <w:trPr>
          <w:trHeight w:val="352"/>
          <w:jc w:val="center"/>
        </w:trPr>
        <w:tc>
          <w:tcPr>
            <w:tcW w:w="2545" w:type="pct"/>
            <w:vAlign w:val="center"/>
          </w:tcPr>
          <w:p w:rsidR="00CF6A71" w:rsidRPr="00CF6A71" w:rsidRDefault="00CF6A71" w:rsidP="00CF6A71">
            <w:pPr>
              <w:jc w:val="both"/>
              <w:rPr>
                <w:noProof/>
                <w:color w:val="000000" w:themeColor="text1"/>
                <w:sz w:val="24"/>
                <w:szCs w:val="24"/>
                <w:lang w:eastAsia="ru-RU"/>
              </w:rPr>
            </w:pPr>
            <w:r w:rsidRPr="00CF6A71">
              <w:rPr>
                <w:noProof/>
                <w:color w:val="000000" w:themeColor="text1"/>
                <w:sz w:val="24"/>
                <w:szCs w:val="24"/>
                <w:lang w:eastAsia="ru-RU"/>
              </w:rPr>
              <w:t>Centralized electrical networks</w:t>
            </w:r>
          </w:p>
        </w:tc>
        <w:tc>
          <w:tcPr>
            <w:tcW w:w="2455" w:type="pct"/>
          </w:tcPr>
          <w:p w:rsidR="00CF6A71" w:rsidRPr="00CF6A71" w:rsidRDefault="00CF6A71" w:rsidP="00CF6A71">
            <w:pPr>
              <w:jc w:val="both"/>
              <w:rPr>
                <w:noProof/>
                <w:color w:val="000000" w:themeColor="text1"/>
                <w:sz w:val="24"/>
                <w:szCs w:val="24"/>
                <w:lang w:val="en-US" w:eastAsia="ru-RU"/>
              </w:rPr>
            </w:pPr>
            <w:r w:rsidRPr="00CF6A71">
              <w:rPr>
                <w:noProof/>
                <w:color w:val="000000" w:themeColor="text1"/>
                <w:sz w:val="24"/>
                <w:szCs w:val="24"/>
                <w:lang w:val="en-US" w:eastAsia="ru-RU"/>
              </w:rPr>
              <w:t>Intellectualization of basic infrastructure, development of smart grids technologies</w:t>
            </w:r>
          </w:p>
        </w:tc>
      </w:tr>
      <w:tr w:rsidR="00CF6A71" w:rsidRPr="00CF6A71" w:rsidTr="00B36FDB">
        <w:trPr>
          <w:trHeight w:val="337"/>
          <w:jc w:val="center"/>
        </w:trPr>
        <w:tc>
          <w:tcPr>
            <w:tcW w:w="2545" w:type="pct"/>
          </w:tcPr>
          <w:p w:rsidR="00CF6A71" w:rsidRPr="00CF6A71" w:rsidRDefault="00CF6A71" w:rsidP="00CF6A71">
            <w:pPr>
              <w:jc w:val="both"/>
              <w:rPr>
                <w:noProof/>
                <w:color w:val="000000" w:themeColor="text1"/>
                <w:sz w:val="24"/>
                <w:szCs w:val="24"/>
                <w:lang w:val="en-US" w:eastAsia="ru-RU"/>
              </w:rPr>
            </w:pPr>
            <w:r w:rsidRPr="00CF6A71">
              <w:rPr>
                <w:noProof/>
                <w:color w:val="000000" w:themeColor="text1"/>
                <w:sz w:val="24"/>
                <w:szCs w:val="24"/>
                <w:lang w:val="en-US" w:eastAsia="ru-RU"/>
              </w:rPr>
              <w:t>Unidirectional flow of electricity – from the generator to the consumer</w:t>
            </w:r>
          </w:p>
        </w:tc>
        <w:tc>
          <w:tcPr>
            <w:tcW w:w="2455" w:type="pct"/>
          </w:tcPr>
          <w:p w:rsidR="00CF6A71" w:rsidRPr="00CF6A71" w:rsidRDefault="00CF6A71" w:rsidP="00CF6A71">
            <w:pPr>
              <w:jc w:val="both"/>
              <w:rPr>
                <w:noProof/>
                <w:color w:val="000000" w:themeColor="text1"/>
                <w:sz w:val="24"/>
                <w:szCs w:val="24"/>
                <w:lang w:val="en-US" w:eastAsia="ru-RU"/>
              </w:rPr>
            </w:pPr>
            <w:r w:rsidRPr="00CF6A71">
              <w:rPr>
                <w:noProof/>
                <w:color w:val="000000" w:themeColor="text1"/>
                <w:sz w:val="24"/>
                <w:szCs w:val="24"/>
                <w:lang w:val="en-US" w:eastAsia="ru-RU"/>
              </w:rPr>
              <w:t>The transition of consumers to the active modelsbehavior (active consumer in the center</w:t>
            </w:r>
          </w:p>
          <w:p w:rsidR="00CF6A71" w:rsidRPr="00CF6A71" w:rsidRDefault="00CF6A71" w:rsidP="00CF6A71">
            <w:pPr>
              <w:jc w:val="both"/>
              <w:rPr>
                <w:noProof/>
                <w:color w:val="000000" w:themeColor="text1"/>
                <w:sz w:val="24"/>
                <w:szCs w:val="24"/>
                <w:lang w:eastAsia="ru-RU"/>
              </w:rPr>
            </w:pPr>
            <w:proofErr w:type="gramStart"/>
            <w:r w:rsidRPr="00CF6A71">
              <w:rPr>
                <w:noProof/>
                <w:color w:val="000000" w:themeColor="text1"/>
                <w:sz w:val="24"/>
                <w:szCs w:val="24"/>
                <w:lang w:eastAsia="ru-RU"/>
              </w:rPr>
              <w:t>power system)</w:t>
            </w:r>
            <w:proofErr w:type="gramEnd"/>
          </w:p>
        </w:tc>
      </w:tr>
      <w:tr w:rsidR="00CF6A71" w:rsidRPr="00CF6A71" w:rsidTr="00B36FDB">
        <w:trPr>
          <w:trHeight w:val="352"/>
          <w:jc w:val="center"/>
        </w:trPr>
        <w:tc>
          <w:tcPr>
            <w:tcW w:w="2545" w:type="pct"/>
          </w:tcPr>
          <w:p w:rsidR="00CF6A71" w:rsidRPr="00CF6A71" w:rsidRDefault="00CF6A71" w:rsidP="00CF6A71">
            <w:pPr>
              <w:jc w:val="both"/>
              <w:rPr>
                <w:noProof/>
                <w:color w:val="000000" w:themeColor="text1"/>
                <w:sz w:val="24"/>
                <w:szCs w:val="24"/>
                <w:lang w:val="en-US" w:eastAsia="ru-RU"/>
              </w:rPr>
            </w:pPr>
            <w:r w:rsidRPr="00CF6A71">
              <w:rPr>
                <w:noProof/>
                <w:color w:val="000000" w:themeColor="text1"/>
                <w:sz w:val="24"/>
                <w:szCs w:val="24"/>
                <w:lang w:val="en-US" w:eastAsia="ru-RU"/>
              </w:rPr>
              <w:t>Simultaneous processes of electricity production and consumption</w:t>
            </w:r>
          </w:p>
        </w:tc>
        <w:tc>
          <w:tcPr>
            <w:tcW w:w="2455" w:type="pct"/>
          </w:tcPr>
          <w:p w:rsidR="00CF6A71" w:rsidRPr="00CF6A71" w:rsidRDefault="00CF6A71" w:rsidP="00CF6A71">
            <w:pPr>
              <w:jc w:val="both"/>
              <w:rPr>
                <w:noProof/>
                <w:color w:val="000000" w:themeColor="text1"/>
                <w:sz w:val="24"/>
                <w:szCs w:val="24"/>
                <w:lang w:val="en-US" w:eastAsia="ru-RU"/>
              </w:rPr>
            </w:pPr>
            <w:r w:rsidRPr="00CF6A71">
              <w:rPr>
                <w:noProof/>
                <w:color w:val="000000" w:themeColor="text1"/>
                <w:sz w:val="24"/>
                <w:szCs w:val="24"/>
                <w:lang w:val="en-US" w:eastAsia="ru-RU"/>
              </w:rPr>
              <w:t>Energy storage technologies – energy as a "stored" commodity.</w:t>
            </w:r>
          </w:p>
          <w:p w:rsidR="00CF6A71" w:rsidRPr="00CF6A71" w:rsidRDefault="00CF6A71" w:rsidP="00CF6A71">
            <w:pPr>
              <w:jc w:val="both"/>
              <w:rPr>
                <w:noProof/>
                <w:color w:val="000000" w:themeColor="text1"/>
                <w:sz w:val="24"/>
                <w:szCs w:val="24"/>
                <w:lang w:val="en-US" w:eastAsia="ru-RU"/>
              </w:rPr>
            </w:pPr>
            <w:r w:rsidRPr="00CF6A71">
              <w:rPr>
                <w:noProof/>
                <w:color w:val="000000" w:themeColor="text1"/>
                <w:sz w:val="24"/>
                <w:szCs w:val="24"/>
                <w:lang w:val="en-US" w:eastAsia="ru-RU"/>
              </w:rPr>
              <w:t>The increase in the efficiency of energy use</w:t>
            </w:r>
          </w:p>
        </w:tc>
      </w:tr>
      <w:tr w:rsidR="00CF6A71" w:rsidRPr="00CF6A71" w:rsidTr="00B36FDB">
        <w:trPr>
          <w:trHeight w:val="352"/>
          <w:jc w:val="center"/>
        </w:trPr>
        <w:tc>
          <w:tcPr>
            <w:tcW w:w="2545" w:type="pct"/>
          </w:tcPr>
          <w:p w:rsidR="00CF6A71" w:rsidRPr="00CF6A71" w:rsidRDefault="00CF6A71" w:rsidP="00CF6A71">
            <w:pPr>
              <w:jc w:val="both"/>
              <w:rPr>
                <w:noProof/>
                <w:color w:val="000000" w:themeColor="text1"/>
                <w:sz w:val="24"/>
                <w:szCs w:val="24"/>
                <w:lang w:val="en-US" w:eastAsia="ru-RU"/>
              </w:rPr>
            </w:pPr>
            <w:r w:rsidRPr="00CF6A71">
              <w:rPr>
                <w:noProof/>
                <w:color w:val="000000" w:themeColor="text1"/>
                <w:sz w:val="24"/>
                <w:szCs w:val="24"/>
                <w:lang w:val="en-US" w:eastAsia="ru-RU"/>
              </w:rPr>
              <w:t>The widespread use of fossil fuels in industry and transport.</w:t>
            </w:r>
          </w:p>
        </w:tc>
        <w:tc>
          <w:tcPr>
            <w:tcW w:w="2455" w:type="pct"/>
          </w:tcPr>
          <w:p w:rsidR="00CF6A71" w:rsidRPr="00CF6A71" w:rsidRDefault="00CF6A71" w:rsidP="00CF6A71">
            <w:pPr>
              <w:jc w:val="both"/>
              <w:rPr>
                <w:noProof/>
                <w:color w:val="000000" w:themeColor="text1"/>
                <w:sz w:val="24"/>
                <w:szCs w:val="24"/>
                <w:lang w:val="en-US" w:eastAsia="ru-RU"/>
              </w:rPr>
            </w:pPr>
            <w:r w:rsidRPr="00CF6A71">
              <w:rPr>
                <w:noProof/>
                <w:color w:val="000000" w:themeColor="text1"/>
                <w:sz w:val="24"/>
                <w:szCs w:val="24"/>
                <w:lang w:val="en-US" w:eastAsia="ru-RU"/>
              </w:rPr>
              <w:t>Deepening the electrification of industry and vehicle.</w:t>
            </w:r>
          </w:p>
        </w:tc>
      </w:tr>
    </w:tbl>
    <w:p w:rsidR="00CF6A71" w:rsidRPr="00CF6A71" w:rsidRDefault="00CF6A71" w:rsidP="00CF6A71">
      <w:pPr>
        <w:spacing w:after="0" w:line="240" w:lineRule="auto"/>
        <w:ind w:firstLine="708"/>
        <w:jc w:val="both"/>
        <w:rPr>
          <w:rFonts w:ascii="Times New Roman" w:eastAsiaTheme="minorEastAsia" w:hAnsi="Times New Roman" w:cs="Times New Roman"/>
          <w:noProof/>
          <w:color w:val="000000" w:themeColor="text1"/>
          <w:sz w:val="28"/>
          <w:szCs w:val="28"/>
          <w:lang w:val="en-US" w:eastAsia="ru-RU"/>
        </w:rPr>
      </w:pPr>
    </w:p>
    <w:p w:rsidR="00CF6A71" w:rsidRPr="00CF6A71" w:rsidRDefault="00CF6A71" w:rsidP="00CF6A71">
      <w:pPr>
        <w:spacing w:after="0" w:line="240" w:lineRule="auto"/>
        <w:ind w:firstLine="708"/>
        <w:jc w:val="both"/>
        <w:rPr>
          <w:rFonts w:ascii="Times New Roman" w:eastAsiaTheme="minorEastAsia" w:hAnsi="Times New Roman" w:cs="Times New Roman"/>
          <w:noProof/>
          <w:color w:val="000000" w:themeColor="text1"/>
          <w:sz w:val="28"/>
          <w:szCs w:val="28"/>
          <w:lang w:val="en-US" w:eastAsia="ru-RU"/>
        </w:rPr>
      </w:pPr>
      <w:r w:rsidRPr="00CF6A71">
        <w:rPr>
          <w:rFonts w:ascii="Times New Roman" w:eastAsiaTheme="minorEastAsia" w:hAnsi="Times New Roman" w:cs="Times New Roman"/>
          <w:noProof/>
          <w:color w:val="000000" w:themeColor="text1"/>
          <w:sz w:val="28"/>
          <w:szCs w:val="28"/>
          <w:lang w:val="en-US" w:eastAsia="ru-RU"/>
        </w:rPr>
        <w:t>A key factor of the necessity to digitalize the energy industry is the growing inefficiency of the domestic electricity sector, which leads to higher tariffs and prices for electricity for consumers. This can likely inhibit the development of the economy, a significant part of which is based on energy-intensive production. It is important for the fuel and energy complex in general and industry companies in particular to maintain their leading positions in global energy markets and enter new markets with high-tech products. In this regard, the task is to form their own competencies and the necessary technological base.</w:t>
      </w:r>
    </w:p>
    <w:p w:rsidR="00CF6A71" w:rsidRPr="00CF6A71" w:rsidRDefault="00CF6A71" w:rsidP="00CF6A71">
      <w:pPr>
        <w:spacing w:after="0" w:line="240" w:lineRule="auto"/>
        <w:ind w:firstLine="708"/>
        <w:jc w:val="both"/>
        <w:rPr>
          <w:rFonts w:ascii="Times New Roman" w:eastAsiaTheme="minorEastAsia" w:hAnsi="Times New Roman" w:cs="Times New Roman"/>
          <w:noProof/>
          <w:color w:val="000000" w:themeColor="text1"/>
          <w:sz w:val="28"/>
          <w:szCs w:val="28"/>
          <w:lang w:val="en-US" w:eastAsia="ru-RU"/>
        </w:rPr>
      </w:pPr>
      <w:r w:rsidRPr="00CF6A71">
        <w:rPr>
          <w:rFonts w:ascii="Times New Roman" w:eastAsiaTheme="minorEastAsia" w:hAnsi="Times New Roman" w:cs="Times New Roman"/>
          <w:noProof/>
          <w:color w:val="000000" w:themeColor="text1"/>
          <w:sz w:val="28"/>
          <w:szCs w:val="28"/>
          <w:lang w:val="en-US" w:eastAsia="ru-RU"/>
        </w:rPr>
        <w:t xml:space="preserve">Digital transformation of the fuel and energy sector is not just the introduction of individual solutions , but a change in the technological structure, which entails a change in the entire business environment. According to experts, the first to take advantage of the opportunities of digital transformation will </w:t>
      </w:r>
      <w:r w:rsidRPr="00CF6A71">
        <w:rPr>
          <w:rFonts w:ascii="Times New Roman" w:eastAsiaTheme="minorEastAsia" w:hAnsi="Times New Roman" w:cs="Times New Roman"/>
          <w:noProof/>
          <w:color w:val="000000" w:themeColor="text1"/>
          <w:sz w:val="28"/>
          <w:szCs w:val="28"/>
          <w:lang w:val="en-US" w:eastAsia="ru-RU"/>
        </w:rPr>
        <w:lastRenderedPageBreak/>
        <w:t>become a valuable supplier of innovative solutions and will gain an incomparable advantage over other players, including the international level.</w:t>
      </w:r>
    </w:p>
    <w:p w:rsidR="00CF6A71" w:rsidRPr="00CF6A71" w:rsidRDefault="00CF6A71" w:rsidP="00CF6A71">
      <w:pPr>
        <w:spacing w:after="0" w:line="240" w:lineRule="auto"/>
        <w:ind w:firstLine="708"/>
        <w:jc w:val="both"/>
        <w:rPr>
          <w:rFonts w:ascii="Times New Roman" w:eastAsiaTheme="minorEastAsia" w:hAnsi="Times New Roman" w:cs="Times New Roman"/>
          <w:noProof/>
          <w:color w:val="000000" w:themeColor="text1"/>
          <w:sz w:val="28"/>
          <w:szCs w:val="28"/>
          <w:lang w:val="en-US" w:eastAsia="ru-RU"/>
        </w:rPr>
      </w:pPr>
      <w:r w:rsidRPr="00CF6A71">
        <w:rPr>
          <w:rFonts w:ascii="Times New Roman" w:eastAsiaTheme="minorEastAsia" w:hAnsi="Times New Roman" w:cs="Times New Roman"/>
          <w:noProof/>
          <w:color w:val="000000" w:themeColor="text1"/>
          <w:sz w:val="28"/>
          <w:szCs w:val="28"/>
          <w:lang w:val="en-US" w:eastAsia="ru-RU"/>
        </w:rPr>
        <w:t>For example, the development direction of the «Digital power» in Russia is included in the program «the Digital economy of the Russian Federation» and covers all key areas energy: oil and gas, coal industry and power industry. In the last one the departmental project «Digital transformation of the Russian electric power industry» is being developed. Industry strategic and forecast documents of the Russian Federation rely more on an evolutionary scenario for the development of the electric power industry, which largely preserves the environment familiar to the Russian fuel and energy sector with fairly high world prices and demand for energy resources, and in terms of technological policy sets a priority for ensuring the technological independence of the energy sector and sufficient competencies in all critical activities for sustainable energy development [3]. A more revolutionary scenario, focused on the transition to a new technological order, and the creation of technological prerequisites for it, is considered unlikely or relevant beyond the horizon of 2025.</w:t>
      </w:r>
    </w:p>
    <w:p w:rsidR="00CF6A71" w:rsidRPr="00CF6A71" w:rsidRDefault="00CF6A71" w:rsidP="00CF6A71">
      <w:pPr>
        <w:spacing w:after="0" w:line="240" w:lineRule="auto"/>
        <w:ind w:firstLine="708"/>
        <w:jc w:val="both"/>
        <w:rPr>
          <w:rFonts w:ascii="Times New Roman" w:eastAsiaTheme="minorEastAsia" w:hAnsi="Times New Roman" w:cs="Times New Roman"/>
          <w:noProof/>
          <w:color w:val="000000" w:themeColor="text1"/>
          <w:sz w:val="28"/>
          <w:szCs w:val="28"/>
          <w:lang w:val="en-US" w:eastAsia="ru-RU"/>
        </w:rPr>
      </w:pPr>
      <w:r w:rsidRPr="00CF6A71">
        <w:rPr>
          <w:rFonts w:ascii="Times New Roman" w:eastAsiaTheme="minorEastAsia" w:hAnsi="Times New Roman" w:cs="Times New Roman"/>
          <w:noProof/>
          <w:color w:val="000000" w:themeColor="text1"/>
          <w:sz w:val="28"/>
          <w:szCs w:val="28"/>
          <w:lang w:val="en-US" w:eastAsia="ru-RU"/>
        </w:rPr>
        <w:t>At the same time the industry has formed an understanding that the implementation of the innovative scenario is necessary – not so much to meet global trends, but to reduce the risk of losing Russia's competitiveness in the emerging global markets for new electric power, as well as to solve some internal problems.</w:t>
      </w:r>
    </w:p>
    <w:p w:rsidR="00CF6A71" w:rsidRPr="00CF6A71" w:rsidRDefault="00CF6A71" w:rsidP="00CF6A71">
      <w:pPr>
        <w:spacing w:after="0" w:line="240" w:lineRule="auto"/>
        <w:ind w:firstLine="708"/>
        <w:jc w:val="both"/>
        <w:rPr>
          <w:rFonts w:ascii="Times New Roman" w:eastAsiaTheme="minorEastAsia" w:hAnsi="Times New Roman" w:cs="Times New Roman"/>
          <w:noProof/>
          <w:color w:val="000000" w:themeColor="text1"/>
          <w:sz w:val="28"/>
          <w:szCs w:val="28"/>
          <w:lang w:val="en-US" w:eastAsia="ru-RU"/>
        </w:rPr>
      </w:pPr>
      <w:r w:rsidRPr="00CF6A71">
        <w:rPr>
          <w:rFonts w:ascii="Times New Roman" w:eastAsiaTheme="minorEastAsia" w:hAnsi="Times New Roman" w:cs="Times New Roman"/>
          <w:noProof/>
          <w:color w:val="000000" w:themeColor="text1"/>
          <w:sz w:val="28"/>
          <w:szCs w:val="28"/>
          <w:lang w:val="en-US" w:eastAsia="ru-RU"/>
        </w:rPr>
        <w:t>To increase efficiency through digitalization, it is necessary to learn how to use all the information that the power industry produces. According to estimates from the Ministry of energy of the Russian Federation, a thermal power plant produces about 2 terabytes of data, only 1-2% of which are structured and used. Digitalization should make these data available for analysis in order to apply better and faster management decisions based on them.</w:t>
      </w:r>
    </w:p>
    <w:p w:rsidR="00CF6A71" w:rsidRPr="00CF6A71" w:rsidRDefault="00CF6A71" w:rsidP="00CF6A71">
      <w:pPr>
        <w:spacing w:after="0" w:line="240" w:lineRule="auto"/>
        <w:ind w:firstLine="708"/>
        <w:jc w:val="both"/>
        <w:rPr>
          <w:rFonts w:ascii="Times New Roman" w:eastAsiaTheme="minorEastAsia" w:hAnsi="Times New Roman" w:cs="Times New Roman"/>
          <w:noProof/>
          <w:color w:val="000000" w:themeColor="text1"/>
          <w:sz w:val="28"/>
          <w:szCs w:val="28"/>
          <w:lang w:val="en-US" w:eastAsia="ru-RU"/>
        </w:rPr>
      </w:pPr>
      <w:r w:rsidRPr="00CF6A71">
        <w:rPr>
          <w:rFonts w:ascii="Times New Roman" w:eastAsiaTheme="minorEastAsia" w:hAnsi="Times New Roman" w:cs="Times New Roman"/>
          <w:noProof/>
          <w:color w:val="000000" w:themeColor="text1"/>
          <w:sz w:val="28"/>
          <w:szCs w:val="28"/>
          <w:lang w:val="en-US" w:eastAsia="ru-RU"/>
        </w:rPr>
        <w:t>Digitalization of the electric power industry in contrast to other technological trends that support the traditional, extensive development of the industry, allows you to reduce significantly the pace of this development without compromising the reliability and cost of energy supply. In other words, we are talking about a transition to a new technological paradigm in the electric power industry, which represents the organization of energy supply in the retail sector as an ecosystem of energy producers and consumers who seamlessly integrate into the overall infrastructure and exchange energy. This approach is also called «Internet of Energy».</w:t>
      </w:r>
    </w:p>
    <w:p w:rsidR="00CF6A71" w:rsidRPr="00CF6A71" w:rsidRDefault="00CF6A71" w:rsidP="00CF6A71">
      <w:pPr>
        <w:spacing w:after="0" w:line="240" w:lineRule="auto"/>
        <w:ind w:firstLine="708"/>
        <w:jc w:val="both"/>
        <w:rPr>
          <w:rFonts w:ascii="Times New Roman" w:eastAsiaTheme="minorEastAsia" w:hAnsi="Times New Roman" w:cs="Times New Roman"/>
          <w:noProof/>
          <w:color w:val="000000" w:themeColor="text1"/>
          <w:sz w:val="28"/>
          <w:szCs w:val="28"/>
          <w:lang w:val="en-US" w:eastAsia="ru-RU"/>
        </w:rPr>
      </w:pPr>
      <w:r w:rsidRPr="00CF6A71">
        <w:rPr>
          <w:rFonts w:ascii="Times New Roman" w:eastAsiaTheme="minorEastAsia" w:hAnsi="Times New Roman" w:cs="Times New Roman"/>
          <w:noProof/>
          <w:color w:val="000000" w:themeColor="text1"/>
          <w:sz w:val="28"/>
          <w:szCs w:val="28"/>
          <w:lang w:val="en-US" w:eastAsia="ru-RU"/>
        </w:rPr>
        <w:t>The result of this digital upgrade of the electric power industry should be a «smart» or intelligent energy system (IES). Representing a synthesis of electric power and information systems, the IES will have unique properties:</w:t>
      </w:r>
    </w:p>
    <w:p w:rsidR="00CF6A71" w:rsidRPr="00CF6A71" w:rsidRDefault="00CF6A71" w:rsidP="00CF6A71">
      <w:pPr>
        <w:spacing w:after="0" w:line="240" w:lineRule="auto"/>
        <w:ind w:firstLine="708"/>
        <w:jc w:val="both"/>
        <w:rPr>
          <w:rFonts w:ascii="Times New Roman" w:eastAsiaTheme="minorEastAsia" w:hAnsi="Times New Roman" w:cs="Times New Roman"/>
          <w:noProof/>
          <w:color w:val="000000" w:themeColor="text1"/>
          <w:sz w:val="28"/>
          <w:szCs w:val="28"/>
          <w:lang w:val="en-US" w:eastAsia="ru-RU"/>
        </w:rPr>
      </w:pPr>
      <w:r w:rsidRPr="00CF6A71">
        <w:rPr>
          <w:rFonts w:ascii="Times New Roman" w:eastAsiaTheme="minorEastAsia" w:hAnsi="Times New Roman" w:cs="Times New Roman"/>
          <w:noProof/>
          <w:color w:val="000000" w:themeColor="text1"/>
          <w:sz w:val="28"/>
          <w:szCs w:val="28"/>
          <w:lang w:val="en-US" w:eastAsia="ru-RU"/>
        </w:rPr>
        <w:t>- minimum restrictions for integration through a common electric network and a common electric mode of any types of objects of production, storage and consumption of electricity, optimal use of available energy sources based on centralized and distributed generation;</w:t>
      </w:r>
    </w:p>
    <w:p w:rsidR="00CF6A71" w:rsidRPr="00CF6A71" w:rsidRDefault="00CF6A71" w:rsidP="00CF6A71">
      <w:pPr>
        <w:spacing w:after="0" w:line="240" w:lineRule="auto"/>
        <w:ind w:firstLine="708"/>
        <w:jc w:val="both"/>
        <w:rPr>
          <w:rFonts w:ascii="Times New Roman" w:eastAsiaTheme="minorEastAsia" w:hAnsi="Times New Roman" w:cs="Times New Roman"/>
          <w:noProof/>
          <w:color w:val="000000" w:themeColor="text1"/>
          <w:sz w:val="28"/>
          <w:szCs w:val="28"/>
          <w:lang w:val="en-US" w:eastAsia="ru-RU"/>
        </w:rPr>
      </w:pPr>
      <w:r w:rsidRPr="00CF6A71">
        <w:rPr>
          <w:rFonts w:ascii="Times New Roman" w:eastAsiaTheme="minorEastAsia" w:hAnsi="Times New Roman" w:cs="Times New Roman"/>
          <w:noProof/>
          <w:color w:val="000000" w:themeColor="text1"/>
          <w:sz w:val="28"/>
          <w:szCs w:val="28"/>
          <w:lang w:val="en-US" w:eastAsia="ru-RU"/>
        </w:rPr>
        <w:t xml:space="preserve">- maximum observability of the state of the network and the system as a whole, flexibility (adaptability) of functioning and development, forecasting the </w:t>
      </w:r>
      <w:r w:rsidRPr="00CF6A71">
        <w:rPr>
          <w:rFonts w:ascii="Times New Roman" w:eastAsiaTheme="minorEastAsia" w:hAnsi="Times New Roman" w:cs="Times New Roman"/>
          <w:noProof/>
          <w:color w:val="000000" w:themeColor="text1"/>
          <w:sz w:val="28"/>
          <w:szCs w:val="28"/>
          <w:lang w:val="en-US" w:eastAsia="ru-RU"/>
        </w:rPr>
        <w:lastRenderedPageBreak/>
        <w:t>state in conditions of high uncertainty of modes, changes in the technological and spatial structure of electricity production and consumption under the influence of technological and economic (market) factors;</w:t>
      </w:r>
    </w:p>
    <w:p w:rsidR="00CF6A71" w:rsidRPr="00CF6A71" w:rsidRDefault="00CF6A71" w:rsidP="00CF6A71">
      <w:pPr>
        <w:spacing w:after="0" w:line="240" w:lineRule="auto"/>
        <w:ind w:firstLine="708"/>
        <w:jc w:val="both"/>
        <w:rPr>
          <w:rFonts w:ascii="Times New Roman" w:eastAsiaTheme="minorEastAsia" w:hAnsi="Times New Roman" w:cs="Times New Roman"/>
          <w:noProof/>
          <w:color w:val="000000" w:themeColor="text1"/>
          <w:sz w:val="28"/>
          <w:szCs w:val="28"/>
          <w:lang w:val="en-US" w:eastAsia="ru-RU"/>
        </w:rPr>
      </w:pPr>
      <w:r w:rsidRPr="00CF6A71">
        <w:rPr>
          <w:rFonts w:ascii="Times New Roman" w:eastAsiaTheme="minorEastAsia" w:hAnsi="Times New Roman" w:cs="Times New Roman"/>
          <w:noProof/>
          <w:color w:val="000000" w:themeColor="text1"/>
          <w:sz w:val="28"/>
          <w:szCs w:val="28"/>
          <w:lang w:val="en-US" w:eastAsia="ru-RU"/>
        </w:rPr>
        <w:t>- customer orientation, i.e. the priority of individual consumer requirements for efficiency , reliability and quality of energy supply , which implies taking into account their interests and behavioral strategies, active participation in market competition, the formation of flexible market demand for electricity, system and grid services.</w:t>
      </w:r>
    </w:p>
    <w:p w:rsidR="00CF6A71" w:rsidRPr="00CF6A71" w:rsidRDefault="00CF6A71" w:rsidP="00CF6A71">
      <w:pPr>
        <w:spacing w:after="0" w:line="240" w:lineRule="auto"/>
        <w:ind w:firstLine="708"/>
        <w:jc w:val="both"/>
        <w:rPr>
          <w:rFonts w:ascii="Times New Roman" w:eastAsiaTheme="minorEastAsia" w:hAnsi="Times New Roman" w:cs="Times New Roman"/>
          <w:noProof/>
          <w:color w:val="000000" w:themeColor="text1"/>
          <w:sz w:val="28"/>
          <w:szCs w:val="28"/>
          <w:lang w:val="en-US" w:eastAsia="ru-RU"/>
        </w:rPr>
      </w:pPr>
      <w:r w:rsidRPr="00CF6A71">
        <w:rPr>
          <w:rFonts w:ascii="Times New Roman" w:eastAsiaTheme="minorEastAsia" w:hAnsi="Times New Roman" w:cs="Times New Roman"/>
          <w:noProof/>
          <w:color w:val="000000" w:themeColor="text1"/>
          <w:sz w:val="28"/>
          <w:szCs w:val="28"/>
          <w:lang w:val="en-US" w:eastAsia="ru-RU"/>
        </w:rPr>
        <w:t>Unlike previous approaches to the development of electric power transition smart grid is more efficient to start from the bottom, from the consumer and the local energy supply systems, creating a distributed cluster of new energy industry, new market environment in the industry. And the experience of the world's largest economies shows the success of such initiatives.</w:t>
      </w:r>
    </w:p>
    <w:p w:rsidR="00CF6A71" w:rsidRPr="00CF6A71" w:rsidRDefault="00CF6A71" w:rsidP="00CF6A71">
      <w:pPr>
        <w:spacing w:after="0" w:line="240" w:lineRule="auto"/>
        <w:ind w:firstLine="708"/>
        <w:jc w:val="both"/>
        <w:rPr>
          <w:rFonts w:ascii="Times New Roman" w:eastAsiaTheme="minorEastAsia" w:hAnsi="Times New Roman" w:cs="Times New Roman"/>
          <w:noProof/>
          <w:color w:val="000000" w:themeColor="text1"/>
          <w:sz w:val="28"/>
          <w:szCs w:val="28"/>
          <w:lang w:val="en-US" w:eastAsia="ru-RU"/>
        </w:rPr>
      </w:pPr>
      <w:r w:rsidRPr="00CF6A71">
        <w:rPr>
          <w:rFonts w:ascii="Times New Roman" w:eastAsiaTheme="minorEastAsia" w:hAnsi="Times New Roman" w:cs="Times New Roman"/>
          <w:noProof/>
          <w:color w:val="000000" w:themeColor="text1"/>
          <w:sz w:val="28"/>
          <w:szCs w:val="28"/>
          <w:lang w:val="en-US" w:eastAsia="ru-RU"/>
        </w:rPr>
        <w:t>Intensive advances in the transition to digital, or rather, to intelligent electric power, which are carried out with the active support of the state in Europe, the United States, the BRICS countries, Japan, and Korea, leave a very narrow window of opportunity for implementing their unique national project in this area, creating appropriate technological competencies and ensuring their global competitiveness. The main outlines and technological directions of changes were included in the concept of implementation of the national project «Intelligent energy system of Russia», developed by the Ministry of energy of the Russian Federation in 2015. Probably as part of the strategy of transition to the digital economy these suggestions can and should receive a new sound and impetus for implementation, through the joint efforts of the state and leading industry corporate players.</w:t>
      </w:r>
    </w:p>
    <w:p w:rsidR="00CF6A71" w:rsidRPr="00CF6A71" w:rsidRDefault="00CF6A71" w:rsidP="00CF6A71">
      <w:pPr>
        <w:spacing w:after="0" w:line="240" w:lineRule="auto"/>
        <w:ind w:firstLine="708"/>
        <w:jc w:val="both"/>
        <w:rPr>
          <w:rFonts w:ascii="Times New Roman" w:eastAsiaTheme="minorEastAsia" w:hAnsi="Times New Roman" w:cs="Times New Roman"/>
          <w:noProof/>
          <w:color w:val="000000" w:themeColor="text1"/>
          <w:sz w:val="28"/>
          <w:szCs w:val="28"/>
          <w:lang w:val="en-US" w:eastAsia="ru-RU"/>
        </w:rPr>
      </w:pPr>
      <w:r w:rsidRPr="00CF6A71">
        <w:rPr>
          <w:rFonts w:ascii="Times New Roman" w:eastAsiaTheme="minorEastAsia" w:hAnsi="Times New Roman" w:cs="Times New Roman"/>
          <w:noProof/>
          <w:color w:val="000000" w:themeColor="text1"/>
          <w:sz w:val="28"/>
          <w:szCs w:val="28"/>
          <w:lang w:val="en-US" w:eastAsia="ru-RU"/>
        </w:rPr>
        <w:t>An obstacle to the implementation of the strategic maneuver is that in the current institutional environment, the main market players and infrastructure organizations are mostly not interested in moving to a new technology package and a new architecture in the industry. At the same time, retail consumers and distributed energy entities often remain outside the field of competitive mechanisms and face regulatory barriers to the implementation of new technological approaches to energy supply.</w:t>
      </w:r>
    </w:p>
    <w:p w:rsidR="00CF6A71" w:rsidRPr="00CF6A71" w:rsidRDefault="00CF6A71" w:rsidP="00CF6A71">
      <w:pPr>
        <w:spacing w:after="0" w:line="240" w:lineRule="auto"/>
        <w:ind w:firstLine="708"/>
        <w:jc w:val="both"/>
        <w:rPr>
          <w:rFonts w:ascii="Times New Roman" w:eastAsiaTheme="minorEastAsia" w:hAnsi="Times New Roman" w:cs="Times New Roman"/>
          <w:noProof/>
          <w:color w:val="000000" w:themeColor="text1"/>
          <w:sz w:val="28"/>
          <w:szCs w:val="28"/>
          <w:lang w:val="en-US" w:eastAsia="ru-RU"/>
        </w:rPr>
      </w:pPr>
      <w:r w:rsidRPr="00CF6A71">
        <w:rPr>
          <w:rFonts w:ascii="Times New Roman" w:eastAsiaTheme="minorEastAsia" w:hAnsi="Times New Roman" w:cs="Times New Roman"/>
          <w:noProof/>
          <w:color w:val="000000" w:themeColor="text1"/>
          <w:sz w:val="28"/>
          <w:szCs w:val="28"/>
          <w:lang w:val="en-US" w:eastAsia="ru-RU"/>
        </w:rPr>
        <w:t>In this regard, the determining condition for the development of new domestic power industry should be a change in the architecture of the retail sector of the electricity market, deregulation of economic relations of its subjects, the creation of simplified interfaces of technological and information interaction of distributed generation with the unified energy system, the establishment of distribution mechanisms system economic effect.</w:t>
      </w:r>
    </w:p>
    <w:p w:rsidR="00CF6A71" w:rsidRPr="00CF6A71" w:rsidRDefault="00CF6A71" w:rsidP="00CF6A71">
      <w:pPr>
        <w:spacing w:after="0" w:line="240" w:lineRule="auto"/>
        <w:ind w:firstLine="708"/>
        <w:jc w:val="both"/>
        <w:rPr>
          <w:rFonts w:ascii="Times New Roman" w:eastAsiaTheme="minorEastAsia" w:hAnsi="Times New Roman" w:cs="Times New Roman"/>
          <w:noProof/>
          <w:color w:val="000000" w:themeColor="text1"/>
          <w:sz w:val="28"/>
          <w:szCs w:val="28"/>
          <w:lang w:val="en-US" w:eastAsia="ru-RU"/>
        </w:rPr>
      </w:pPr>
      <w:r w:rsidRPr="00CF6A71">
        <w:rPr>
          <w:rFonts w:ascii="Times New Roman" w:eastAsiaTheme="minorEastAsia" w:hAnsi="Times New Roman" w:cs="Times New Roman"/>
          <w:noProof/>
          <w:color w:val="000000" w:themeColor="text1"/>
          <w:sz w:val="28"/>
          <w:szCs w:val="28"/>
          <w:lang w:val="en-US" w:eastAsia="ru-RU"/>
        </w:rPr>
        <w:t xml:space="preserve">These actions should lead to the emergence of a new class of market actors – active consumers and prosumers, operators of micro-energy systems and aggregators of distributed energy facilities, and various service organizations. This class of subjects will be interested in using new technologies and will create a demand for high-tech equipment and services. Consumers will have the opportunity to choose energy supply options, which will contribute to the development of competition in the industry. In addition, special attention can also </w:t>
      </w:r>
      <w:r w:rsidRPr="00CF6A71">
        <w:rPr>
          <w:rFonts w:ascii="Times New Roman" w:eastAsiaTheme="minorEastAsia" w:hAnsi="Times New Roman" w:cs="Times New Roman"/>
          <w:noProof/>
          <w:color w:val="000000" w:themeColor="text1"/>
          <w:sz w:val="28"/>
          <w:szCs w:val="28"/>
          <w:lang w:val="en-US" w:eastAsia="ru-RU"/>
        </w:rPr>
        <w:lastRenderedPageBreak/>
        <w:t>be paid to the intensification of the processes of creating, testing and implementing new technologies and practices in the industry. The result of the strategic maneuver should be an increase in the attractiveness of the domestic electricity sector for investors.</w:t>
      </w:r>
    </w:p>
    <w:p w:rsidR="00CF6A71" w:rsidRPr="00CF6A71" w:rsidRDefault="00CF6A71" w:rsidP="00CF6A71">
      <w:pPr>
        <w:spacing w:after="0" w:line="240" w:lineRule="auto"/>
        <w:ind w:firstLine="708"/>
        <w:jc w:val="both"/>
        <w:rPr>
          <w:rFonts w:ascii="Times New Roman" w:eastAsiaTheme="minorEastAsia" w:hAnsi="Times New Roman" w:cs="Times New Roman"/>
          <w:noProof/>
          <w:color w:val="000000" w:themeColor="text1"/>
          <w:sz w:val="28"/>
          <w:szCs w:val="28"/>
          <w:lang w:val="en-US" w:eastAsia="ru-RU"/>
        </w:rPr>
      </w:pPr>
      <w:r w:rsidRPr="00CF6A71">
        <w:rPr>
          <w:rFonts w:ascii="Times New Roman" w:eastAsiaTheme="minorEastAsia" w:hAnsi="Times New Roman" w:cs="Times New Roman"/>
          <w:noProof/>
          <w:color w:val="000000" w:themeColor="text1"/>
          <w:sz w:val="28"/>
          <w:szCs w:val="28"/>
          <w:lang w:val="en-US" w:eastAsia="ru-RU"/>
        </w:rPr>
        <w:t>In order to implement the digital transformation of the energy sector, the government should develop measures to encourage the use of modern innovative solutions in the power industry, and develop a long-term program to support the export of high-tech products and services in the power industry. This will create prerequisites for curbing the growth of electricity prices by increasing the efficiency of using generating and network capacities, significantly reducing the need for new capacity, reducing energy losses, and reducing the cost of ownership of the basic infrastructure. In addition, scientific, technological and industrial potential will be formed for large-scale export of equipment, systems and services to global markets.</w:t>
      </w:r>
    </w:p>
    <w:p w:rsidR="00CF6A71" w:rsidRPr="00CF6A71" w:rsidRDefault="00CF6A71" w:rsidP="00CF6A71">
      <w:pPr>
        <w:spacing w:after="0" w:line="240" w:lineRule="auto"/>
        <w:ind w:firstLine="708"/>
        <w:jc w:val="both"/>
        <w:rPr>
          <w:rFonts w:ascii="Times New Roman" w:eastAsiaTheme="minorEastAsia" w:hAnsi="Times New Roman" w:cs="Times New Roman"/>
          <w:noProof/>
          <w:color w:val="000000" w:themeColor="text1"/>
          <w:sz w:val="28"/>
          <w:szCs w:val="28"/>
          <w:lang w:val="en-US" w:eastAsia="ru-RU"/>
        </w:rPr>
      </w:pPr>
      <w:r w:rsidRPr="00CF6A71">
        <w:rPr>
          <w:rFonts w:ascii="Times New Roman" w:eastAsiaTheme="minorEastAsia" w:hAnsi="Times New Roman" w:cs="Times New Roman"/>
          <w:noProof/>
          <w:color w:val="000000" w:themeColor="text1"/>
          <w:sz w:val="28"/>
          <w:szCs w:val="28"/>
          <w:lang w:val="en-US" w:eastAsia="ru-RU"/>
        </w:rPr>
        <w:t>The emergence of new technologies in the financial sector (Blockchain, Smart Contract, Decentralized Autonomous Organizations) creates opportunities for large-scale attraction of private investment in the energy sector, monetization of consumer services, and the formation of various energy exchange practices.</w:t>
      </w:r>
    </w:p>
    <w:p w:rsidR="00CF6A71" w:rsidRPr="00CF6A71" w:rsidRDefault="00CF6A71" w:rsidP="00CF6A71">
      <w:pPr>
        <w:spacing w:after="0" w:line="240" w:lineRule="auto"/>
        <w:ind w:firstLine="708"/>
        <w:jc w:val="both"/>
        <w:rPr>
          <w:rFonts w:ascii="Times New Roman" w:eastAsiaTheme="minorEastAsia" w:hAnsi="Times New Roman" w:cs="Times New Roman"/>
          <w:noProof/>
          <w:color w:val="000000" w:themeColor="text1"/>
          <w:sz w:val="28"/>
          <w:szCs w:val="28"/>
          <w:lang w:val="en-US" w:eastAsia="ru-RU"/>
        </w:rPr>
      </w:pPr>
      <w:r w:rsidRPr="00CF6A71">
        <w:rPr>
          <w:rFonts w:ascii="Times New Roman" w:eastAsiaTheme="minorEastAsia" w:hAnsi="Times New Roman" w:cs="Times New Roman"/>
          <w:noProof/>
          <w:color w:val="000000" w:themeColor="text1"/>
          <w:sz w:val="28"/>
          <w:szCs w:val="28"/>
          <w:lang w:val="en-US" w:eastAsia="ru-RU"/>
        </w:rPr>
        <w:t>Thus, ignoring the facts of change in the technological model of electricity generation and the associated challenges and developments in the industry may entail a risk to more expensive and less flexible power generation compared to other industrialized countries, to lose a number of new markets (for example, market of energy storage), can significantly limit the development of new (digital) industries, as well as the risk of not finding high-tech jobs in the area of advanced energy technologies, industries and services.</w:t>
      </w:r>
    </w:p>
    <w:tbl>
      <w:tblPr>
        <w:tblStyle w:val="a3"/>
        <w:tblW w:w="491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
        <w:gridCol w:w="8862"/>
      </w:tblGrid>
      <w:tr w:rsidR="00CF6A71" w:rsidRPr="00CF6A71" w:rsidTr="00B36FDB">
        <w:trPr>
          <w:jc w:val="center"/>
        </w:trPr>
        <w:tc>
          <w:tcPr>
            <w:tcW w:w="5000" w:type="pct"/>
            <w:gridSpan w:val="2"/>
          </w:tcPr>
          <w:p w:rsidR="00CF6A71" w:rsidRPr="00CF6A71" w:rsidRDefault="00CF6A71" w:rsidP="00CF6A71">
            <w:pPr>
              <w:contextualSpacing/>
              <w:jc w:val="both"/>
              <w:rPr>
                <w:color w:val="000000" w:themeColor="text1"/>
                <w:sz w:val="24"/>
                <w:lang w:val="en-US"/>
              </w:rPr>
            </w:pPr>
          </w:p>
        </w:tc>
      </w:tr>
      <w:tr w:rsidR="00CF6A71" w:rsidRPr="00CF6A71" w:rsidTr="00B36FDB">
        <w:trPr>
          <w:jc w:val="center"/>
        </w:trPr>
        <w:tc>
          <w:tcPr>
            <w:tcW w:w="5000" w:type="pct"/>
            <w:gridSpan w:val="2"/>
          </w:tcPr>
          <w:p w:rsidR="00CF6A71" w:rsidRPr="00CF6A71" w:rsidRDefault="00CF6A71" w:rsidP="00CF6A71">
            <w:pPr>
              <w:jc w:val="center"/>
              <w:rPr>
                <w:b/>
                <w:color w:val="000000" w:themeColor="text1"/>
                <w:szCs w:val="28"/>
              </w:rPr>
            </w:pPr>
            <w:proofErr w:type="spellStart"/>
            <w:r w:rsidRPr="00CF6A71">
              <w:rPr>
                <w:b/>
                <w:color w:val="000000" w:themeColor="text1"/>
                <w:szCs w:val="28"/>
              </w:rPr>
              <w:t>List</w:t>
            </w:r>
            <w:proofErr w:type="spellEnd"/>
            <w:r w:rsidRPr="00CF6A71">
              <w:rPr>
                <w:b/>
                <w:color w:val="000000" w:themeColor="text1"/>
                <w:szCs w:val="28"/>
              </w:rPr>
              <w:t xml:space="preserve"> </w:t>
            </w:r>
            <w:proofErr w:type="spellStart"/>
            <w:r w:rsidRPr="00CF6A71">
              <w:rPr>
                <w:b/>
                <w:color w:val="000000" w:themeColor="text1"/>
                <w:szCs w:val="28"/>
              </w:rPr>
              <w:t>of</w:t>
            </w:r>
            <w:proofErr w:type="spellEnd"/>
            <w:r w:rsidRPr="00CF6A71">
              <w:rPr>
                <w:b/>
                <w:color w:val="000000" w:themeColor="text1"/>
                <w:szCs w:val="28"/>
              </w:rPr>
              <w:t xml:space="preserve"> </w:t>
            </w:r>
            <w:proofErr w:type="spellStart"/>
            <w:r w:rsidRPr="00CF6A71">
              <w:rPr>
                <w:b/>
                <w:color w:val="000000" w:themeColor="text1"/>
                <w:szCs w:val="28"/>
              </w:rPr>
              <w:t>references</w:t>
            </w:r>
            <w:proofErr w:type="spellEnd"/>
          </w:p>
        </w:tc>
      </w:tr>
      <w:tr w:rsidR="00CF6A71" w:rsidRPr="00CF6A71" w:rsidTr="00B36FDB">
        <w:trPr>
          <w:jc w:val="center"/>
        </w:trPr>
        <w:tc>
          <w:tcPr>
            <w:tcW w:w="293" w:type="pct"/>
          </w:tcPr>
          <w:p w:rsidR="00CF6A71" w:rsidRPr="00CF6A71" w:rsidRDefault="00CF6A71" w:rsidP="00CF6A71">
            <w:pPr>
              <w:widowControl w:val="0"/>
              <w:numPr>
                <w:ilvl w:val="0"/>
                <w:numId w:val="1"/>
              </w:numPr>
              <w:contextualSpacing/>
              <w:jc w:val="both"/>
              <w:rPr>
                <w:color w:val="000000" w:themeColor="text1"/>
                <w:sz w:val="24"/>
              </w:rPr>
            </w:pPr>
          </w:p>
        </w:tc>
        <w:tc>
          <w:tcPr>
            <w:tcW w:w="4707" w:type="pct"/>
          </w:tcPr>
          <w:p w:rsidR="00CF6A71" w:rsidRPr="00CF6A71" w:rsidRDefault="00CF6A71" w:rsidP="00CF6A71">
            <w:pPr>
              <w:contextualSpacing/>
              <w:jc w:val="both"/>
              <w:rPr>
                <w:color w:val="000000" w:themeColor="text1"/>
                <w:sz w:val="24"/>
              </w:rPr>
            </w:pPr>
            <w:r w:rsidRPr="00CF6A71">
              <w:rPr>
                <w:noProof/>
                <w:color w:val="000000" w:themeColor="text1"/>
                <w:sz w:val="24"/>
                <w:szCs w:val="28"/>
                <w:lang w:eastAsia="ru-RU"/>
              </w:rPr>
              <w:t>Макаров, А.А., Митрова, Т.А, Кулагин, В.А. Прогноз развития энергетики мира и России 2019 / А.</w:t>
            </w:r>
            <w:r w:rsidRPr="00CF6A71">
              <w:rPr>
                <w:noProof/>
                <w:color w:val="000000" w:themeColor="text1"/>
                <w:sz w:val="24"/>
                <w:szCs w:val="28"/>
                <w:lang w:val="en-US" w:eastAsia="ru-RU"/>
              </w:rPr>
              <w:t> </w:t>
            </w:r>
            <w:r w:rsidRPr="00CF6A71">
              <w:rPr>
                <w:noProof/>
                <w:color w:val="000000" w:themeColor="text1"/>
                <w:sz w:val="24"/>
                <w:szCs w:val="28"/>
                <w:lang w:eastAsia="ru-RU"/>
              </w:rPr>
              <w:t>А.</w:t>
            </w:r>
            <w:r w:rsidRPr="00CF6A71">
              <w:rPr>
                <w:noProof/>
                <w:color w:val="000000" w:themeColor="text1"/>
                <w:sz w:val="24"/>
                <w:szCs w:val="28"/>
                <w:lang w:val="en-US" w:eastAsia="ru-RU"/>
              </w:rPr>
              <w:t> </w:t>
            </w:r>
            <w:r w:rsidRPr="00CF6A71">
              <w:rPr>
                <w:noProof/>
                <w:color w:val="000000" w:themeColor="text1"/>
                <w:sz w:val="24"/>
                <w:szCs w:val="28"/>
                <w:lang w:eastAsia="ru-RU"/>
              </w:rPr>
              <w:t>Макаров, Т.</w:t>
            </w:r>
            <w:r w:rsidRPr="00CF6A71">
              <w:rPr>
                <w:noProof/>
                <w:color w:val="000000" w:themeColor="text1"/>
                <w:sz w:val="24"/>
                <w:szCs w:val="28"/>
                <w:lang w:val="en-US" w:eastAsia="ru-RU"/>
              </w:rPr>
              <w:t> </w:t>
            </w:r>
            <w:r w:rsidRPr="00CF6A71">
              <w:rPr>
                <w:noProof/>
                <w:color w:val="000000" w:themeColor="text1"/>
                <w:sz w:val="24"/>
                <w:szCs w:val="28"/>
                <w:lang w:eastAsia="ru-RU"/>
              </w:rPr>
              <w:t>А.</w:t>
            </w:r>
            <w:r w:rsidRPr="00CF6A71">
              <w:rPr>
                <w:noProof/>
                <w:color w:val="000000" w:themeColor="text1"/>
                <w:sz w:val="24"/>
                <w:szCs w:val="28"/>
                <w:lang w:val="en-US" w:eastAsia="ru-RU"/>
              </w:rPr>
              <w:t> </w:t>
            </w:r>
            <w:r w:rsidRPr="00CF6A71">
              <w:rPr>
                <w:noProof/>
                <w:color w:val="000000" w:themeColor="text1"/>
                <w:sz w:val="24"/>
                <w:szCs w:val="28"/>
                <w:lang w:eastAsia="ru-RU"/>
              </w:rPr>
              <w:t>Митрова, В.</w:t>
            </w:r>
            <w:r w:rsidRPr="00CF6A71">
              <w:rPr>
                <w:noProof/>
                <w:color w:val="000000" w:themeColor="text1"/>
                <w:sz w:val="24"/>
                <w:szCs w:val="28"/>
                <w:lang w:val="en-US" w:eastAsia="ru-RU"/>
              </w:rPr>
              <w:t> </w:t>
            </w:r>
            <w:r w:rsidRPr="00CF6A71">
              <w:rPr>
                <w:noProof/>
                <w:color w:val="000000" w:themeColor="text1"/>
                <w:sz w:val="24"/>
                <w:szCs w:val="28"/>
                <w:lang w:eastAsia="ru-RU"/>
              </w:rPr>
              <w:t>А. Кулагин // ИНЭИ РАН – Московская школа управления СКОЛКОВО – Москва, 2019. – 210 с.</w:t>
            </w:r>
          </w:p>
        </w:tc>
      </w:tr>
      <w:tr w:rsidR="00CF6A71" w:rsidRPr="00CF6A71" w:rsidTr="00B36FDB">
        <w:trPr>
          <w:jc w:val="center"/>
        </w:trPr>
        <w:tc>
          <w:tcPr>
            <w:tcW w:w="293" w:type="pct"/>
          </w:tcPr>
          <w:p w:rsidR="00CF6A71" w:rsidRPr="00CF6A71" w:rsidRDefault="00CF6A71" w:rsidP="00CF6A71">
            <w:pPr>
              <w:widowControl w:val="0"/>
              <w:numPr>
                <w:ilvl w:val="0"/>
                <w:numId w:val="1"/>
              </w:numPr>
              <w:contextualSpacing/>
              <w:jc w:val="both"/>
              <w:rPr>
                <w:color w:val="000000" w:themeColor="text1"/>
                <w:sz w:val="24"/>
              </w:rPr>
            </w:pPr>
          </w:p>
        </w:tc>
        <w:tc>
          <w:tcPr>
            <w:tcW w:w="4707" w:type="pct"/>
          </w:tcPr>
          <w:p w:rsidR="00CF6A71" w:rsidRPr="00CF6A71" w:rsidRDefault="00CF6A71" w:rsidP="00CF6A71">
            <w:pPr>
              <w:contextualSpacing/>
              <w:jc w:val="both"/>
              <w:rPr>
                <w:color w:val="000000" w:themeColor="text1"/>
                <w:sz w:val="24"/>
              </w:rPr>
            </w:pPr>
            <w:r w:rsidRPr="00CF6A71">
              <w:rPr>
                <w:noProof/>
                <w:color w:val="000000" w:themeColor="text1"/>
                <w:sz w:val="24"/>
                <w:szCs w:val="28"/>
                <w:lang w:eastAsia="ru-RU"/>
              </w:rPr>
              <w:t>Ткаченко, С.</w:t>
            </w:r>
            <w:r w:rsidRPr="00CF6A71">
              <w:rPr>
                <w:noProof/>
                <w:color w:val="000000" w:themeColor="text1"/>
                <w:sz w:val="24"/>
                <w:szCs w:val="28"/>
                <w:lang w:val="en-US" w:eastAsia="ru-RU"/>
              </w:rPr>
              <w:t> </w:t>
            </w:r>
            <w:r w:rsidRPr="00CF6A71">
              <w:rPr>
                <w:noProof/>
                <w:color w:val="000000" w:themeColor="text1"/>
                <w:sz w:val="24"/>
                <w:szCs w:val="28"/>
                <w:lang w:eastAsia="ru-RU"/>
              </w:rPr>
              <w:t>Н. К вопросу анализа влияния энергетического перехода на экономику стран / С.</w:t>
            </w:r>
            <w:r w:rsidRPr="00CF6A71">
              <w:rPr>
                <w:noProof/>
                <w:color w:val="000000" w:themeColor="text1"/>
                <w:sz w:val="24"/>
                <w:szCs w:val="28"/>
                <w:lang w:val="en-US" w:eastAsia="ru-RU"/>
              </w:rPr>
              <w:t> </w:t>
            </w:r>
            <w:r w:rsidRPr="00CF6A71">
              <w:rPr>
                <w:noProof/>
                <w:color w:val="000000" w:themeColor="text1"/>
                <w:sz w:val="24"/>
                <w:szCs w:val="28"/>
                <w:lang w:eastAsia="ru-RU"/>
              </w:rPr>
              <w:t>Н.</w:t>
            </w:r>
            <w:r w:rsidRPr="00CF6A71">
              <w:rPr>
                <w:noProof/>
                <w:color w:val="000000" w:themeColor="text1"/>
                <w:sz w:val="24"/>
                <w:szCs w:val="28"/>
                <w:lang w:val="en-US" w:eastAsia="ru-RU"/>
              </w:rPr>
              <w:t> </w:t>
            </w:r>
            <w:r w:rsidRPr="00CF6A71">
              <w:rPr>
                <w:noProof/>
                <w:color w:val="000000" w:themeColor="text1"/>
                <w:sz w:val="24"/>
                <w:szCs w:val="28"/>
                <w:lang w:eastAsia="ru-RU"/>
              </w:rPr>
              <w:t>Ткаченко, Е.</w:t>
            </w:r>
            <w:r w:rsidRPr="00CF6A71">
              <w:rPr>
                <w:noProof/>
                <w:color w:val="000000" w:themeColor="text1"/>
                <w:sz w:val="24"/>
                <w:szCs w:val="28"/>
                <w:lang w:val="en-US" w:eastAsia="ru-RU"/>
              </w:rPr>
              <w:t> </w:t>
            </w:r>
            <w:r w:rsidRPr="00CF6A71">
              <w:rPr>
                <w:noProof/>
                <w:color w:val="000000" w:themeColor="text1"/>
                <w:sz w:val="24"/>
                <w:szCs w:val="28"/>
                <w:lang w:eastAsia="ru-RU"/>
              </w:rPr>
              <w:t>Е.</w:t>
            </w:r>
            <w:r w:rsidRPr="00CF6A71">
              <w:rPr>
                <w:noProof/>
                <w:color w:val="000000" w:themeColor="text1"/>
                <w:sz w:val="24"/>
                <w:szCs w:val="28"/>
                <w:lang w:val="en-US" w:eastAsia="ru-RU"/>
              </w:rPr>
              <w:t> </w:t>
            </w:r>
            <w:r w:rsidRPr="00CF6A71">
              <w:rPr>
                <w:noProof/>
                <w:color w:val="000000" w:themeColor="text1"/>
                <w:sz w:val="24"/>
                <w:szCs w:val="28"/>
                <w:lang w:eastAsia="ru-RU"/>
              </w:rPr>
              <w:t xml:space="preserve">Корытченкова // Материалы II Республиканской (с международным участием) научно-практической конференции – Донецкий национальный технический университет, Донецк, 2019. – </w:t>
            </w:r>
            <w:r w:rsidRPr="00CF6A71">
              <w:rPr>
                <w:noProof/>
                <w:color w:val="000000" w:themeColor="text1"/>
                <w:sz w:val="24"/>
                <w:szCs w:val="28"/>
                <w:lang w:val="en-US" w:eastAsia="ru-RU"/>
              </w:rPr>
              <w:t>C</w:t>
            </w:r>
            <w:r w:rsidRPr="00CF6A71">
              <w:rPr>
                <w:noProof/>
                <w:color w:val="000000" w:themeColor="text1"/>
                <w:sz w:val="24"/>
                <w:szCs w:val="28"/>
                <w:lang w:eastAsia="ru-RU"/>
              </w:rPr>
              <w:t>. 44-48.</w:t>
            </w:r>
          </w:p>
        </w:tc>
      </w:tr>
      <w:tr w:rsidR="00CF6A71" w:rsidRPr="00CF6A71" w:rsidTr="00B36FDB">
        <w:trPr>
          <w:jc w:val="center"/>
        </w:trPr>
        <w:tc>
          <w:tcPr>
            <w:tcW w:w="293" w:type="pct"/>
          </w:tcPr>
          <w:p w:rsidR="00CF6A71" w:rsidRPr="00CF6A71" w:rsidRDefault="00CF6A71" w:rsidP="00CF6A71">
            <w:pPr>
              <w:widowControl w:val="0"/>
              <w:numPr>
                <w:ilvl w:val="0"/>
                <w:numId w:val="1"/>
              </w:numPr>
              <w:contextualSpacing/>
              <w:jc w:val="both"/>
              <w:rPr>
                <w:color w:val="000000" w:themeColor="text1"/>
                <w:sz w:val="24"/>
              </w:rPr>
            </w:pPr>
          </w:p>
        </w:tc>
        <w:tc>
          <w:tcPr>
            <w:tcW w:w="4707" w:type="pct"/>
          </w:tcPr>
          <w:p w:rsidR="00CF6A71" w:rsidRPr="00CF6A71" w:rsidRDefault="00CF6A71" w:rsidP="00CF6A71">
            <w:pPr>
              <w:contextualSpacing/>
              <w:jc w:val="both"/>
              <w:rPr>
                <w:color w:val="000000" w:themeColor="text1"/>
                <w:sz w:val="24"/>
              </w:rPr>
            </w:pPr>
            <w:r w:rsidRPr="00CF6A71">
              <w:rPr>
                <w:noProof/>
                <w:color w:val="000000" w:themeColor="text1"/>
                <w:sz w:val="24"/>
                <w:szCs w:val="28"/>
                <w:lang w:eastAsia="ru-RU"/>
              </w:rPr>
              <w:t>Княгинин, В.Н., Холкин, Д.В. Цифровой переход в электроэнергетике России / В.</w:t>
            </w:r>
            <w:r w:rsidRPr="00CF6A71">
              <w:rPr>
                <w:noProof/>
                <w:color w:val="000000" w:themeColor="text1"/>
                <w:sz w:val="24"/>
                <w:szCs w:val="28"/>
                <w:lang w:val="en-US" w:eastAsia="ru-RU"/>
              </w:rPr>
              <w:t> </w:t>
            </w:r>
            <w:r w:rsidRPr="00CF6A71">
              <w:rPr>
                <w:noProof/>
                <w:color w:val="000000" w:themeColor="text1"/>
                <w:sz w:val="24"/>
                <w:szCs w:val="28"/>
                <w:lang w:eastAsia="ru-RU"/>
              </w:rPr>
              <w:t>Н.</w:t>
            </w:r>
            <w:r w:rsidRPr="00CF6A71">
              <w:rPr>
                <w:noProof/>
                <w:color w:val="000000" w:themeColor="text1"/>
                <w:sz w:val="24"/>
                <w:szCs w:val="28"/>
                <w:lang w:val="en-US" w:eastAsia="ru-RU"/>
              </w:rPr>
              <w:t> </w:t>
            </w:r>
            <w:r w:rsidRPr="00CF6A71">
              <w:rPr>
                <w:noProof/>
                <w:color w:val="000000" w:themeColor="text1"/>
                <w:sz w:val="24"/>
                <w:szCs w:val="28"/>
                <w:lang w:eastAsia="ru-RU"/>
              </w:rPr>
              <w:t>Княгинин, Д.</w:t>
            </w:r>
            <w:r w:rsidRPr="00CF6A71">
              <w:rPr>
                <w:noProof/>
                <w:color w:val="000000" w:themeColor="text1"/>
                <w:sz w:val="24"/>
                <w:szCs w:val="28"/>
                <w:lang w:val="en-US" w:eastAsia="ru-RU"/>
              </w:rPr>
              <w:t> </w:t>
            </w:r>
            <w:r w:rsidRPr="00CF6A71">
              <w:rPr>
                <w:noProof/>
                <w:color w:val="000000" w:themeColor="text1"/>
                <w:sz w:val="24"/>
                <w:szCs w:val="28"/>
                <w:lang w:eastAsia="ru-RU"/>
              </w:rPr>
              <w:t>В.</w:t>
            </w:r>
            <w:r w:rsidRPr="00CF6A71">
              <w:rPr>
                <w:noProof/>
                <w:color w:val="000000" w:themeColor="text1"/>
                <w:sz w:val="24"/>
                <w:szCs w:val="28"/>
                <w:lang w:val="en-US" w:eastAsia="ru-RU"/>
              </w:rPr>
              <w:t> </w:t>
            </w:r>
            <w:r w:rsidRPr="00CF6A71">
              <w:rPr>
                <w:noProof/>
                <w:color w:val="000000" w:themeColor="text1"/>
                <w:sz w:val="24"/>
                <w:szCs w:val="28"/>
                <w:lang w:eastAsia="ru-RU"/>
              </w:rPr>
              <w:t>Холкин // Экспертно-аналитический доклад – Москва, 2017. – 47 с.</w:t>
            </w:r>
          </w:p>
        </w:tc>
      </w:tr>
    </w:tbl>
    <w:p w:rsidR="00527BFF" w:rsidRDefault="00527BFF">
      <w:bookmarkStart w:id="2" w:name="_GoBack"/>
      <w:bookmarkEnd w:id="2"/>
    </w:p>
    <w:sectPr w:rsidR="00527B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Полужирный">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5E7CED"/>
    <w:multiLevelType w:val="hybridMultilevel"/>
    <w:tmpl w:val="305E0C0A"/>
    <w:lvl w:ilvl="0" w:tplc="4B42B722">
      <w:start w:val="1"/>
      <w:numFmt w:val="decimal"/>
      <w:lvlText w:val="%1."/>
      <w:lvlJc w:val="left"/>
      <w:pPr>
        <w:ind w:left="360" w:hanging="360"/>
      </w:pPr>
      <w:rPr>
        <w:rFonts w:ascii="Times New Roman" w:hAnsi="Times New Roman" w:cs="Arial" w:hint="default"/>
        <w:b w:val="0"/>
        <w:i w:val="0"/>
        <w:strike w:val="0"/>
        <w:dstrike w:val="0"/>
        <w:color w:val="000000"/>
        <w:spacing w:val="0"/>
        <w:w w:val="100"/>
        <w:position w:val="0"/>
        <w:sz w:val="24"/>
        <w:szCs w:val="24"/>
        <w:u w:val="none" w:color="00000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A71"/>
    <w:rsid w:val="00527BFF"/>
    <w:rsid w:val="00CF6A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F6A71"/>
    <w:pPr>
      <w:spacing w:after="0" w:line="240" w:lineRule="auto"/>
    </w:pPr>
    <w:rPr>
      <w:rFonts w:ascii="Times New Roman" w:eastAsiaTheme="minorEastAsia"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F6A71"/>
    <w:pPr>
      <w:spacing w:after="0" w:line="240" w:lineRule="auto"/>
    </w:pPr>
    <w:rPr>
      <w:rFonts w:ascii="Times New Roman" w:eastAsiaTheme="minorEastAsia"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2153</Words>
  <Characters>12275</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2020-06-15T14:47:00Z</dcterms:created>
  <dcterms:modified xsi:type="dcterms:W3CDTF">2020-06-15T14:59:00Z</dcterms:modified>
</cp:coreProperties>
</file>