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C02" w:rsidRPr="0010398A" w:rsidRDefault="000E0C02" w:rsidP="000E0C02">
      <w:pPr>
        <w:widowControl w:val="0"/>
        <w:rPr>
          <w:lang w:val="uk-UA"/>
        </w:rPr>
      </w:pPr>
      <w:r w:rsidRPr="00684D08">
        <w:rPr>
          <w:lang w:val="uk-UA"/>
        </w:rPr>
        <w:t xml:space="preserve">ЧЄЧЄНЄВА Е.Р., </w:t>
      </w:r>
      <w:proofErr w:type="spellStart"/>
      <w:r w:rsidRPr="00684D08">
        <w:rPr>
          <w:lang w:val="uk-UA"/>
        </w:rPr>
        <w:t>ст.гр</w:t>
      </w:r>
      <w:proofErr w:type="spellEnd"/>
      <w:r w:rsidRPr="00684D08">
        <w:rPr>
          <w:lang w:val="uk-UA"/>
        </w:rPr>
        <w:t xml:space="preserve">. </w:t>
      </w:r>
      <w:proofErr w:type="spellStart"/>
      <w:r w:rsidRPr="00684D08">
        <w:rPr>
          <w:lang w:val="uk-UA"/>
        </w:rPr>
        <w:t>МО</w:t>
      </w:r>
      <w:proofErr w:type="spellEnd"/>
      <w:r w:rsidRPr="00684D08">
        <w:rPr>
          <w:lang w:val="uk-UA"/>
        </w:rPr>
        <w:t xml:space="preserve"> 07-б</w:t>
      </w:r>
    </w:p>
    <w:p w:rsidR="000E0C02" w:rsidRPr="0010398A" w:rsidRDefault="000E0C02" w:rsidP="000E0C02">
      <w:pPr>
        <w:widowControl w:val="0"/>
        <w:rPr>
          <w:lang w:val="uk-UA"/>
        </w:rPr>
      </w:pPr>
      <w:proofErr w:type="spellStart"/>
      <w:r w:rsidRPr="0010398A">
        <w:rPr>
          <w:lang w:val="uk-UA"/>
        </w:rPr>
        <w:t>Наук.керів</w:t>
      </w:r>
      <w:proofErr w:type="spellEnd"/>
      <w:r w:rsidRPr="0010398A">
        <w:rPr>
          <w:lang w:val="uk-UA"/>
        </w:rPr>
        <w:t xml:space="preserve">.: </w:t>
      </w:r>
      <w:proofErr w:type="spellStart"/>
      <w:r w:rsidRPr="0010398A">
        <w:rPr>
          <w:lang w:val="uk-UA"/>
        </w:rPr>
        <w:t>Заглада</w:t>
      </w:r>
      <w:proofErr w:type="spellEnd"/>
      <w:r w:rsidRPr="0010398A">
        <w:rPr>
          <w:lang w:val="uk-UA"/>
        </w:rPr>
        <w:t xml:space="preserve"> Р.Ю.</w:t>
      </w:r>
      <w:r>
        <w:rPr>
          <w:lang w:val="uk-UA"/>
        </w:rPr>
        <w:t xml:space="preserve">, </w:t>
      </w:r>
      <w:proofErr w:type="spellStart"/>
      <w:r w:rsidRPr="0010398A">
        <w:rPr>
          <w:lang w:val="uk-UA"/>
        </w:rPr>
        <w:t>к.е.н</w:t>
      </w:r>
      <w:proofErr w:type="spellEnd"/>
      <w:r w:rsidRPr="0010398A">
        <w:rPr>
          <w:lang w:val="uk-UA"/>
        </w:rPr>
        <w:t>., доц.</w:t>
      </w:r>
    </w:p>
    <w:p w:rsidR="000E0C02" w:rsidRDefault="000E0C02" w:rsidP="000E0C02">
      <w:pPr>
        <w:widowControl w:val="0"/>
        <w:rPr>
          <w:lang w:val="uk-UA"/>
        </w:rPr>
      </w:pPr>
      <w:r w:rsidRPr="0010398A">
        <w:rPr>
          <w:lang w:val="uk-UA"/>
        </w:rPr>
        <w:t>Автомобільно-дорожній інститут Держав</w:t>
      </w:r>
      <w:r>
        <w:rPr>
          <w:lang w:val="uk-UA"/>
        </w:rPr>
        <w:t>ного вищого навчального закладу</w:t>
      </w:r>
    </w:p>
    <w:p w:rsidR="000E0C02" w:rsidRPr="0010398A" w:rsidRDefault="000E0C02" w:rsidP="000E0C02">
      <w:pPr>
        <w:widowControl w:val="0"/>
        <w:rPr>
          <w:lang w:val="uk-UA"/>
        </w:rPr>
      </w:pPr>
      <w:r w:rsidRPr="0010398A">
        <w:rPr>
          <w:lang w:val="uk-UA"/>
        </w:rPr>
        <w:t>«Донецький національний технічний університет»</w:t>
      </w:r>
      <w:r>
        <w:rPr>
          <w:lang w:val="uk-UA"/>
        </w:rPr>
        <w:t>,</w:t>
      </w:r>
    </w:p>
    <w:p w:rsidR="000E0C02" w:rsidRPr="0010398A" w:rsidRDefault="000E0C02" w:rsidP="000E0C02">
      <w:pPr>
        <w:widowControl w:val="0"/>
        <w:rPr>
          <w:lang w:val="uk-UA"/>
        </w:rPr>
      </w:pPr>
      <w:r w:rsidRPr="0010398A">
        <w:rPr>
          <w:lang w:val="uk-UA"/>
        </w:rPr>
        <w:t>м. Горлівка</w:t>
      </w:r>
    </w:p>
    <w:p w:rsidR="000E0C02" w:rsidRPr="0010398A" w:rsidRDefault="000E0C02" w:rsidP="000E0C02">
      <w:pPr>
        <w:widowControl w:val="0"/>
        <w:rPr>
          <w:lang w:val="uk-UA"/>
        </w:rPr>
      </w:pPr>
    </w:p>
    <w:p w:rsidR="000E0C02" w:rsidRPr="0010398A" w:rsidRDefault="000E0C02" w:rsidP="000E0C02">
      <w:pPr>
        <w:pStyle w:val="af6"/>
        <w:spacing w:line="240" w:lineRule="auto"/>
        <w:rPr>
          <w:color w:val="auto"/>
          <w:sz w:val="24"/>
          <w:szCs w:val="24"/>
        </w:rPr>
      </w:pPr>
      <w:r w:rsidRPr="0010398A">
        <w:rPr>
          <w:color w:val="auto"/>
          <w:sz w:val="24"/>
          <w:szCs w:val="24"/>
        </w:rPr>
        <w:t>Переваги спільного інвестування та механізм захисту коштів учасників інвестиційних фондів</w:t>
      </w:r>
    </w:p>
    <w:p w:rsidR="000E0C02" w:rsidRPr="0010398A" w:rsidRDefault="000E0C02" w:rsidP="000E0C02">
      <w:pPr>
        <w:widowControl w:val="0"/>
        <w:ind w:firstLine="709"/>
        <w:rPr>
          <w:lang w:val="uk-UA"/>
        </w:rPr>
      </w:pPr>
    </w:p>
    <w:p w:rsidR="000E0C02" w:rsidRPr="0010398A" w:rsidRDefault="000E0C02" w:rsidP="000E0C02">
      <w:pPr>
        <w:widowControl w:val="0"/>
        <w:ind w:firstLine="709"/>
        <w:jc w:val="both"/>
        <w:rPr>
          <w:i/>
          <w:spacing w:val="-2"/>
        </w:rPr>
      </w:pPr>
      <w:r w:rsidRPr="0010398A">
        <w:rPr>
          <w:i/>
          <w:spacing w:val="-2"/>
        </w:rPr>
        <w:t>Рассмотрена деятельность институтов совместного инвестирования,</w:t>
      </w:r>
      <w:r w:rsidRPr="0010398A">
        <w:rPr>
          <w:i/>
          <w:spacing w:val="-2"/>
          <w:lang w:val="uk-UA"/>
        </w:rPr>
        <w:t xml:space="preserve"> </w:t>
      </w:r>
      <w:r w:rsidRPr="0010398A">
        <w:rPr>
          <w:i/>
          <w:spacing w:val="-2"/>
        </w:rPr>
        <w:t>их</w:t>
      </w:r>
      <w:r w:rsidRPr="0010398A">
        <w:rPr>
          <w:i/>
          <w:spacing w:val="-2"/>
          <w:lang w:val="uk-UA"/>
        </w:rPr>
        <w:t xml:space="preserve"> роль на </w:t>
      </w:r>
      <w:r w:rsidRPr="0010398A">
        <w:rPr>
          <w:i/>
          <w:spacing w:val="-2"/>
        </w:rPr>
        <w:t>финансовом</w:t>
      </w:r>
      <w:r w:rsidRPr="0010398A">
        <w:rPr>
          <w:i/>
          <w:spacing w:val="-2"/>
          <w:lang w:val="uk-UA"/>
        </w:rPr>
        <w:t xml:space="preserve"> </w:t>
      </w:r>
      <w:r w:rsidRPr="0010398A">
        <w:rPr>
          <w:i/>
          <w:spacing w:val="-2"/>
        </w:rPr>
        <w:t>рынке</w:t>
      </w:r>
      <w:r w:rsidRPr="0010398A">
        <w:rPr>
          <w:i/>
          <w:spacing w:val="-2"/>
          <w:lang w:val="uk-UA"/>
        </w:rPr>
        <w:t xml:space="preserve">, </w:t>
      </w:r>
      <w:r w:rsidRPr="0010398A">
        <w:rPr>
          <w:i/>
          <w:spacing w:val="-2"/>
        </w:rPr>
        <w:t xml:space="preserve">преимущества совместного инвестирования, изучена законодательная база регулирования деятельности инвестиционных фондов, проанализирована ситуация на рынке совместного инвестирования в 2007-2008 годах. </w:t>
      </w:r>
    </w:p>
    <w:p w:rsidR="000E0C02" w:rsidRPr="0010398A" w:rsidRDefault="000E0C02" w:rsidP="000E0C02">
      <w:pPr>
        <w:widowControl w:val="0"/>
        <w:ind w:firstLine="709"/>
        <w:jc w:val="both"/>
        <w:rPr>
          <w:lang w:val="uk-UA"/>
        </w:rPr>
      </w:pPr>
      <w:r w:rsidRPr="0010398A">
        <w:rPr>
          <w:b/>
          <w:lang w:val="uk-UA"/>
        </w:rPr>
        <w:t xml:space="preserve">Актуальність. </w:t>
      </w:r>
      <w:r w:rsidRPr="0010398A">
        <w:rPr>
          <w:lang w:val="uk-UA"/>
        </w:rPr>
        <w:t xml:space="preserve">Інститути спільного інвестування (ІСІ) в країнах з розвинутою економікою є одними з найбільш ефективних інструментів акумуляції інвестиційних ресурсів, основна мета діяльності яких – надання фінансових послуг з розміщення капіталу приватних інвесторів. </w:t>
      </w:r>
    </w:p>
    <w:p w:rsidR="000E0C02" w:rsidRPr="0010398A" w:rsidRDefault="000E0C02" w:rsidP="000E0C02">
      <w:pPr>
        <w:widowControl w:val="0"/>
        <w:ind w:firstLine="709"/>
        <w:jc w:val="both"/>
        <w:rPr>
          <w:spacing w:val="-2"/>
          <w:lang w:val="uk-UA"/>
        </w:rPr>
      </w:pPr>
      <w:r w:rsidRPr="0010398A">
        <w:rPr>
          <w:spacing w:val="-2"/>
          <w:lang w:val="uk-UA"/>
        </w:rPr>
        <w:t xml:space="preserve">Широка популярність інститутів спільного інвестування в усьому світі пояснюється тим, що цей вид комерційної діяльності ефективно поєднує інтереси всіх сторін, причетних до діяльності ІСІ. Вони не набули б такого поширення, якби не пропонували власникам грошей перспектив, більш цікавих порівняно з альтернативними шляхами розміщення коштів. </w:t>
      </w:r>
    </w:p>
    <w:p w:rsidR="000E0C02" w:rsidRPr="0010398A" w:rsidRDefault="000E0C02" w:rsidP="000E0C02">
      <w:pPr>
        <w:pStyle w:val="af5"/>
        <w:spacing w:line="240" w:lineRule="auto"/>
        <w:rPr>
          <w:color w:val="auto"/>
          <w:sz w:val="24"/>
          <w:szCs w:val="24"/>
        </w:rPr>
      </w:pPr>
      <w:r w:rsidRPr="0010398A">
        <w:rPr>
          <w:color w:val="auto"/>
          <w:sz w:val="24"/>
          <w:szCs w:val="24"/>
        </w:rPr>
        <w:t>Держава, в якій створено належні умови для діяльності інвестиційних фондів, в їх особі має ефективний механізм для розвитку ринку цінних паперів, які відіграють значну роль у міжгалузевому перерозподілі капіталу, підвищують стабільність фондового ринку, стимулюють як внутрішній інвестиційний процес, так і зовнішнє інвестування, сприяють розширенню можливостей держави щодо внутрішніх запозичень.</w:t>
      </w:r>
    </w:p>
    <w:p w:rsidR="000E0C02" w:rsidRPr="0010398A" w:rsidRDefault="000E0C02" w:rsidP="000E0C02">
      <w:pPr>
        <w:widowControl w:val="0"/>
        <w:ind w:firstLine="709"/>
        <w:jc w:val="both"/>
        <w:rPr>
          <w:lang w:val="uk-UA"/>
        </w:rPr>
      </w:pPr>
      <w:r w:rsidRPr="0010398A">
        <w:rPr>
          <w:lang w:val="uk-UA"/>
        </w:rPr>
        <w:t>Сформульовані в статті теоретичні висновки і рекомендації спираються на праці вітчизняних та іноземних вчених, які досліджували питання діяльності фінансових посередників та інститутів спільного інвестування на ринку цінних паперів. Насамперед, це роботи Г.Андрощука, Л.Антонюк, О.</w:t>
      </w:r>
      <w:proofErr w:type="spellStart"/>
      <w:r w:rsidRPr="0010398A">
        <w:rPr>
          <w:lang w:val="uk-UA"/>
        </w:rPr>
        <w:t>Батури</w:t>
      </w:r>
      <w:proofErr w:type="spellEnd"/>
      <w:r w:rsidRPr="0010398A">
        <w:rPr>
          <w:lang w:val="uk-UA"/>
        </w:rPr>
        <w:t>, А.Бондаренко, Є.Задорожного, В.Новікова, С.</w:t>
      </w:r>
      <w:proofErr w:type="spellStart"/>
      <w:r w:rsidRPr="0010398A">
        <w:rPr>
          <w:lang w:val="uk-UA"/>
        </w:rPr>
        <w:t>Покропивного</w:t>
      </w:r>
      <w:proofErr w:type="spellEnd"/>
      <w:r w:rsidRPr="0010398A">
        <w:rPr>
          <w:lang w:val="uk-UA"/>
        </w:rPr>
        <w:t>, А.Поручника, І.</w:t>
      </w:r>
      <w:proofErr w:type="spellStart"/>
      <w:r w:rsidRPr="0010398A">
        <w:rPr>
          <w:lang w:val="uk-UA"/>
        </w:rPr>
        <w:t>Софіщенко</w:t>
      </w:r>
      <w:proofErr w:type="spellEnd"/>
      <w:r w:rsidRPr="0010398A">
        <w:rPr>
          <w:lang w:val="uk-UA"/>
        </w:rPr>
        <w:t xml:space="preserve"> І. </w:t>
      </w:r>
      <w:proofErr w:type="spellStart"/>
      <w:r w:rsidRPr="0010398A">
        <w:rPr>
          <w:lang w:val="uk-UA"/>
        </w:rPr>
        <w:t>Назарчука</w:t>
      </w:r>
      <w:proofErr w:type="spellEnd"/>
      <w:r w:rsidRPr="0010398A">
        <w:rPr>
          <w:lang w:val="uk-UA"/>
        </w:rPr>
        <w:t xml:space="preserve">, Н. </w:t>
      </w:r>
      <w:proofErr w:type="spellStart"/>
      <w:r w:rsidRPr="0010398A">
        <w:rPr>
          <w:lang w:val="uk-UA"/>
        </w:rPr>
        <w:t>Кузнецової</w:t>
      </w:r>
      <w:proofErr w:type="spellEnd"/>
      <w:r w:rsidRPr="0010398A">
        <w:rPr>
          <w:lang w:val="uk-UA"/>
        </w:rPr>
        <w:t xml:space="preserve">, В. Колесника, Е. </w:t>
      </w:r>
      <w:proofErr w:type="spellStart"/>
      <w:r w:rsidRPr="0010398A">
        <w:rPr>
          <w:lang w:val="uk-UA"/>
        </w:rPr>
        <w:t>Крока</w:t>
      </w:r>
      <w:proofErr w:type="spellEnd"/>
      <w:r w:rsidRPr="0010398A">
        <w:rPr>
          <w:lang w:val="uk-UA"/>
        </w:rPr>
        <w:t xml:space="preserve"> та А. </w:t>
      </w:r>
      <w:proofErr w:type="spellStart"/>
      <w:r w:rsidRPr="0010398A">
        <w:rPr>
          <w:lang w:val="uk-UA"/>
        </w:rPr>
        <w:t>Фрідмана</w:t>
      </w:r>
      <w:proofErr w:type="spellEnd"/>
      <w:r w:rsidRPr="0010398A">
        <w:rPr>
          <w:lang w:val="uk-UA"/>
        </w:rPr>
        <w:t xml:space="preserve">. </w:t>
      </w:r>
    </w:p>
    <w:p w:rsidR="000E0C02" w:rsidRPr="0010398A" w:rsidRDefault="000E0C02" w:rsidP="000E0C02">
      <w:pPr>
        <w:pStyle w:val="af5"/>
        <w:spacing w:line="240" w:lineRule="auto"/>
        <w:rPr>
          <w:color w:val="auto"/>
          <w:sz w:val="24"/>
          <w:szCs w:val="24"/>
        </w:rPr>
      </w:pPr>
      <w:r w:rsidRPr="0010398A">
        <w:rPr>
          <w:b/>
          <w:color w:val="auto"/>
          <w:sz w:val="24"/>
          <w:szCs w:val="24"/>
        </w:rPr>
        <w:t xml:space="preserve">Мета дослідження: </w:t>
      </w:r>
      <w:r w:rsidRPr="0010398A">
        <w:rPr>
          <w:color w:val="auto"/>
          <w:sz w:val="24"/>
          <w:szCs w:val="24"/>
        </w:rPr>
        <w:t xml:space="preserve">визначення переваг спільного інвестування, аналіз правового режиму та особливостей господарської діяльності ІСІ, а також розробка основних напрямків вдосконалення діяльності інвестиційних фондів та інвестиційних компаній на ринку цінних паперів. </w:t>
      </w:r>
    </w:p>
    <w:p w:rsidR="000E0C02" w:rsidRPr="0010398A" w:rsidRDefault="000E0C02" w:rsidP="000E0C02">
      <w:pPr>
        <w:widowControl w:val="0"/>
        <w:ind w:firstLine="709"/>
        <w:jc w:val="both"/>
        <w:rPr>
          <w:lang w:val="uk-UA"/>
        </w:rPr>
      </w:pPr>
      <w:r w:rsidRPr="0010398A">
        <w:rPr>
          <w:b/>
          <w:lang w:val="uk-UA"/>
        </w:rPr>
        <w:t>Основна частина.</w:t>
      </w:r>
      <w:r w:rsidRPr="0010398A">
        <w:rPr>
          <w:lang w:val="uk-UA"/>
        </w:rPr>
        <w:t xml:space="preserve"> Стрімкий розвиток фінансових ринків настільки розширив напрямки та способи вкладення грошей, що без знань і досвіду стає важко зорієнтуватися в мозаїці</w:t>
      </w:r>
      <w:r w:rsidRPr="0010398A">
        <w:t> </w:t>
      </w:r>
      <w:r w:rsidRPr="0010398A">
        <w:rPr>
          <w:lang w:val="uk-UA"/>
        </w:rPr>
        <w:t xml:space="preserve"> інвестиційних альтернатив. Дрібні інвестори, приймаючи рішення про придбання цінних паперів інститутів спільного інвестування, керуються наступними міркуваннями.</w:t>
      </w:r>
    </w:p>
    <w:p w:rsidR="000E0C02" w:rsidRPr="0010398A" w:rsidRDefault="000E0C02" w:rsidP="000E0C02">
      <w:pPr>
        <w:widowControl w:val="0"/>
        <w:ind w:firstLine="709"/>
        <w:jc w:val="both"/>
        <w:rPr>
          <w:lang w:val="uk-UA"/>
        </w:rPr>
      </w:pPr>
      <w:r w:rsidRPr="0010398A">
        <w:rPr>
          <w:lang w:val="uk-UA"/>
        </w:rPr>
        <w:t>По-перше, такі інститути значно зменшують інвестиційні ризики за рахунок здійснення диверсифікації вкладень. Втрати на окремих видах активів компенсуються прибутками від володіння та операцій з цінними паперами інших емітентів та іншими об'єктами інвестицій. Як свідчить світовий досвід, дивіденди від цінних паперів інвестиційних фондів перевищують середні див</w:t>
      </w:r>
      <w:r>
        <w:rPr>
          <w:lang w:val="uk-UA"/>
        </w:rPr>
        <w:t>іденди на ринку цінних паперів.</w:t>
      </w:r>
    </w:p>
    <w:p w:rsidR="000E0C02" w:rsidRPr="0010398A" w:rsidRDefault="000E0C02" w:rsidP="000E0C02">
      <w:pPr>
        <w:widowControl w:val="0"/>
        <w:ind w:firstLine="709"/>
        <w:jc w:val="both"/>
        <w:rPr>
          <w:lang w:val="uk-UA"/>
        </w:rPr>
      </w:pPr>
      <w:r w:rsidRPr="0010398A">
        <w:rPr>
          <w:lang w:val="uk-UA"/>
        </w:rPr>
        <w:t xml:space="preserve">По-друге, ІСІ надають своїм учасникам послуги з професійного управління інвестиціями. При прийнятті рішень фахівці фондів постійно відслідковують зміни на ринках, опрацьовують значні обсяги статистичної інформації, використовують спеціальні методики аналізу та прогнозування, що дозволяє отримати додаткові прибутки від операцій з активами на підставі адекватної оцінки ринкової кон'юнктури, захистити </w:t>
      </w:r>
      <w:r w:rsidRPr="0010398A">
        <w:rPr>
          <w:lang w:val="uk-UA"/>
        </w:rPr>
        <w:lastRenderedPageBreak/>
        <w:t>об'єднані капітали від втрат, пом'якшити втрати у випадках, коли уникнути їх неможливо.</w:t>
      </w:r>
    </w:p>
    <w:p w:rsidR="000E0C02" w:rsidRPr="0010398A" w:rsidRDefault="000E0C02" w:rsidP="000E0C02">
      <w:pPr>
        <w:widowControl w:val="0"/>
        <w:ind w:firstLine="709"/>
        <w:jc w:val="both"/>
        <w:rPr>
          <w:lang w:val="uk-UA"/>
        </w:rPr>
      </w:pPr>
      <w:r w:rsidRPr="0010398A">
        <w:rPr>
          <w:lang w:val="uk-UA"/>
        </w:rPr>
        <w:t>Крім того, ІСІ пропонують широкий вибір напрямів інвестицій, а права інвесторів надійно захищені спеціальними законами і правилами для інвестиційних фондів, виконання яких суворо контролюється. Інститути спільного інвестування забезпечують своїм учасникам достатню міру ліквідності цінних паперів, що особливо характерно для інвестиці</w:t>
      </w:r>
      <w:r>
        <w:rPr>
          <w:lang w:val="uk-UA"/>
        </w:rPr>
        <w:t>йних фондів відкритого типу.</w:t>
      </w:r>
    </w:p>
    <w:p w:rsidR="000E0C02" w:rsidRPr="0010398A" w:rsidRDefault="000E0C02" w:rsidP="000E0C02">
      <w:pPr>
        <w:widowControl w:val="0"/>
        <w:ind w:firstLine="709"/>
        <w:jc w:val="both"/>
        <w:rPr>
          <w:lang w:val="uk-UA"/>
        </w:rPr>
      </w:pPr>
      <w:r w:rsidRPr="0010398A">
        <w:rPr>
          <w:lang w:val="uk-UA"/>
        </w:rPr>
        <w:t xml:space="preserve">Принцип роботи інвестиційних фондів побудований таким чином, що на сьогоднішній день це, мабуть, найефективніший спосіб зниження ризику приватних інвесторів. Зниження ризику при інвестуванні в інвестиційні фонди відбувається завдяки тому, що </w:t>
      </w:r>
      <w:r w:rsidRPr="0010398A">
        <w:t>[1]</w:t>
      </w:r>
      <w:r w:rsidRPr="0010398A">
        <w:rPr>
          <w:lang w:val="uk-UA"/>
        </w:rPr>
        <w:t>:</w:t>
      </w:r>
    </w:p>
    <w:p w:rsidR="000E0C02" w:rsidRPr="0010398A" w:rsidRDefault="000E0C02" w:rsidP="003441D0">
      <w:pPr>
        <w:widowControl w:val="0"/>
        <w:numPr>
          <w:ilvl w:val="3"/>
          <w:numId w:val="1"/>
        </w:numPr>
        <w:tabs>
          <w:tab w:val="clear" w:pos="3859"/>
          <w:tab w:val="num" w:pos="1080"/>
        </w:tabs>
        <w:ind w:left="0" w:firstLine="720"/>
        <w:jc w:val="both"/>
        <w:rPr>
          <w:lang w:val="uk-UA"/>
        </w:rPr>
      </w:pPr>
      <w:r w:rsidRPr="0010398A">
        <w:rPr>
          <w:lang w:val="uk-UA"/>
        </w:rPr>
        <w:t>захист прав інвесторів забезпечений організаційною структурою системи управління інвестиційним фондом, а також контролем з боку держави. Функції управління, зберігання й обліку прав власності на цінні папери фонду розділені між незалежними один від одного структурами – компаніями з управління активами(</w:t>
      </w:r>
      <w:proofErr w:type="spellStart"/>
      <w:r w:rsidRPr="0010398A">
        <w:rPr>
          <w:lang w:val="uk-UA"/>
        </w:rPr>
        <w:t>КУА</w:t>
      </w:r>
      <w:proofErr w:type="spellEnd"/>
      <w:r w:rsidRPr="0010398A">
        <w:rPr>
          <w:lang w:val="uk-UA"/>
        </w:rPr>
        <w:t xml:space="preserve">), зберігачем і реєстратором (депозитарієм). Подібна схема, не дозволяє </w:t>
      </w:r>
      <w:proofErr w:type="spellStart"/>
      <w:r w:rsidRPr="0010398A">
        <w:rPr>
          <w:lang w:val="uk-UA"/>
        </w:rPr>
        <w:t>КУА</w:t>
      </w:r>
      <w:proofErr w:type="spellEnd"/>
      <w:r w:rsidRPr="0010398A">
        <w:rPr>
          <w:lang w:val="uk-UA"/>
        </w:rPr>
        <w:t xml:space="preserve"> вивести активи з фонду без дозволу зберігача. Діяльність вищевказаних організацій, які обслуговують інвестиційні фонди, також ліцензується і регулюється Державною комісією з цін</w:t>
      </w:r>
      <w:r>
        <w:rPr>
          <w:lang w:val="uk-UA"/>
        </w:rPr>
        <w:t>них паперів та фондового ринку;</w:t>
      </w:r>
    </w:p>
    <w:p w:rsidR="000E0C02" w:rsidRPr="0010398A" w:rsidRDefault="000E0C02" w:rsidP="003441D0">
      <w:pPr>
        <w:widowControl w:val="0"/>
        <w:numPr>
          <w:ilvl w:val="3"/>
          <w:numId w:val="1"/>
        </w:numPr>
        <w:tabs>
          <w:tab w:val="clear" w:pos="3859"/>
          <w:tab w:val="num" w:pos="1080"/>
        </w:tabs>
        <w:ind w:left="0" w:firstLine="720"/>
        <w:jc w:val="both"/>
        <w:rPr>
          <w:lang w:val="uk-UA"/>
        </w:rPr>
      </w:pPr>
      <w:r w:rsidRPr="0010398A">
        <w:rPr>
          <w:lang w:val="uk-UA"/>
        </w:rPr>
        <w:t xml:space="preserve">інвестору надається можливість регулярного доступу до інформації про роботу ІСІ та </w:t>
      </w:r>
      <w:proofErr w:type="spellStart"/>
      <w:r w:rsidRPr="0010398A">
        <w:rPr>
          <w:lang w:val="uk-UA"/>
        </w:rPr>
        <w:t>КУА</w:t>
      </w:r>
      <w:proofErr w:type="spellEnd"/>
      <w:r w:rsidRPr="0010398A">
        <w:rPr>
          <w:lang w:val="uk-UA"/>
        </w:rPr>
        <w:t>, а також про вартість і структуру активів  інвестиційного фонду. Крім того, здійснюється професійне управління активами, проводиться диверсифікація портфеля;</w:t>
      </w:r>
    </w:p>
    <w:p w:rsidR="000E0C02" w:rsidRPr="0010398A" w:rsidRDefault="000E0C02" w:rsidP="003441D0">
      <w:pPr>
        <w:widowControl w:val="0"/>
        <w:numPr>
          <w:ilvl w:val="3"/>
          <w:numId w:val="1"/>
        </w:numPr>
        <w:tabs>
          <w:tab w:val="clear" w:pos="3859"/>
          <w:tab w:val="num" w:pos="1080"/>
        </w:tabs>
        <w:ind w:left="0" w:firstLine="720"/>
        <w:jc w:val="both"/>
        <w:rPr>
          <w:lang w:val="uk-UA"/>
        </w:rPr>
      </w:pPr>
      <w:r w:rsidRPr="0010398A">
        <w:rPr>
          <w:lang w:val="uk-UA"/>
        </w:rPr>
        <w:t xml:space="preserve">інвестор має можливість продати належні йому цінні папери інвестиційного фонду та отримати гроші у будь-який момент часу (для відкритих фондів). Цінні папери </w:t>
      </w:r>
      <w:proofErr w:type="spellStart"/>
      <w:r w:rsidRPr="0010398A">
        <w:rPr>
          <w:lang w:val="uk-UA"/>
        </w:rPr>
        <w:t>інтервальних</w:t>
      </w:r>
      <w:proofErr w:type="spellEnd"/>
      <w:r w:rsidRPr="0010398A">
        <w:rPr>
          <w:lang w:val="uk-UA"/>
        </w:rPr>
        <w:t xml:space="preserve"> ІСІ можна пред’явити до викупу в обумовлені інтервали часу. Відповідно до законодавства, </w:t>
      </w:r>
      <w:proofErr w:type="spellStart"/>
      <w:r w:rsidRPr="0010398A">
        <w:rPr>
          <w:lang w:val="uk-UA"/>
        </w:rPr>
        <w:t>КУА</w:t>
      </w:r>
      <w:proofErr w:type="spellEnd"/>
      <w:r w:rsidRPr="0010398A">
        <w:rPr>
          <w:lang w:val="uk-UA"/>
        </w:rPr>
        <w:t xml:space="preserve"> зобов’язана викупити у інвестора цінні папери за поточною вартістю чистих активів фонду, тому неможлива ситуація, коли інвестору (учаснику ІСІ) відмовляють у виплаті грошей.</w:t>
      </w:r>
    </w:p>
    <w:p w:rsidR="000E0C02" w:rsidRPr="0010398A" w:rsidRDefault="000E0C02" w:rsidP="000E0C02">
      <w:pPr>
        <w:pStyle w:val="af5"/>
        <w:spacing w:line="240" w:lineRule="auto"/>
        <w:rPr>
          <w:color w:val="auto"/>
          <w:sz w:val="24"/>
          <w:szCs w:val="24"/>
        </w:rPr>
      </w:pPr>
      <w:r w:rsidRPr="0010398A">
        <w:rPr>
          <w:color w:val="auto"/>
          <w:sz w:val="24"/>
          <w:szCs w:val="24"/>
        </w:rPr>
        <w:t>Однією з найбільш вагомих переваг вкладення коштів в пайові інвестиційні фонди є багаторівнева система захисту прав інвесторів. Для пайових інвестиційних фондів встановлено жорсткі закони та правила, які передбачають всебічний захист прав інвесторів. Окрім того, структура управління пайовим фондом забезпечує інвестору захист від шахрайства. Кошти інвесторів знаходяться під керуванням управляючої компанії, діяльність якої з розпорядження та управління пайовими інвестиційними фондами регламентується «Правилами довірчого управління пайовим інвестиційним фондом». Права інвесторів фондів в Україні забезпечені організаційною структурою системи правління інвестиційними фондами та контролем з боку держави. Захист прав інвесторів фондів (ІСІ) в Україні забезпечений Законом України «Про інститути спільного інвестування (пайові та корпоративні інвестиційні фонди)»</w:t>
      </w:r>
      <w:r w:rsidRPr="002F7729">
        <w:rPr>
          <w:color w:val="auto"/>
          <w:sz w:val="24"/>
          <w:szCs w:val="24"/>
        </w:rPr>
        <w:t xml:space="preserve"> </w:t>
      </w:r>
      <w:r w:rsidRPr="0010398A">
        <w:rPr>
          <w:color w:val="auto"/>
          <w:sz w:val="24"/>
          <w:szCs w:val="24"/>
        </w:rPr>
        <w:t xml:space="preserve">[2]. </w:t>
      </w:r>
    </w:p>
    <w:p w:rsidR="000E0C02" w:rsidRPr="0010398A" w:rsidRDefault="000E0C02" w:rsidP="000E0C02">
      <w:pPr>
        <w:widowControl w:val="0"/>
        <w:ind w:firstLine="709"/>
        <w:jc w:val="both"/>
        <w:rPr>
          <w:lang w:val="uk-UA"/>
        </w:rPr>
      </w:pPr>
      <w:r w:rsidRPr="0010398A">
        <w:rPr>
          <w:lang w:val="uk-UA"/>
        </w:rPr>
        <w:t xml:space="preserve">Інвестор не є клієнтом фонду (ІСІ), а є його співвласником, що передбачає контроль над об’єктом власності. </w:t>
      </w:r>
      <w:r w:rsidRPr="0010398A">
        <w:rPr>
          <w:bCs/>
          <w:lang w:val="uk-UA"/>
        </w:rPr>
        <w:t>Вкладники фондів мають право:</w:t>
      </w:r>
      <w:r w:rsidRPr="0010398A">
        <w:rPr>
          <w:lang w:val="uk-UA"/>
        </w:rPr>
        <w:t xml:space="preserve"> створювати Наглядову раду фонду, яка контролює діяльність </w:t>
      </w:r>
      <w:proofErr w:type="spellStart"/>
      <w:r w:rsidRPr="0010398A">
        <w:rPr>
          <w:lang w:val="uk-UA"/>
        </w:rPr>
        <w:t>КУА</w:t>
      </w:r>
      <w:proofErr w:type="spellEnd"/>
      <w:r w:rsidRPr="0010398A">
        <w:rPr>
          <w:lang w:val="uk-UA"/>
        </w:rPr>
        <w:t xml:space="preserve"> щодо управління активами цього фонду; вносити зміни в Інвестиційну декларацію та Регламент фонду; проводити зміну реєстратора, аудитора, зберігача, компанії з управління активами у випадках, що передбачені в Регламенті фонду; регулярно отримувати інформацію про діяльність фонду та вартість його чистих активів. У випадку участі в корпоративному інвестиційному фонді, що створений у формі акціонерного товариства, інвестор стає повноправним акціонером. Вкладники мають право на управління таким фондом через загальні збори акціонерів, приймаючи участь в Наглядовій раді фонду</w:t>
      </w:r>
      <w:r w:rsidRPr="0010398A">
        <w:t xml:space="preserve"> [</w:t>
      </w:r>
      <w:r w:rsidRPr="0010398A">
        <w:rPr>
          <w:lang w:val="uk-UA"/>
        </w:rPr>
        <w:t>3</w:t>
      </w:r>
      <w:r w:rsidRPr="0010398A">
        <w:t>]</w:t>
      </w:r>
      <w:r>
        <w:rPr>
          <w:lang w:val="uk-UA"/>
        </w:rPr>
        <w:t>.</w:t>
      </w:r>
    </w:p>
    <w:p w:rsidR="000E0C02" w:rsidRPr="0010398A" w:rsidRDefault="000E0C02" w:rsidP="000E0C02">
      <w:pPr>
        <w:widowControl w:val="0"/>
        <w:ind w:firstLine="709"/>
        <w:jc w:val="both"/>
        <w:rPr>
          <w:lang w:val="uk-UA"/>
        </w:rPr>
      </w:pPr>
      <w:r w:rsidRPr="0010398A">
        <w:rPr>
          <w:lang w:val="uk-UA"/>
        </w:rPr>
        <w:t xml:space="preserve">Суб'єкти фінансової діяльності, які формують ІСІ, набувають можливості отримувати прибутки від управління значними капіталами, які створюються не за рахунок коштів, отриманих від вилучення прибутків з виробничої сфери або на кредитних підставах. Капітал, створений таким шляхом, значно «дешевший» від запозиченого, </w:t>
      </w:r>
      <w:r w:rsidRPr="0010398A">
        <w:rPr>
          <w:lang w:val="uk-UA"/>
        </w:rPr>
        <w:lastRenderedPageBreak/>
        <w:t xml:space="preserve">оподаткування діяльності інвестиційних фондів має, як правило, пільговий характер, що дозволяє за однакових показників валової доходності операцій з фінансовими інструментами отримувати відносно більші прибутки інституту спільного інвестування порівняно, наприклад, з банком. </w:t>
      </w:r>
    </w:p>
    <w:p w:rsidR="000E0C02" w:rsidRPr="002F7729" w:rsidRDefault="000E0C02" w:rsidP="000E0C02">
      <w:pPr>
        <w:pStyle w:val="af5"/>
        <w:spacing w:line="240" w:lineRule="auto"/>
        <w:rPr>
          <w:color w:val="auto"/>
          <w:sz w:val="24"/>
          <w:szCs w:val="24"/>
          <w:lang w:val="ru-RU"/>
        </w:rPr>
      </w:pPr>
      <w:r w:rsidRPr="0010398A">
        <w:rPr>
          <w:color w:val="auto"/>
          <w:sz w:val="24"/>
          <w:szCs w:val="24"/>
        </w:rPr>
        <w:t>Аналіз ринку спільного інвестування в Україні у 2007-2008 роках дає змогу наочно продемонструвати переваги та недоліки ді</w:t>
      </w:r>
      <w:r>
        <w:rPr>
          <w:color w:val="auto"/>
          <w:sz w:val="24"/>
          <w:szCs w:val="24"/>
        </w:rPr>
        <w:t xml:space="preserve">яльності ІСІ. Так, у 2007 році </w:t>
      </w:r>
      <w:r w:rsidRPr="0010398A">
        <w:rPr>
          <w:color w:val="auto"/>
          <w:sz w:val="24"/>
          <w:szCs w:val="24"/>
        </w:rPr>
        <w:t>діяльність фондів привернула увагу вітчизняних та іноземних інвесторів, а результати роботи ІСІ забезпечили перше місце серед найбільш привабливих фінансових продуктів для населення та підприємств України. Однак складним і непередбачуваним виявився 2008 рік для ринків цінних паперів: стрімкий ріст у попередній період змінився затяжним спадом, глибина, тривалість та наслідки якого можна буде оцінити тільки з часом. Ключові фондові індикатори світу впали на 32–49% [4], російські індекси ММВБ та РТС –  на 67 та 73% [5,6] відповідно. Український індекс ПФТС з лідерів росту 2007-го перетворився на «лідера» падіння 2008-го і з результатом – 74,33% завершив цей рік на рівні 301,42 пункту</w:t>
      </w:r>
      <w:r w:rsidRPr="0010398A">
        <w:rPr>
          <w:color w:val="auto"/>
          <w:sz w:val="24"/>
          <w:szCs w:val="24"/>
          <w:lang w:val="ru-RU"/>
        </w:rPr>
        <w:t xml:space="preserve"> [4]</w:t>
      </w:r>
      <w:r w:rsidRPr="0010398A">
        <w:rPr>
          <w:color w:val="auto"/>
          <w:sz w:val="24"/>
          <w:szCs w:val="24"/>
        </w:rPr>
        <w:t>. Серед причин – надто стрімкий ріст, значна залежність від іноземного капіталу, яка спершу була одним з головних рушіїв українського ринку цінних паперів, а у 2008-му році призвела до його глибокого падіння</w:t>
      </w:r>
      <w:r w:rsidRPr="0010398A">
        <w:rPr>
          <w:color w:val="auto"/>
          <w:sz w:val="24"/>
          <w:szCs w:val="24"/>
          <w:lang w:val="ru-RU"/>
        </w:rPr>
        <w:t xml:space="preserve"> [7]</w:t>
      </w:r>
      <w:r>
        <w:rPr>
          <w:color w:val="auto"/>
          <w:sz w:val="24"/>
          <w:szCs w:val="24"/>
        </w:rPr>
        <w:t>.</w:t>
      </w:r>
    </w:p>
    <w:p w:rsidR="000E0C02" w:rsidRPr="0010398A" w:rsidRDefault="000E0C02" w:rsidP="000E0C02">
      <w:pPr>
        <w:pStyle w:val="Default"/>
        <w:widowControl w:val="0"/>
        <w:ind w:firstLine="709"/>
        <w:jc w:val="both"/>
        <w:rPr>
          <w:color w:val="auto"/>
          <w:lang w:val="uk-UA"/>
        </w:rPr>
      </w:pPr>
      <w:r w:rsidRPr="0010398A">
        <w:rPr>
          <w:color w:val="auto"/>
          <w:lang w:val="uk-UA"/>
        </w:rPr>
        <w:t>Негативний розвиток подій на вітчизняному фондовому ринку, що майже не припинявся протягом 2008-го року, чинив суттєвий тиск на ринок відкритих інвестиційних фондів в Україні. Вартість чистих активів відкритих ІСІ станом на 30</w:t>
      </w:r>
      <w:r>
        <w:rPr>
          <w:color w:val="auto"/>
          <w:lang w:val="uk-UA"/>
        </w:rPr>
        <w:t xml:space="preserve"> грудня </w:t>
      </w:r>
      <w:r w:rsidRPr="0010398A">
        <w:rPr>
          <w:color w:val="auto"/>
          <w:lang w:val="uk-UA"/>
        </w:rPr>
        <w:t>2008 року склала 273 013,32 тис. грн. Для 13 фондів, які дос</w:t>
      </w:r>
      <w:r>
        <w:rPr>
          <w:color w:val="auto"/>
          <w:lang w:val="uk-UA"/>
        </w:rPr>
        <w:t xml:space="preserve">ягли нормативів до </w:t>
      </w:r>
      <w:r w:rsidRPr="0010398A">
        <w:rPr>
          <w:color w:val="auto"/>
          <w:lang w:val="uk-UA"/>
        </w:rPr>
        <w:t>1 січня 2008 р., падіння вартість чистих ак</w:t>
      </w:r>
      <w:r>
        <w:rPr>
          <w:color w:val="auto"/>
          <w:lang w:val="uk-UA"/>
        </w:rPr>
        <w:t xml:space="preserve">тивів складало -344 398,98 </w:t>
      </w:r>
      <w:proofErr w:type="spellStart"/>
      <w:r>
        <w:rPr>
          <w:color w:val="auto"/>
          <w:lang w:val="uk-UA"/>
        </w:rPr>
        <w:t>тис.</w:t>
      </w:r>
      <w:r w:rsidRPr="0010398A">
        <w:rPr>
          <w:color w:val="auto"/>
          <w:lang w:val="uk-UA"/>
        </w:rPr>
        <w:t>грн</w:t>
      </w:r>
      <w:proofErr w:type="spellEnd"/>
      <w:r w:rsidRPr="0010398A">
        <w:rPr>
          <w:color w:val="auto"/>
          <w:lang w:val="uk-UA"/>
        </w:rPr>
        <w:t xml:space="preserve"> (-69,34%). На відміну від 2007-го, протягом 2008-го року позитивна зміна ВЧА відбулася тільки у лютому та грудні (рис</w:t>
      </w:r>
      <w:r>
        <w:rPr>
          <w:color w:val="auto"/>
          <w:lang w:val="uk-UA"/>
        </w:rPr>
        <w:t>унок</w:t>
      </w:r>
      <w:r w:rsidRPr="0010398A">
        <w:rPr>
          <w:color w:val="auto"/>
          <w:lang w:val="uk-UA"/>
        </w:rPr>
        <w:t xml:space="preserve"> 1)</w:t>
      </w:r>
      <w:r w:rsidRPr="0010398A">
        <w:rPr>
          <w:color w:val="auto"/>
        </w:rPr>
        <w:t xml:space="preserve"> [</w:t>
      </w:r>
      <w:r w:rsidRPr="0010398A">
        <w:rPr>
          <w:color w:val="auto"/>
          <w:lang w:val="uk-UA"/>
        </w:rPr>
        <w:t>7</w:t>
      </w:r>
      <w:r w:rsidRPr="0010398A">
        <w:rPr>
          <w:color w:val="auto"/>
        </w:rPr>
        <w:t>]</w:t>
      </w:r>
      <w:r w:rsidRPr="0010398A">
        <w:rPr>
          <w:color w:val="auto"/>
          <w:lang w:val="uk-UA"/>
        </w:rPr>
        <w:t>.</w:t>
      </w:r>
    </w:p>
    <w:p w:rsidR="000E0C02" w:rsidRDefault="000E0C02" w:rsidP="000E0C02">
      <w:pPr>
        <w:pStyle w:val="Default"/>
        <w:widowControl w:val="0"/>
        <w:ind w:left="1260" w:hanging="1260"/>
        <w:jc w:val="center"/>
        <w:rPr>
          <w:color w:val="auto"/>
          <w:lang w:val="uk-UA"/>
        </w:rPr>
      </w:pPr>
      <w:r>
        <w:rPr>
          <w:noProof/>
        </w:rPr>
        <w:drawing>
          <wp:inline distT="0" distB="0" distL="0" distR="0">
            <wp:extent cx="5543550" cy="236220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srcRect l="974" t="5476" r="974" b="2147"/>
                    <a:stretch>
                      <a:fillRect/>
                    </a:stretch>
                  </pic:blipFill>
                  <pic:spPr bwMode="auto">
                    <a:xfrm>
                      <a:off x="0" y="0"/>
                      <a:ext cx="5543550" cy="2362200"/>
                    </a:xfrm>
                    <a:prstGeom prst="rect">
                      <a:avLst/>
                    </a:prstGeom>
                    <a:noFill/>
                    <a:ln w="9525">
                      <a:noFill/>
                      <a:miter lim="800000"/>
                      <a:headEnd/>
                      <a:tailEnd/>
                    </a:ln>
                  </pic:spPr>
                </pic:pic>
              </a:graphicData>
            </a:graphic>
          </wp:inline>
        </w:drawing>
      </w:r>
    </w:p>
    <w:p w:rsidR="000E0C02" w:rsidRPr="0010398A" w:rsidRDefault="000E0C02" w:rsidP="000E0C02">
      <w:pPr>
        <w:pStyle w:val="Default"/>
        <w:widowControl w:val="0"/>
        <w:ind w:left="1260" w:hanging="1260"/>
        <w:rPr>
          <w:color w:val="auto"/>
          <w:lang w:val="uk-UA"/>
        </w:rPr>
      </w:pPr>
      <w:r w:rsidRPr="0010398A">
        <w:rPr>
          <w:color w:val="auto"/>
          <w:lang w:val="uk-UA"/>
        </w:rPr>
        <w:t>Рис</w:t>
      </w:r>
      <w:r>
        <w:rPr>
          <w:color w:val="auto"/>
          <w:lang w:val="uk-UA"/>
        </w:rPr>
        <w:t>унок</w:t>
      </w:r>
      <w:r w:rsidRPr="0010398A">
        <w:rPr>
          <w:color w:val="auto"/>
          <w:lang w:val="uk-UA"/>
        </w:rPr>
        <w:t xml:space="preserve"> 1</w:t>
      </w:r>
      <w:r>
        <w:rPr>
          <w:color w:val="auto"/>
          <w:lang w:val="uk-UA"/>
        </w:rPr>
        <w:t xml:space="preserve"> </w:t>
      </w:r>
      <w:r>
        <w:rPr>
          <w:color w:val="auto"/>
          <w:lang w:val="uk-UA"/>
        </w:rPr>
        <w:sym w:font="Symbol" w:char="F02D"/>
      </w:r>
      <w:r w:rsidRPr="0010398A">
        <w:rPr>
          <w:color w:val="auto"/>
          <w:lang w:val="uk-UA"/>
        </w:rPr>
        <w:t xml:space="preserve"> Динаміка зміни (приросту) вартості чистих активів ринку відкритих ІСІ у 2007 та 2008 роках, тис. грн. [7]</w:t>
      </w:r>
    </w:p>
    <w:p w:rsidR="000E0C02" w:rsidRPr="000E0C02" w:rsidRDefault="000E0C02" w:rsidP="000E0C02">
      <w:pPr>
        <w:pStyle w:val="10"/>
        <w:tabs>
          <w:tab w:val="left" w:pos="1209"/>
        </w:tabs>
        <w:spacing w:line="240" w:lineRule="auto"/>
        <w:rPr>
          <w:color w:val="auto"/>
          <w:sz w:val="24"/>
          <w:szCs w:val="24"/>
        </w:rPr>
      </w:pPr>
    </w:p>
    <w:p w:rsidR="000E0C02" w:rsidRPr="0010398A" w:rsidRDefault="000E0C02" w:rsidP="000E0C02">
      <w:pPr>
        <w:pStyle w:val="10"/>
        <w:tabs>
          <w:tab w:val="left" w:pos="1209"/>
        </w:tabs>
        <w:spacing w:line="240" w:lineRule="auto"/>
        <w:rPr>
          <w:color w:val="auto"/>
          <w:sz w:val="24"/>
          <w:szCs w:val="24"/>
        </w:rPr>
      </w:pPr>
      <w:r w:rsidRPr="0010398A">
        <w:rPr>
          <w:color w:val="auto"/>
          <w:sz w:val="24"/>
          <w:szCs w:val="24"/>
        </w:rPr>
        <w:t xml:space="preserve">Фінансово-економічна криза, що розгорнулася у 2008 році, безумовно, дуже суттєво вплинула на діяльність інститутів спільного інвестування в Україні. Переоцінений у 2007 році український фондовий ринок, на думку багатьох експертів, у 2008 впав нижче справедливого рівня цін. </w:t>
      </w:r>
    </w:p>
    <w:p w:rsidR="000E0C02" w:rsidRPr="0010398A" w:rsidRDefault="000E0C02" w:rsidP="000E0C02">
      <w:pPr>
        <w:pStyle w:val="Default"/>
        <w:widowControl w:val="0"/>
        <w:ind w:firstLine="709"/>
        <w:jc w:val="both"/>
        <w:rPr>
          <w:color w:val="auto"/>
          <w:lang w:val="uk-UA"/>
        </w:rPr>
      </w:pPr>
      <w:r w:rsidRPr="0010398A">
        <w:rPr>
          <w:color w:val="auto"/>
          <w:lang w:val="uk-UA"/>
        </w:rPr>
        <w:t xml:space="preserve">Ринок спільного інвестування зазнав втрат, однак продемонстрував певну стабільність щодо обсягів залучених інвестицій, що свідчить про збереження потенціалу його росту. ІСІ проявили здатність мінімізувати збитки своїх учасників, проте жорсткі законодавчі обмеження, зокрема, щодо диверсифікації, та неспроможність владних структур оперативно втілити антикризові заходи не дали їм змоги уникнути втрат. </w:t>
      </w:r>
    </w:p>
    <w:p w:rsidR="000E0C02" w:rsidRPr="0010398A" w:rsidRDefault="000E0C02" w:rsidP="000E0C02">
      <w:pPr>
        <w:widowControl w:val="0"/>
        <w:ind w:firstLine="709"/>
        <w:jc w:val="both"/>
        <w:rPr>
          <w:lang w:val="uk-UA"/>
        </w:rPr>
      </w:pPr>
      <w:bookmarkStart w:id="0" w:name="fs02"/>
      <w:bookmarkEnd w:id="0"/>
      <w:r w:rsidRPr="0010398A">
        <w:rPr>
          <w:b/>
          <w:lang w:val="uk-UA"/>
        </w:rPr>
        <w:t>Висновки.</w:t>
      </w:r>
      <w:r w:rsidRPr="0010398A">
        <w:rPr>
          <w:lang w:val="uk-UA"/>
        </w:rPr>
        <w:t xml:space="preserve"> Підводячи підсумки, слід зазначити, що позитивні чинники стають дійовими лише за умови створення ефективної системи інститутів спільного інвестування та сприятливого інвестиційного клімату в країні. Створення такої системи вимагає </w:t>
      </w:r>
      <w:r w:rsidRPr="0010398A">
        <w:rPr>
          <w:lang w:val="uk-UA"/>
        </w:rPr>
        <w:lastRenderedPageBreak/>
        <w:t xml:space="preserve">невідкладного вирішення ряду питань. По-перше, необхідна розробка такої моделі інститутів спільного інвестування, яка була б життєздатною у сучасних умовах і враховувала тенденції розвитку фінансового ринку в перспективі. По-друге, забезпечення державної підтримки діючих та новостворюваних ІСІ, насамперед у галузі запровадження максимально пільгової системи їх оподаткування. По-третє, створення умов, які б стимулювали індивідуальних інвесторів до участі в інвестиційному фонді. Йдеться передусім про створення механізмів гарантування прав учасників ІСІ. </w:t>
      </w:r>
    </w:p>
    <w:p w:rsidR="000E0C02" w:rsidRPr="0010398A" w:rsidRDefault="000E0C02" w:rsidP="000E0C02">
      <w:pPr>
        <w:widowControl w:val="0"/>
        <w:ind w:firstLine="709"/>
        <w:jc w:val="both"/>
      </w:pPr>
    </w:p>
    <w:p w:rsidR="000E0C02" w:rsidRPr="0010398A" w:rsidRDefault="000E0C02" w:rsidP="000E0C02">
      <w:pPr>
        <w:widowControl w:val="0"/>
        <w:jc w:val="center"/>
        <w:rPr>
          <w:b/>
        </w:rPr>
      </w:pPr>
      <w:r w:rsidRPr="0010398A">
        <w:rPr>
          <w:b/>
          <w:lang w:val="uk-UA"/>
        </w:rPr>
        <w:t xml:space="preserve">Бібліографічний </w:t>
      </w:r>
      <w:r>
        <w:rPr>
          <w:b/>
          <w:lang w:val="uk-UA"/>
        </w:rPr>
        <w:t>список</w:t>
      </w:r>
    </w:p>
    <w:p w:rsidR="000E0C02" w:rsidRPr="0010398A" w:rsidRDefault="000E0C02" w:rsidP="003441D0">
      <w:pPr>
        <w:widowControl w:val="0"/>
        <w:numPr>
          <w:ilvl w:val="0"/>
          <w:numId w:val="3"/>
        </w:numPr>
        <w:tabs>
          <w:tab w:val="clear" w:pos="1080"/>
        </w:tabs>
        <w:overflowPunct w:val="0"/>
        <w:autoSpaceDE w:val="0"/>
        <w:autoSpaceDN w:val="0"/>
        <w:adjustRightInd w:val="0"/>
        <w:ind w:left="0" w:firstLine="360"/>
        <w:jc w:val="both"/>
        <w:textAlignment w:val="baseline"/>
      </w:pPr>
      <w:proofErr w:type="spellStart"/>
      <w:r w:rsidRPr="0010398A">
        <w:rPr>
          <w:b/>
          <w:lang w:val="uk-UA"/>
        </w:rPr>
        <w:t>Карайченцева</w:t>
      </w:r>
      <w:proofErr w:type="spellEnd"/>
      <w:r w:rsidRPr="0010398A">
        <w:rPr>
          <w:b/>
          <w:lang w:val="uk-UA"/>
        </w:rPr>
        <w:t xml:space="preserve"> Г.О.</w:t>
      </w:r>
      <w:r w:rsidRPr="0010398A">
        <w:rPr>
          <w:lang w:val="uk-UA"/>
        </w:rPr>
        <w:t xml:space="preserve"> Технології залучення інвестиційних ресурсів на ринку цінних паперів // Збірник наукових праць НДФІ. – 2004. – №3. – С.27-31.</w:t>
      </w:r>
    </w:p>
    <w:p w:rsidR="000E0C02" w:rsidRPr="0010398A" w:rsidRDefault="000E0C02" w:rsidP="003441D0">
      <w:pPr>
        <w:widowControl w:val="0"/>
        <w:numPr>
          <w:ilvl w:val="0"/>
          <w:numId w:val="3"/>
        </w:numPr>
        <w:tabs>
          <w:tab w:val="clear" w:pos="1080"/>
        </w:tabs>
        <w:overflowPunct w:val="0"/>
        <w:autoSpaceDE w:val="0"/>
        <w:autoSpaceDN w:val="0"/>
        <w:adjustRightInd w:val="0"/>
        <w:ind w:left="0" w:firstLine="360"/>
        <w:jc w:val="both"/>
        <w:textAlignment w:val="baseline"/>
        <w:rPr>
          <w:lang w:val="uk-UA"/>
        </w:rPr>
      </w:pPr>
      <w:r w:rsidRPr="002F7729">
        <w:rPr>
          <w:lang w:val="uk-UA"/>
        </w:rPr>
        <w:t>Закон України</w:t>
      </w:r>
      <w:r w:rsidRPr="0010398A">
        <w:rPr>
          <w:lang w:val="uk-UA"/>
        </w:rPr>
        <w:t xml:space="preserve"> «Про інститути спільного інвестування (пайові та корпоративні інвестиційні фонди)» від 15.03.2001 №229 – ІІІ //  </w:t>
      </w:r>
      <w:hyperlink r:id="rId6" w:history="1">
        <w:r w:rsidRPr="0010398A">
          <w:rPr>
            <w:rStyle w:val="a3"/>
            <w:color w:val="auto"/>
            <w:lang w:val="en-US"/>
          </w:rPr>
          <w:t>http</w:t>
        </w:r>
        <w:r w:rsidRPr="0010398A">
          <w:rPr>
            <w:rStyle w:val="a3"/>
            <w:color w:val="auto"/>
            <w:lang w:val="uk-UA"/>
          </w:rPr>
          <w:t>://</w:t>
        </w:r>
        <w:r w:rsidRPr="0010398A">
          <w:rPr>
            <w:rStyle w:val="a3"/>
            <w:color w:val="auto"/>
            <w:lang w:val="en-US"/>
          </w:rPr>
          <w:t>www</w:t>
        </w:r>
        <w:r w:rsidRPr="0010398A">
          <w:rPr>
            <w:rStyle w:val="a3"/>
            <w:color w:val="auto"/>
            <w:lang w:val="uk-UA"/>
          </w:rPr>
          <w:t>.</w:t>
        </w:r>
        <w:proofErr w:type="spellStart"/>
        <w:r w:rsidRPr="0010398A">
          <w:rPr>
            <w:rStyle w:val="a3"/>
            <w:color w:val="auto"/>
            <w:lang w:val="en-US"/>
          </w:rPr>
          <w:t>zakon</w:t>
        </w:r>
        <w:proofErr w:type="spellEnd"/>
        <w:r w:rsidRPr="0010398A">
          <w:rPr>
            <w:rStyle w:val="a3"/>
            <w:color w:val="auto"/>
            <w:lang w:val="uk-UA"/>
          </w:rPr>
          <w:t>.</w:t>
        </w:r>
        <w:proofErr w:type="spellStart"/>
        <w:r w:rsidRPr="0010398A">
          <w:rPr>
            <w:rStyle w:val="a3"/>
            <w:color w:val="auto"/>
            <w:lang w:val="en-US"/>
          </w:rPr>
          <w:t>rada</w:t>
        </w:r>
        <w:proofErr w:type="spellEnd"/>
        <w:r w:rsidRPr="0010398A">
          <w:rPr>
            <w:rStyle w:val="a3"/>
            <w:color w:val="auto"/>
            <w:lang w:val="uk-UA"/>
          </w:rPr>
          <w:t>.</w:t>
        </w:r>
        <w:proofErr w:type="spellStart"/>
        <w:r w:rsidRPr="0010398A">
          <w:rPr>
            <w:rStyle w:val="a3"/>
            <w:color w:val="auto"/>
            <w:lang w:val="en-US"/>
          </w:rPr>
          <w:t>gov</w:t>
        </w:r>
        <w:proofErr w:type="spellEnd"/>
        <w:r w:rsidRPr="0010398A">
          <w:rPr>
            <w:rStyle w:val="a3"/>
            <w:color w:val="auto"/>
            <w:lang w:val="uk-UA"/>
          </w:rPr>
          <w:t>.</w:t>
        </w:r>
        <w:proofErr w:type="spellStart"/>
        <w:r w:rsidRPr="0010398A">
          <w:rPr>
            <w:rStyle w:val="a3"/>
            <w:color w:val="auto"/>
            <w:lang w:val="en-US"/>
          </w:rPr>
          <w:t>ua</w:t>
        </w:r>
        <w:proofErr w:type="spellEnd"/>
        <w:r w:rsidRPr="0010398A">
          <w:rPr>
            <w:rStyle w:val="a3"/>
            <w:color w:val="auto"/>
            <w:lang w:val="uk-UA"/>
          </w:rPr>
          <w:t>/</w:t>
        </w:r>
      </w:hyperlink>
      <w:r w:rsidRPr="0010398A">
        <w:rPr>
          <w:lang w:val="uk-UA"/>
        </w:rPr>
        <w:t>.</w:t>
      </w:r>
    </w:p>
    <w:p w:rsidR="000E0C02" w:rsidRPr="0010398A" w:rsidRDefault="000E0C02" w:rsidP="003441D0">
      <w:pPr>
        <w:widowControl w:val="0"/>
        <w:numPr>
          <w:ilvl w:val="0"/>
          <w:numId w:val="3"/>
        </w:numPr>
        <w:tabs>
          <w:tab w:val="clear" w:pos="1080"/>
          <w:tab w:val="num" w:pos="0"/>
        </w:tabs>
        <w:overflowPunct w:val="0"/>
        <w:autoSpaceDE w:val="0"/>
        <w:autoSpaceDN w:val="0"/>
        <w:adjustRightInd w:val="0"/>
        <w:ind w:left="0" w:firstLine="360"/>
        <w:jc w:val="both"/>
        <w:textAlignment w:val="baseline"/>
      </w:pPr>
      <w:r w:rsidRPr="0010398A">
        <w:rPr>
          <w:b/>
          <w:lang w:val="uk-UA"/>
        </w:rPr>
        <w:t xml:space="preserve">Кузнєцова Н. С., </w:t>
      </w:r>
      <w:proofErr w:type="spellStart"/>
      <w:r w:rsidRPr="0010398A">
        <w:rPr>
          <w:b/>
          <w:lang w:val="uk-UA"/>
        </w:rPr>
        <w:t>Назарчук</w:t>
      </w:r>
      <w:proofErr w:type="spellEnd"/>
      <w:r w:rsidRPr="0010398A">
        <w:rPr>
          <w:b/>
          <w:lang w:val="uk-UA"/>
        </w:rPr>
        <w:t xml:space="preserve"> </w:t>
      </w:r>
      <w:r w:rsidRPr="0010398A">
        <w:rPr>
          <w:b/>
        </w:rPr>
        <w:t>I</w:t>
      </w:r>
      <w:r w:rsidRPr="0010398A">
        <w:rPr>
          <w:b/>
          <w:lang w:val="uk-UA"/>
        </w:rPr>
        <w:t>. Р.</w:t>
      </w:r>
      <w:r w:rsidRPr="0010398A">
        <w:rPr>
          <w:lang w:val="uk-UA"/>
        </w:rPr>
        <w:t xml:space="preserve"> Ринок цінних паперів в Україні: правові основи формування та функціонування. – К.: </w:t>
      </w:r>
      <w:proofErr w:type="spellStart"/>
      <w:r w:rsidRPr="0010398A">
        <w:rPr>
          <w:lang w:val="uk-UA"/>
        </w:rPr>
        <w:t>Юрінком</w:t>
      </w:r>
      <w:proofErr w:type="spellEnd"/>
      <w:r w:rsidRPr="0010398A">
        <w:rPr>
          <w:lang w:val="uk-UA"/>
        </w:rPr>
        <w:t xml:space="preserve"> Інтер</w:t>
      </w:r>
      <w:r w:rsidRPr="0010398A">
        <w:t>, 2005.</w:t>
      </w:r>
      <w:r w:rsidRPr="0010398A">
        <w:rPr>
          <w:lang w:val="uk-UA"/>
        </w:rPr>
        <w:t xml:space="preserve"> –</w:t>
      </w:r>
      <w:r w:rsidRPr="0010398A">
        <w:t xml:space="preserve"> 128 с.</w:t>
      </w:r>
    </w:p>
    <w:p w:rsidR="000E0C02" w:rsidRPr="0010398A" w:rsidRDefault="000E0C02" w:rsidP="003441D0">
      <w:pPr>
        <w:widowControl w:val="0"/>
        <w:numPr>
          <w:ilvl w:val="0"/>
          <w:numId w:val="3"/>
        </w:numPr>
        <w:tabs>
          <w:tab w:val="clear" w:pos="1080"/>
          <w:tab w:val="num" w:pos="0"/>
        </w:tabs>
        <w:overflowPunct w:val="0"/>
        <w:autoSpaceDE w:val="0"/>
        <w:autoSpaceDN w:val="0"/>
        <w:adjustRightInd w:val="0"/>
        <w:ind w:left="0" w:firstLine="360"/>
        <w:jc w:val="both"/>
        <w:textAlignment w:val="baseline"/>
        <w:rPr>
          <w:lang w:val="uk-UA"/>
        </w:rPr>
      </w:pPr>
      <w:hyperlink r:id="rId7" w:history="1">
        <w:r w:rsidRPr="0010398A">
          <w:rPr>
            <w:rStyle w:val="a3"/>
            <w:color w:val="auto"/>
            <w:lang w:val="en-US"/>
          </w:rPr>
          <w:t>http</w:t>
        </w:r>
        <w:r w:rsidRPr="0010398A">
          <w:rPr>
            <w:rStyle w:val="a3"/>
            <w:color w:val="auto"/>
            <w:lang w:val="uk-UA"/>
          </w:rPr>
          <w:t>://</w:t>
        </w:r>
        <w:r w:rsidRPr="0010398A">
          <w:rPr>
            <w:rStyle w:val="a3"/>
            <w:color w:val="auto"/>
            <w:lang w:val="en-US"/>
          </w:rPr>
          <w:t>www</w:t>
        </w:r>
        <w:r w:rsidRPr="0010398A">
          <w:rPr>
            <w:rStyle w:val="a3"/>
            <w:color w:val="auto"/>
          </w:rPr>
          <w:t>.</w:t>
        </w:r>
        <w:proofErr w:type="spellStart"/>
        <w:r w:rsidRPr="0010398A">
          <w:rPr>
            <w:rStyle w:val="a3"/>
            <w:color w:val="auto"/>
            <w:lang w:val="en-US"/>
          </w:rPr>
          <w:t>pfts</w:t>
        </w:r>
        <w:proofErr w:type="spellEnd"/>
        <w:r w:rsidRPr="0010398A">
          <w:rPr>
            <w:rStyle w:val="a3"/>
            <w:color w:val="auto"/>
          </w:rPr>
          <w:t>.</w:t>
        </w:r>
        <w:r w:rsidRPr="0010398A">
          <w:rPr>
            <w:rStyle w:val="a3"/>
            <w:color w:val="auto"/>
            <w:lang w:val="en-US"/>
          </w:rPr>
          <w:t>com</w:t>
        </w:r>
        <w:r w:rsidRPr="0010398A">
          <w:rPr>
            <w:rStyle w:val="a3"/>
            <w:color w:val="auto"/>
          </w:rPr>
          <w:t>/</w:t>
        </w:r>
      </w:hyperlink>
      <w:r w:rsidRPr="0010398A">
        <w:t xml:space="preserve"> – </w:t>
      </w:r>
      <w:r w:rsidRPr="0010398A">
        <w:rPr>
          <w:lang w:val="uk-UA"/>
        </w:rPr>
        <w:t>Сайт Першої Фондової Торговельної Системи.</w:t>
      </w:r>
    </w:p>
    <w:p w:rsidR="000E0C02" w:rsidRDefault="000E0C02" w:rsidP="003441D0">
      <w:pPr>
        <w:widowControl w:val="0"/>
        <w:numPr>
          <w:ilvl w:val="0"/>
          <w:numId w:val="3"/>
        </w:numPr>
        <w:tabs>
          <w:tab w:val="clear" w:pos="1080"/>
          <w:tab w:val="num" w:pos="0"/>
        </w:tabs>
        <w:overflowPunct w:val="0"/>
        <w:autoSpaceDE w:val="0"/>
        <w:autoSpaceDN w:val="0"/>
        <w:adjustRightInd w:val="0"/>
        <w:ind w:left="0" w:firstLine="360"/>
        <w:jc w:val="both"/>
        <w:textAlignment w:val="baseline"/>
        <w:rPr>
          <w:lang w:val="uk-UA"/>
        </w:rPr>
      </w:pPr>
      <w:hyperlink r:id="rId8" w:history="1">
        <w:r w:rsidRPr="0010398A">
          <w:rPr>
            <w:rStyle w:val="a3"/>
            <w:color w:val="auto"/>
            <w:lang w:val="en-US"/>
          </w:rPr>
          <w:t>http</w:t>
        </w:r>
        <w:r w:rsidRPr="0010398A">
          <w:rPr>
            <w:rStyle w:val="a3"/>
            <w:color w:val="auto"/>
            <w:lang w:val="uk-UA"/>
          </w:rPr>
          <w:t>://</w:t>
        </w:r>
        <w:r w:rsidRPr="0010398A">
          <w:rPr>
            <w:rStyle w:val="a3"/>
            <w:color w:val="auto"/>
            <w:lang w:val="en-US"/>
          </w:rPr>
          <w:t>www</w:t>
        </w:r>
        <w:r w:rsidRPr="0010398A">
          <w:rPr>
            <w:rStyle w:val="a3"/>
            <w:color w:val="auto"/>
          </w:rPr>
          <w:t>.</w:t>
        </w:r>
        <w:proofErr w:type="spellStart"/>
        <w:r w:rsidRPr="0010398A">
          <w:rPr>
            <w:rStyle w:val="a3"/>
            <w:color w:val="auto"/>
            <w:lang w:val="en-US"/>
          </w:rPr>
          <w:t>ebrd</w:t>
        </w:r>
        <w:proofErr w:type="spellEnd"/>
        <w:r w:rsidRPr="0010398A">
          <w:rPr>
            <w:rStyle w:val="a3"/>
            <w:color w:val="auto"/>
          </w:rPr>
          <w:t>.</w:t>
        </w:r>
        <w:r w:rsidRPr="0010398A">
          <w:rPr>
            <w:rStyle w:val="a3"/>
            <w:color w:val="auto"/>
            <w:lang w:val="en-US"/>
          </w:rPr>
          <w:t>org</w:t>
        </w:r>
        <w:r w:rsidRPr="0010398A">
          <w:rPr>
            <w:rStyle w:val="a3"/>
            <w:color w:val="auto"/>
          </w:rPr>
          <w:t>/</w:t>
        </w:r>
        <w:proofErr w:type="spellStart"/>
        <w:r w:rsidRPr="0010398A">
          <w:rPr>
            <w:rStyle w:val="a3"/>
            <w:color w:val="auto"/>
            <w:lang w:val="en-US"/>
          </w:rPr>
          <w:t>russian</w:t>
        </w:r>
        <w:proofErr w:type="spellEnd"/>
        <w:r w:rsidRPr="0010398A">
          <w:rPr>
            <w:rStyle w:val="a3"/>
            <w:color w:val="auto"/>
          </w:rPr>
          <w:t>/</w:t>
        </w:r>
      </w:hyperlink>
      <w:r w:rsidRPr="0010398A">
        <w:t xml:space="preserve"> – </w:t>
      </w:r>
      <w:r w:rsidRPr="0010398A">
        <w:rPr>
          <w:lang w:val="uk-UA"/>
        </w:rPr>
        <w:t>Сайт Європейського Банку Реконструкції та Розвитку.</w:t>
      </w:r>
    </w:p>
    <w:p w:rsidR="000E0C02" w:rsidRDefault="000E0C02" w:rsidP="003441D0">
      <w:pPr>
        <w:widowControl w:val="0"/>
        <w:numPr>
          <w:ilvl w:val="0"/>
          <w:numId w:val="3"/>
        </w:numPr>
        <w:tabs>
          <w:tab w:val="clear" w:pos="1080"/>
          <w:tab w:val="num" w:pos="0"/>
        </w:tabs>
        <w:overflowPunct w:val="0"/>
        <w:autoSpaceDE w:val="0"/>
        <w:autoSpaceDN w:val="0"/>
        <w:adjustRightInd w:val="0"/>
        <w:ind w:left="0" w:firstLine="360"/>
        <w:jc w:val="both"/>
        <w:textAlignment w:val="baseline"/>
        <w:rPr>
          <w:lang w:val="uk-UA"/>
        </w:rPr>
      </w:pPr>
      <w:hyperlink r:id="rId9" w:history="1">
        <w:r w:rsidRPr="0010398A">
          <w:rPr>
            <w:rStyle w:val="a3"/>
            <w:color w:val="auto"/>
            <w:lang w:val="en-US"/>
          </w:rPr>
          <w:t>http</w:t>
        </w:r>
        <w:r w:rsidRPr="0010398A">
          <w:rPr>
            <w:rStyle w:val="a3"/>
            <w:color w:val="auto"/>
            <w:lang w:val="uk-UA"/>
          </w:rPr>
          <w:t>://</w:t>
        </w:r>
        <w:r w:rsidRPr="0010398A">
          <w:rPr>
            <w:rStyle w:val="a3"/>
            <w:color w:val="auto"/>
            <w:lang w:val="en-US"/>
          </w:rPr>
          <w:t>www</w:t>
        </w:r>
        <w:r w:rsidRPr="0010398A">
          <w:rPr>
            <w:rStyle w:val="a3"/>
            <w:color w:val="auto"/>
            <w:lang w:val="uk-UA"/>
          </w:rPr>
          <w:t>.</w:t>
        </w:r>
        <w:r w:rsidRPr="0010398A">
          <w:rPr>
            <w:rStyle w:val="a3"/>
            <w:color w:val="auto"/>
            <w:lang w:val="en-US"/>
          </w:rPr>
          <w:t>banker</w:t>
        </w:r>
        <w:r w:rsidRPr="0010398A">
          <w:rPr>
            <w:rStyle w:val="a3"/>
            <w:color w:val="auto"/>
            <w:lang w:val="uk-UA"/>
          </w:rPr>
          <w:t>.</w:t>
        </w:r>
        <w:r w:rsidRPr="0010398A">
          <w:rPr>
            <w:rStyle w:val="a3"/>
            <w:color w:val="auto"/>
            <w:lang w:val="en-US"/>
          </w:rPr>
          <w:t>com</w:t>
        </w:r>
        <w:r w:rsidRPr="0010398A">
          <w:rPr>
            <w:rStyle w:val="a3"/>
            <w:color w:val="auto"/>
            <w:lang w:val="uk-UA"/>
          </w:rPr>
          <w:t>.</w:t>
        </w:r>
        <w:proofErr w:type="spellStart"/>
        <w:r w:rsidRPr="0010398A">
          <w:rPr>
            <w:rStyle w:val="a3"/>
            <w:color w:val="auto"/>
            <w:lang w:val="en-US"/>
          </w:rPr>
          <w:t>ua</w:t>
        </w:r>
        <w:proofErr w:type="spellEnd"/>
        <w:r w:rsidRPr="0010398A">
          <w:rPr>
            <w:rStyle w:val="a3"/>
            <w:color w:val="auto"/>
            <w:lang w:val="uk-UA"/>
          </w:rPr>
          <w:t>/</w:t>
        </w:r>
      </w:hyperlink>
      <w:r w:rsidRPr="0010398A">
        <w:rPr>
          <w:lang w:val="uk-UA"/>
        </w:rPr>
        <w:t xml:space="preserve"> – Український банківський портал</w:t>
      </w:r>
      <w:r>
        <w:rPr>
          <w:lang w:val="uk-UA"/>
        </w:rPr>
        <w:t>.</w:t>
      </w:r>
    </w:p>
    <w:p w:rsidR="00452E1E" w:rsidRPr="000E0C02" w:rsidRDefault="000E0C02" w:rsidP="000E0C02">
      <w:pPr>
        <w:rPr>
          <w:lang w:val="uk-UA"/>
        </w:rPr>
      </w:pPr>
      <w:hyperlink r:id="rId10" w:history="1">
        <w:r w:rsidRPr="0010398A">
          <w:rPr>
            <w:rStyle w:val="a3"/>
            <w:color w:val="auto"/>
            <w:lang w:val="en-US"/>
          </w:rPr>
          <w:t>http</w:t>
        </w:r>
        <w:r w:rsidRPr="0010398A">
          <w:rPr>
            <w:rStyle w:val="a3"/>
            <w:color w:val="auto"/>
            <w:lang w:val="uk-UA"/>
          </w:rPr>
          <w:t>://</w:t>
        </w:r>
        <w:r w:rsidRPr="0010398A">
          <w:rPr>
            <w:rStyle w:val="a3"/>
            <w:color w:val="auto"/>
            <w:lang w:val="en-US"/>
          </w:rPr>
          <w:t>www</w:t>
        </w:r>
        <w:r w:rsidRPr="0010398A">
          <w:rPr>
            <w:rStyle w:val="a3"/>
            <w:color w:val="auto"/>
            <w:lang w:val="uk-UA"/>
          </w:rPr>
          <w:t>.</w:t>
        </w:r>
        <w:proofErr w:type="spellStart"/>
        <w:r w:rsidRPr="0010398A">
          <w:rPr>
            <w:rStyle w:val="a3"/>
            <w:color w:val="auto"/>
            <w:lang w:val="en-US"/>
          </w:rPr>
          <w:t>uaib</w:t>
        </w:r>
        <w:proofErr w:type="spellEnd"/>
        <w:r w:rsidRPr="0010398A">
          <w:rPr>
            <w:rStyle w:val="a3"/>
            <w:color w:val="auto"/>
            <w:lang w:val="uk-UA"/>
          </w:rPr>
          <w:t>.</w:t>
        </w:r>
        <w:r w:rsidRPr="0010398A">
          <w:rPr>
            <w:rStyle w:val="a3"/>
            <w:color w:val="auto"/>
            <w:lang w:val="en-US"/>
          </w:rPr>
          <w:t>com</w:t>
        </w:r>
        <w:r w:rsidRPr="0010398A">
          <w:rPr>
            <w:rStyle w:val="a3"/>
            <w:color w:val="auto"/>
            <w:lang w:val="uk-UA"/>
          </w:rPr>
          <w:t>.</w:t>
        </w:r>
        <w:proofErr w:type="spellStart"/>
        <w:r w:rsidRPr="0010398A">
          <w:rPr>
            <w:rStyle w:val="a3"/>
            <w:color w:val="auto"/>
            <w:lang w:val="en-US"/>
          </w:rPr>
          <w:t>ua</w:t>
        </w:r>
        <w:proofErr w:type="spellEnd"/>
        <w:r w:rsidRPr="0010398A">
          <w:rPr>
            <w:rStyle w:val="a3"/>
            <w:color w:val="auto"/>
            <w:lang w:val="uk-UA"/>
          </w:rPr>
          <w:t>/</w:t>
        </w:r>
      </w:hyperlink>
      <w:r w:rsidRPr="0010398A">
        <w:rPr>
          <w:lang w:val="uk-UA"/>
        </w:rPr>
        <w:t xml:space="preserve"> – Сайт Української асоціації інвестиційного бізнесу.</w:t>
      </w:r>
    </w:p>
    <w:sectPr w:rsidR="00452E1E" w:rsidRPr="000E0C02"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83A54"/>
    <w:multiLevelType w:val="hybridMultilevel"/>
    <w:tmpl w:val="A010FD94"/>
    <w:lvl w:ilvl="0" w:tplc="22D4978E">
      <w:start w:val="1"/>
      <w:numFmt w:val="decimal"/>
      <w:lvlText w:val="%1."/>
      <w:lvlJc w:val="left"/>
      <w:pPr>
        <w:tabs>
          <w:tab w:val="num" w:pos="1654"/>
        </w:tabs>
        <w:ind w:left="1654" w:hanging="945"/>
      </w:pPr>
      <w:rPr>
        <w:rFonts w:hint="default"/>
      </w:rPr>
    </w:lvl>
    <w:lvl w:ilvl="1" w:tplc="0419000F">
      <w:start w:val="1"/>
      <w:numFmt w:val="decimal"/>
      <w:lvlText w:val="%2."/>
      <w:lvlJc w:val="left"/>
      <w:pPr>
        <w:tabs>
          <w:tab w:val="num" w:pos="1789"/>
        </w:tabs>
        <w:ind w:left="1789" w:hanging="360"/>
      </w:pPr>
      <w:rPr>
        <w:rFonts w:hint="default"/>
      </w:rPr>
    </w:lvl>
    <w:lvl w:ilvl="2" w:tplc="ACA0125C">
      <w:start w:val="1"/>
      <w:numFmt w:val="bullet"/>
      <w:lvlText w:val=""/>
      <w:lvlJc w:val="left"/>
      <w:pPr>
        <w:tabs>
          <w:tab w:val="num" w:pos="2689"/>
        </w:tabs>
        <w:ind w:left="2689" w:hanging="360"/>
      </w:pPr>
      <w:rPr>
        <w:rFonts w:ascii="Symbol" w:hAnsi="Symbol" w:hint="default"/>
      </w:rPr>
    </w:lvl>
    <w:lvl w:ilvl="3" w:tplc="FBE66CB6">
      <w:start w:val="3"/>
      <w:numFmt w:val="bullet"/>
      <w:lvlText w:val="–"/>
      <w:lvlJc w:val="left"/>
      <w:pPr>
        <w:tabs>
          <w:tab w:val="num" w:pos="3859"/>
        </w:tabs>
        <w:ind w:left="3859" w:hanging="990"/>
      </w:pPr>
      <w:rPr>
        <w:rFonts w:ascii="Times New Roman" w:eastAsia="Times New Roman" w:hAnsi="Times New Roman" w:cs="Times New Roman" w:hint="default"/>
      </w:rPr>
    </w:lvl>
    <w:lvl w:ilvl="4" w:tplc="8F02A14C">
      <w:start w:val="1"/>
      <w:numFmt w:val="decimal"/>
      <w:lvlText w:val="%5."/>
      <w:lvlJc w:val="left"/>
      <w:pPr>
        <w:tabs>
          <w:tab w:val="num" w:pos="3949"/>
        </w:tabs>
        <w:ind w:left="3949" w:hanging="360"/>
      </w:pPr>
      <w:rPr>
        <w:rFonts w:hint="default"/>
      </w:rPr>
    </w:lvl>
    <w:lvl w:ilvl="5" w:tplc="8F02A14C">
      <w:start w:val="1"/>
      <w:numFmt w:val="decimal"/>
      <w:lvlText w:val="%6."/>
      <w:lvlJc w:val="left"/>
      <w:pPr>
        <w:tabs>
          <w:tab w:val="num" w:pos="4849"/>
        </w:tabs>
        <w:ind w:left="4849" w:hanging="360"/>
      </w:pPr>
      <w:rPr>
        <w:rFonts w:hint="default"/>
      </w:rPr>
    </w:lvl>
    <w:lvl w:ilvl="6" w:tplc="8F02A14C">
      <w:start w:val="1"/>
      <w:numFmt w:val="decimal"/>
      <w:lvlText w:val="%7."/>
      <w:lvlJc w:val="left"/>
      <w:pPr>
        <w:tabs>
          <w:tab w:val="num" w:pos="4849"/>
        </w:tabs>
        <w:ind w:left="4849" w:hanging="360"/>
      </w:pPr>
      <w:rPr>
        <w:rFonts w:hint="default"/>
      </w:r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34FB3162"/>
    <w:multiLevelType w:val="hybridMultilevel"/>
    <w:tmpl w:val="19764DA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9E5"/>
    <w:rsid w:val="00074576"/>
    <w:rsid w:val="000845F4"/>
    <w:rsid w:val="000B4E6B"/>
    <w:rsid w:val="000E0C02"/>
    <w:rsid w:val="000E7806"/>
    <w:rsid w:val="001A715F"/>
    <w:rsid w:val="001F6C74"/>
    <w:rsid w:val="00264182"/>
    <w:rsid w:val="00282B09"/>
    <w:rsid w:val="003441D0"/>
    <w:rsid w:val="00382ABC"/>
    <w:rsid w:val="00412D86"/>
    <w:rsid w:val="00452E1E"/>
    <w:rsid w:val="004839A7"/>
    <w:rsid w:val="004C0C71"/>
    <w:rsid w:val="005E0245"/>
    <w:rsid w:val="005F5FA6"/>
    <w:rsid w:val="006E5A43"/>
    <w:rsid w:val="006F0F08"/>
    <w:rsid w:val="0076489B"/>
    <w:rsid w:val="007D2410"/>
    <w:rsid w:val="008F5480"/>
    <w:rsid w:val="00925687"/>
    <w:rsid w:val="009B0C31"/>
    <w:rsid w:val="009B29E5"/>
    <w:rsid w:val="009D3638"/>
    <w:rsid w:val="00A3588D"/>
    <w:rsid w:val="00B70E87"/>
    <w:rsid w:val="00BD2009"/>
    <w:rsid w:val="00BD2ED3"/>
    <w:rsid w:val="00BE4EC0"/>
    <w:rsid w:val="00CD37BF"/>
    <w:rsid w:val="00D80C60"/>
    <w:rsid w:val="00E520B3"/>
    <w:rsid w:val="00E528DF"/>
    <w:rsid w:val="00EB54D2"/>
    <w:rsid w:val="00F00A8B"/>
    <w:rsid w:val="00F907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E520B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1">
    <w:name w:val="Body Text Indent 2"/>
    <w:basedOn w:val="a"/>
    <w:link w:val="22"/>
    <w:uiPriority w:val="99"/>
    <w:semiHidden/>
    <w:unhideWhenUsed/>
    <w:rsid w:val="00D80C60"/>
    <w:pPr>
      <w:spacing w:after="120" w:line="480" w:lineRule="auto"/>
      <w:ind w:left="283"/>
    </w:pPr>
  </w:style>
  <w:style w:type="character" w:customStyle="1" w:styleId="22">
    <w:name w:val="Основной текст с отступом 2 Знак"/>
    <w:basedOn w:val="a0"/>
    <w:link w:val="21"/>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3">
    <w:name w:val="Body Text 2"/>
    <w:aliases w:val=" Знак Знак"/>
    <w:basedOn w:val="a"/>
    <w:link w:val="24"/>
    <w:rsid w:val="00D80C60"/>
    <w:pPr>
      <w:spacing w:after="120" w:line="480" w:lineRule="auto"/>
    </w:pPr>
    <w:rPr>
      <w:lang w:val="uk-UA" w:eastAsia="uk-UA"/>
    </w:rPr>
  </w:style>
  <w:style w:type="character" w:customStyle="1" w:styleId="24">
    <w:name w:val="Основной текст 2 Знак"/>
    <w:aliases w:val=" Знак Знак Знак"/>
    <w:basedOn w:val="a0"/>
    <w:link w:val="23"/>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2"/>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 w:type="paragraph" w:styleId="af0">
    <w:name w:val="Title"/>
    <w:basedOn w:val="a"/>
    <w:link w:val="af1"/>
    <w:qFormat/>
    <w:rsid w:val="001F6C74"/>
    <w:pPr>
      <w:ind w:firstLine="540"/>
      <w:jc w:val="center"/>
    </w:pPr>
    <w:rPr>
      <w:b/>
      <w:bCs/>
      <w:sz w:val="36"/>
      <w:lang w:val="uk-UA"/>
    </w:rPr>
  </w:style>
  <w:style w:type="character" w:customStyle="1" w:styleId="af1">
    <w:name w:val="Название Знак"/>
    <w:basedOn w:val="a0"/>
    <w:link w:val="af0"/>
    <w:rsid w:val="001F6C74"/>
    <w:rPr>
      <w:rFonts w:ascii="Times New Roman" w:eastAsia="Times New Roman" w:hAnsi="Times New Roman" w:cs="Times New Roman"/>
      <w:b/>
      <w:bCs/>
      <w:sz w:val="36"/>
      <w:szCs w:val="24"/>
      <w:lang w:val="uk-UA" w:eastAsia="ru-RU"/>
    </w:rPr>
  </w:style>
  <w:style w:type="paragraph" w:styleId="af2">
    <w:name w:val="Subtitle"/>
    <w:basedOn w:val="a"/>
    <w:link w:val="af3"/>
    <w:qFormat/>
    <w:rsid w:val="001F6C74"/>
    <w:pPr>
      <w:ind w:firstLine="540"/>
      <w:jc w:val="both"/>
    </w:pPr>
    <w:rPr>
      <w:rFonts w:ascii="Arial Black" w:hAnsi="Arial Black"/>
      <w:sz w:val="28"/>
      <w:lang w:val="uk-UA"/>
    </w:rPr>
  </w:style>
  <w:style w:type="character" w:customStyle="1" w:styleId="af3">
    <w:name w:val="Подзаголовок Знак"/>
    <w:basedOn w:val="a0"/>
    <w:link w:val="af2"/>
    <w:rsid w:val="001F6C74"/>
    <w:rPr>
      <w:rFonts w:ascii="Arial Black" w:eastAsia="Times New Roman" w:hAnsi="Arial Black" w:cs="Times New Roman"/>
      <w:sz w:val="28"/>
      <w:szCs w:val="24"/>
      <w:lang w:val="uk-UA" w:eastAsia="ru-RU"/>
    </w:rPr>
  </w:style>
  <w:style w:type="character" w:customStyle="1" w:styleId="20">
    <w:name w:val="Заголовок 2 Знак"/>
    <w:basedOn w:val="a0"/>
    <w:link w:val="2"/>
    <w:rsid w:val="00E520B3"/>
    <w:rPr>
      <w:rFonts w:ascii="Times New Roman" w:eastAsia="Times New Roman" w:hAnsi="Times New Roman" w:cs="Times New Roman"/>
      <w:b/>
      <w:bCs/>
      <w:sz w:val="36"/>
      <w:szCs w:val="36"/>
      <w:lang w:eastAsia="ru-RU"/>
    </w:rPr>
  </w:style>
  <w:style w:type="character" w:styleId="af4">
    <w:name w:val="Emphasis"/>
    <w:basedOn w:val="a0"/>
    <w:qFormat/>
    <w:rsid w:val="00E520B3"/>
    <w:rPr>
      <w:i/>
      <w:iCs/>
    </w:rPr>
  </w:style>
  <w:style w:type="paragraph" w:customStyle="1" w:styleId="af5">
    <w:name w:val="Подпункт"/>
    <w:basedOn w:val="a"/>
    <w:next w:val="a"/>
    <w:rsid w:val="000E0C02"/>
    <w:pPr>
      <w:widowControl w:val="0"/>
      <w:spacing w:line="360" w:lineRule="auto"/>
      <w:ind w:firstLine="709"/>
      <w:jc w:val="both"/>
      <w:outlineLvl w:val="2"/>
    </w:pPr>
    <w:rPr>
      <w:color w:val="333333"/>
      <w:sz w:val="28"/>
      <w:szCs w:val="28"/>
      <w:lang w:val="uk-UA"/>
    </w:rPr>
  </w:style>
  <w:style w:type="paragraph" w:customStyle="1" w:styleId="af6">
    <w:name w:val="Глава"/>
    <w:basedOn w:val="a"/>
    <w:next w:val="a"/>
    <w:link w:val="af7"/>
    <w:rsid w:val="000E0C02"/>
    <w:pPr>
      <w:widowControl w:val="0"/>
      <w:spacing w:line="360" w:lineRule="auto"/>
      <w:jc w:val="center"/>
      <w:outlineLvl w:val="0"/>
    </w:pPr>
    <w:rPr>
      <w:b/>
      <w:caps/>
      <w:color w:val="333333"/>
      <w:sz w:val="28"/>
      <w:szCs w:val="28"/>
      <w:lang w:val="uk-UA"/>
    </w:rPr>
  </w:style>
  <w:style w:type="character" w:customStyle="1" w:styleId="af7">
    <w:name w:val="Глава Знак"/>
    <w:basedOn w:val="a0"/>
    <w:link w:val="af6"/>
    <w:rsid w:val="000E0C02"/>
    <w:rPr>
      <w:rFonts w:ascii="Times New Roman" w:eastAsia="Times New Roman" w:hAnsi="Times New Roman" w:cs="Times New Roman"/>
      <w:b/>
      <w:caps/>
      <w:color w:val="333333"/>
      <w:sz w:val="28"/>
      <w:szCs w:val="28"/>
      <w:lang w:val="uk-UA" w:eastAsia="ru-RU"/>
    </w:rPr>
  </w:style>
  <w:style w:type="paragraph" w:customStyle="1" w:styleId="10">
    <w:name w:val="Текст1"/>
    <w:basedOn w:val="a"/>
    <w:link w:val="11"/>
    <w:rsid w:val="000E0C02"/>
    <w:pPr>
      <w:widowControl w:val="0"/>
      <w:spacing w:line="360" w:lineRule="auto"/>
      <w:ind w:firstLine="709"/>
      <w:jc w:val="both"/>
    </w:pPr>
    <w:rPr>
      <w:color w:val="333333"/>
      <w:sz w:val="28"/>
      <w:szCs w:val="28"/>
      <w:lang w:val="uk-UA"/>
    </w:rPr>
  </w:style>
  <w:style w:type="character" w:customStyle="1" w:styleId="11">
    <w:name w:val="Текст1 Знак"/>
    <w:basedOn w:val="a0"/>
    <w:link w:val="10"/>
    <w:rsid w:val="000E0C02"/>
    <w:rPr>
      <w:rFonts w:ascii="Times New Roman" w:eastAsia="Times New Roman" w:hAnsi="Times New Roman" w:cs="Times New Roman"/>
      <w:color w:val="333333"/>
      <w:sz w:val="28"/>
      <w:szCs w:val="28"/>
      <w:lang w:val="uk-UA" w:eastAsia="ru-RU"/>
    </w:rPr>
  </w:style>
  <w:style w:type="paragraph" w:customStyle="1" w:styleId="Default">
    <w:name w:val="Default"/>
    <w:rsid w:val="000E0C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brd.org/russian/" TargetMode="External"/><Relationship Id="rId3" Type="http://schemas.openxmlformats.org/officeDocument/2006/relationships/settings" Target="settings.xml"/><Relationship Id="rId7" Type="http://schemas.openxmlformats.org/officeDocument/2006/relationships/hyperlink" Target="http://www.pft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rada.gov.ua/"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www.uaib.com.ua/" TargetMode="External"/><Relationship Id="rId4" Type="http://schemas.openxmlformats.org/officeDocument/2006/relationships/webSettings" Target="webSettings.xml"/><Relationship Id="rId9" Type="http://schemas.openxmlformats.org/officeDocument/2006/relationships/hyperlink" Target="http://www.banker.com.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1760</Words>
  <Characters>10032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2013-05-26T08:28:00Z</dcterms:created>
  <dcterms:modified xsi:type="dcterms:W3CDTF">2013-05-26T08:28:00Z</dcterms:modified>
</cp:coreProperties>
</file>