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8B" w:rsidRPr="005650E8" w:rsidRDefault="00F00A8B" w:rsidP="00F00A8B">
      <w:pPr>
        <w:widowControl w:val="0"/>
      </w:pPr>
      <w:r w:rsidRPr="002D27E6">
        <w:t>ЗУЙКОВ Р.П., ст.гр. МО 04-б</w:t>
      </w:r>
    </w:p>
    <w:p w:rsidR="00F00A8B" w:rsidRPr="005650E8" w:rsidRDefault="00F00A8B" w:rsidP="00F00A8B">
      <w:pPr>
        <w:widowControl w:val="0"/>
      </w:pPr>
      <w:r w:rsidRPr="005650E8">
        <w:t>Науч. руков.: Гришина Ю.В.</w:t>
      </w:r>
      <w:r>
        <w:t>, асс.</w:t>
      </w:r>
    </w:p>
    <w:p w:rsidR="00F00A8B" w:rsidRDefault="00F00A8B" w:rsidP="00F00A8B">
      <w:pPr>
        <w:widowControl w:val="0"/>
        <w:rPr>
          <w:lang w:val="uk-UA"/>
        </w:rPr>
      </w:pPr>
      <w:r w:rsidRPr="005650E8">
        <w:t>Автомобильно-дорожный институт Г</w:t>
      </w:r>
      <w:r>
        <w:rPr>
          <w:lang w:val="uk-UA"/>
        </w:rPr>
        <w:t>осударственное в</w:t>
      </w:r>
      <w:r>
        <w:t>ы</w:t>
      </w:r>
      <w:r>
        <w:rPr>
          <w:lang w:val="uk-UA"/>
        </w:rPr>
        <w:t>сшее учебное заведение</w:t>
      </w:r>
    </w:p>
    <w:p w:rsidR="00F00A8B" w:rsidRPr="005650E8" w:rsidRDefault="00F00A8B" w:rsidP="00F00A8B">
      <w:pPr>
        <w:widowControl w:val="0"/>
      </w:pPr>
      <w:r w:rsidRPr="005650E8">
        <w:t>«Дон</w:t>
      </w:r>
      <w:r>
        <w:t>ецкий национальный технический университет</w:t>
      </w:r>
      <w:r w:rsidRPr="005650E8">
        <w:t>»</w:t>
      </w:r>
      <w:r>
        <w:t>,</w:t>
      </w:r>
    </w:p>
    <w:p w:rsidR="00F00A8B" w:rsidRPr="005650E8" w:rsidRDefault="00F00A8B" w:rsidP="00F00A8B">
      <w:pPr>
        <w:widowControl w:val="0"/>
      </w:pPr>
      <w:r w:rsidRPr="005650E8">
        <w:t>г. Горловка</w:t>
      </w:r>
    </w:p>
    <w:p w:rsidR="00F00A8B" w:rsidRPr="005650E8" w:rsidRDefault="00F00A8B" w:rsidP="00F00A8B">
      <w:pPr>
        <w:widowControl w:val="0"/>
      </w:pPr>
    </w:p>
    <w:p w:rsidR="00F00A8B" w:rsidRPr="005650E8" w:rsidRDefault="00F00A8B" w:rsidP="00F00A8B">
      <w:pPr>
        <w:widowControl w:val="0"/>
        <w:jc w:val="center"/>
        <w:rPr>
          <w:b/>
        </w:rPr>
      </w:pPr>
      <w:r w:rsidRPr="005650E8">
        <w:rPr>
          <w:b/>
        </w:rPr>
        <w:t>НЕКОТОРЫЕ АСПЕКТЫ ФИНАНСОВОГО АНАЛИЗА ДЕЯТЕЛЬНОСТИ КОММЕРЧЕСКИХ БАНКОВ</w:t>
      </w:r>
    </w:p>
    <w:p w:rsidR="00F00A8B" w:rsidRPr="005650E8" w:rsidRDefault="00F00A8B" w:rsidP="00F00A8B">
      <w:pPr>
        <w:widowControl w:val="0"/>
        <w:ind w:firstLine="709"/>
        <w:jc w:val="center"/>
        <w:rPr>
          <w:b/>
        </w:rPr>
      </w:pPr>
    </w:p>
    <w:p w:rsidR="00F00A8B" w:rsidRPr="005650E8" w:rsidRDefault="00F00A8B" w:rsidP="00F00A8B">
      <w:pPr>
        <w:widowControl w:val="0"/>
        <w:ind w:firstLine="709"/>
        <w:jc w:val="both"/>
        <w:rPr>
          <w:i/>
        </w:rPr>
      </w:pPr>
      <w:r w:rsidRPr="005650E8">
        <w:rPr>
          <w:i/>
        </w:rPr>
        <w:t>Определена необходимость финансового анализа деятельности коммерческих банков в условиях экономической нестабильности; рассмотрены основные сценарии проведения такого анализа потенциальными клиентами банков.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rPr>
          <w:b/>
        </w:rPr>
        <w:t>Актуальность.</w:t>
      </w:r>
      <w:r w:rsidRPr="005650E8">
        <w:t xml:space="preserve"> В современных условиях, с уменьшением ценности национальной валюты и ростом инфляции, наиболее выгодным является хранение свободных денежных средств в форме банковских депозитов. При этом, наблюдается снижение доверия населения к банковским учреждениям. В подобных условиях необходимо выделить те основные показатели банковской деятельности, которые помогут потенциальным потребителям определить более надежные финансовые институты и снизить возможные финансовые риски.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rPr>
          <w:b/>
        </w:rPr>
        <w:t>Цель исследования</w:t>
      </w:r>
      <w:r w:rsidRPr="005650E8">
        <w:t>: разработка рекомендаций по универсальной оценке банковской деятельности с целью минимизации финансовых рисков потребителя.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rPr>
          <w:b/>
        </w:rPr>
        <w:t xml:space="preserve">Основная часть. </w:t>
      </w:r>
      <w:r w:rsidRPr="005650E8">
        <w:t>Прежде всего, для оценки финансового состояния интересующего банка в условиях большого количества разрозненной и противоречивой информации следует выбрать наиболее релевантную и наиболее достоверную. Среди основных источников здесь следует обозначить: официальные сайты Национального банка Украины, Министерства финансов Украины, отдельных коммерческих банков и т.д.; материалы финансовой отчетности, годовые аудиторские отчеты банков; аналитические статьи в источниках печати, имеющих статус официальных государственных и т.п. Также в данном случае не следует пренебрегать мнениями специалистов, а также возможно мнениями знакомых потребителю клиентов банка, которые заслуживают доверия.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Далее определяются основные направления, по которым необходимо провести анализ.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Условно можно выделить 3 этапа в процессе анализа: предварительный, собственно анализ и формулировка результатов.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 xml:space="preserve">На предварительном этапе, из полученной информации отбирается та, которая позволяет определить базовые характеристики банка, такие как размер и структура капитала банка (в данном случае, под структурой, кроме стандартного понимания, подразумевается долевое соотношение в общей сумме капитала соответственно национального и иностранного; данный критерий заслуживает особого внимания, поскольку сегодня большим спросом пользуются услуги банков с иностранным капиталом, которые считаются более надежными и конкурентоспособными). Также заслуживают внимание история банка, его владельцы либо основные акционеры, наиболее крупные и влиятельные клиенты и т.п. 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На втором этапе – этапе собственно анализа – предположим два сценария, по которым может происходить деятельность потенциального клиента.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Первый – более простой, требует меньше затрат времени и труда, однако поэтому более поверхностный и менее надежный. Здесь сущность состоит в просмотре рейтингов банков, сравнительных характеристик сумм капитала, активов и обязательств, показателей эффективности (в частности, прибыльности). На основании полученных результатов, потенциальный потребитель оценивает наиболее выгодный с его точки зрения вариант либо выбирает из нескольких вариантов.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lastRenderedPageBreak/>
        <w:t>При выборе конкретных вариантов особое внимание следует уделить тому факту, что наиболее выгодные с точки зрения потребителя варианты вложения средств являются и наиболее рисковыми, поэтому в данном случае является необходимым выбор «усредненного» соотношения доходности-уровня риска.[1]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Что же касается второго возможного сценария осуществления аналитической деятельности будущим клиентом, то здесь предполагается более основательный подход к проблеме, а именно – анализ показателей ликвидности, платежеспособности, маневренности капитала; оценка экономической эффективности деятельности и т.п. Данный вариант дает более весомые, надежные результаты, однако требует больше временных и трудозатрат [2]</w:t>
      </w:r>
      <w:r>
        <w:t>.</w:t>
      </w:r>
      <w:r w:rsidRPr="005650E8">
        <w:t xml:space="preserve"> Следует также отметить, что для расчета и анализа ряда показателей, потенциальный потребитель должен обладать хотя бы минимальным уровнем знаний в области экономики, то есть данная методика является условно универсальной с данной точки зрения.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Финансовое состояние коммерческих банков характеризуется достаточностью капитала, качеством активов, ликвидностью баланса, эффективностью деятельности и уровнем управления (менеджментом) банка.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Капитал коммерческого банка выполняют несколько важных функций в ежедневной деятельности и для обеспечения долгосрочной жизнеспособности банка. Он служит для защиты от банкротства, компенсируя текущие потери до решения возникающих проблем; обеспечивает средства, необходимые для создания, организации и функционирования банка до привлечения достаточного количества депозитов; поддерживает доверие клиентов к банку и убеждает кредиторов в его финансовой силе. Капитал должен быть достаточно велик для обеспечения уверенности заёмщиков в том, что банк способен удовлетворить их потребности в кредитах, даже если экономика переживает спад.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Качество активов оценивается c точки зрения их возвратности (для кредитного портфеля) и способности своевременно и без потерь обращаться в платёжные средства (для ценных бумаг и основных средств).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Так как выдача ссуд составляет основу активных операций банка, то они (по мере возвращения) являются и основным источником для погашения обязательств перед клиентами. Поэтому затруднения при возврате средств банку могут вызвать наиболее серьёзные сбои в его работе. Таким образом, надёжность банка во многом будет определяться двумя величинами - размером кредитного портфеля (как основного источника риска) и объёмом просроченной зад</w:t>
      </w:r>
      <w:r>
        <w:t>олженности (потерянные активы).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Ликвидность оценивается на основе способности превращать свои активы в денежные средства или другие платёжные средства для оплаты предъявляемых обязательств в случае, если имеющихся в наличии платёжных средств для этого не хватает.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Эффективность банка выражается в уровне его доходности и отражает положительный совокупный результат работы банка во всех сферах его хозяйственно-финансовой и коммерческой деятельности. За счет доходов банка покрываются все его операционные расходы, включая административно-управленческие, формируется прибыль банка, размер которой определяет уровень дивидендов, увеличение собственных средств и развитие пассивных и активных операций.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Доходность банка является результатом оптимальной структуры его баланса как в части активов, так и пассивов, целевой направленности в деятельности банковского персонала в этом направлении. [</w:t>
      </w:r>
      <w:r>
        <w:t>3</w:t>
      </w:r>
      <w:r w:rsidRPr="005650E8">
        <w:t>]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Что же касается расчетных операций, если такие проводятся, то наиболее популярные коэффициенты и методология их расчета приведены в таблице 1. [5]</w:t>
      </w:r>
    </w:p>
    <w:p w:rsidR="00F00A8B" w:rsidRDefault="00F00A8B" w:rsidP="00F00A8B">
      <w:pPr>
        <w:widowControl w:val="0"/>
        <w:ind w:left="1620" w:hanging="1620"/>
        <w:jc w:val="both"/>
      </w:pPr>
    </w:p>
    <w:p w:rsidR="00F00A8B" w:rsidRPr="005650E8" w:rsidRDefault="00F00A8B" w:rsidP="00F00A8B">
      <w:pPr>
        <w:widowControl w:val="0"/>
        <w:ind w:left="1620" w:hanging="1620"/>
        <w:jc w:val="both"/>
      </w:pPr>
      <w:r w:rsidRPr="005650E8">
        <w:t>Таблица 1 – Примеры расчетных коэффициентов для определения финансового состояния банка</w:t>
      </w:r>
    </w:p>
    <w:tbl>
      <w:tblPr>
        <w:tblW w:w="9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2935"/>
        <w:gridCol w:w="2477"/>
        <w:gridCol w:w="1663"/>
      </w:tblGrid>
      <w:tr w:rsidR="00F00A8B" w:rsidRPr="005650E8" w:rsidTr="00A00215">
        <w:trPr>
          <w:trHeight w:val="255"/>
          <w:jc w:val="center"/>
        </w:trPr>
        <w:tc>
          <w:tcPr>
            <w:tcW w:w="1966" w:type="dxa"/>
            <w:noWrap/>
            <w:vAlign w:val="center"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lastRenderedPageBreak/>
              <w:t>Показатель</w:t>
            </w:r>
          </w:p>
        </w:tc>
        <w:tc>
          <w:tcPr>
            <w:tcW w:w="2935" w:type="dxa"/>
            <w:noWrap/>
            <w:vAlign w:val="center"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Что характеризует</w:t>
            </w:r>
          </w:p>
        </w:tc>
        <w:tc>
          <w:tcPr>
            <w:tcW w:w="2477" w:type="dxa"/>
            <w:noWrap/>
            <w:vAlign w:val="center"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Порядок расчета</w:t>
            </w:r>
          </w:p>
        </w:tc>
        <w:tc>
          <w:tcPr>
            <w:tcW w:w="1663" w:type="dxa"/>
            <w:noWrap/>
            <w:vAlign w:val="center"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Оптимальное значение</w:t>
            </w:r>
          </w:p>
        </w:tc>
      </w:tr>
      <w:tr w:rsidR="00F00A8B" w:rsidRPr="005650E8" w:rsidTr="00A00215">
        <w:trPr>
          <w:trHeight w:val="1016"/>
          <w:jc w:val="center"/>
        </w:trPr>
        <w:tc>
          <w:tcPr>
            <w:tcW w:w="1966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Коэффициент фондовой капитализации</w:t>
            </w:r>
          </w:p>
        </w:tc>
        <w:tc>
          <w:tcPr>
            <w:tcW w:w="2935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Отображает возможность банка наращивать капитал за счет прибыли</w:t>
            </w:r>
          </w:p>
        </w:tc>
        <w:tc>
          <w:tcPr>
            <w:tcW w:w="2477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Отношение уставного капитала к капиталу</w:t>
            </w:r>
          </w:p>
        </w:tc>
        <w:tc>
          <w:tcPr>
            <w:tcW w:w="1663" w:type="dxa"/>
            <w:noWrap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Не менее 65%</w:t>
            </w:r>
          </w:p>
        </w:tc>
      </w:tr>
      <w:tr w:rsidR="00F00A8B" w:rsidRPr="005650E8" w:rsidTr="00A00215">
        <w:trPr>
          <w:trHeight w:val="1254"/>
          <w:jc w:val="center"/>
        </w:trPr>
        <w:tc>
          <w:tcPr>
            <w:tcW w:w="1966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Коэффициент рискованности кредитной политики</w:t>
            </w:r>
          </w:p>
        </w:tc>
        <w:tc>
          <w:tcPr>
            <w:tcW w:w="2935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Характеризует рискованность кредитной политики</w:t>
            </w:r>
          </w:p>
        </w:tc>
        <w:tc>
          <w:tcPr>
            <w:tcW w:w="2477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Отношение выданных срочных кредитов к капиталу</w:t>
            </w:r>
          </w:p>
        </w:tc>
        <w:tc>
          <w:tcPr>
            <w:tcW w:w="1663" w:type="dxa"/>
            <w:noWrap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300-500%</w:t>
            </w:r>
          </w:p>
        </w:tc>
      </w:tr>
      <w:tr w:rsidR="00F00A8B" w:rsidRPr="005650E8" w:rsidTr="00A00215">
        <w:trPr>
          <w:trHeight w:val="1531"/>
          <w:jc w:val="center"/>
        </w:trPr>
        <w:tc>
          <w:tcPr>
            <w:tcW w:w="1966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Коэффициент клиентской базы</w:t>
            </w:r>
          </w:p>
        </w:tc>
        <w:tc>
          <w:tcPr>
            <w:tcW w:w="2935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Показывает степень доверия к банку и доступность для банка максимально дешевых ресурсов</w:t>
            </w:r>
          </w:p>
        </w:tc>
        <w:tc>
          <w:tcPr>
            <w:tcW w:w="2477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Отношение остатков на клиентских счетах до востребования к суммы обязательств банка</w:t>
            </w:r>
          </w:p>
        </w:tc>
        <w:tc>
          <w:tcPr>
            <w:tcW w:w="1663" w:type="dxa"/>
            <w:noWrap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Не менее 20%</w:t>
            </w:r>
          </w:p>
        </w:tc>
      </w:tr>
      <w:tr w:rsidR="00F00A8B" w:rsidRPr="005650E8" w:rsidTr="00A00215">
        <w:trPr>
          <w:trHeight w:val="964"/>
          <w:jc w:val="center"/>
        </w:trPr>
        <w:tc>
          <w:tcPr>
            <w:tcW w:w="1966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Коэффициент срочных депозитов</w:t>
            </w:r>
          </w:p>
        </w:tc>
        <w:tc>
          <w:tcPr>
            <w:tcW w:w="2935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Характеризует уровень минимизации риска устойчивости</w:t>
            </w:r>
          </w:p>
        </w:tc>
        <w:tc>
          <w:tcPr>
            <w:tcW w:w="2477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Отношение срочных депозитов к чистым обязательствам банка</w:t>
            </w:r>
          </w:p>
        </w:tc>
        <w:tc>
          <w:tcPr>
            <w:tcW w:w="1663" w:type="dxa"/>
            <w:noWrap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20-45%</w:t>
            </w:r>
          </w:p>
        </w:tc>
      </w:tr>
      <w:tr w:rsidR="00F00A8B" w:rsidRPr="005650E8" w:rsidTr="00A00215">
        <w:trPr>
          <w:trHeight w:val="1531"/>
          <w:jc w:val="center"/>
        </w:trPr>
        <w:tc>
          <w:tcPr>
            <w:tcW w:w="1966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Коэффициент покрытия депозитов физ. лиц</w:t>
            </w:r>
          </w:p>
        </w:tc>
        <w:tc>
          <w:tcPr>
            <w:tcW w:w="2935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Определяет способность банка рассчитаться с вкладчиками – физ. лицами за счет собственного капитала</w:t>
            </w:r>
          </w:p>
        </w:tc>
        <w:tc>
          <w:tcPr>
            <w:tcW w:w="2477" w:type="dxa"/>
            <w:noWrap/>
          </w:tcPr>
          <w:p w:rsidR="00F00A8B" w:rsidRPr="005650E8" w:rsidRDefault="00F00A8B" w:rsidP="00A00215">
            <w:pPr>
              <w:widowControl w:val="0"/>
            </w:pPr>
            <w:r w:rsidRPr="005650E8">
              <w:t>Отношение депозитов физ.лиц к капиталу банка</w:t>
            </w:r>
          </w:p>
        </w:tc>
        <w:tc>
          <w:tcPr>
            <w:tcW w:w="1663" w:type="dxa"/>
            <w:noWrap/>
          </w:tcPr>
          <w:p w:rsidR="00F00A8B" w:rsidRPr="005650E8" w:rsidRDefault="00F00A8B" w:rsidP="00A00215">
            <w:pPr>
              <w:widowControl w:val="0"/>
              <w:jc w:val="center"/>
            </w:pPr>
            <w:r w:rsidRPr="005650E8">
              <w:t>100-300%</w:t>
            </w:r>
          </w:p>
        </w:tc>
      </w:tr>
    </w:tbl>
    <w:p w:rsidR="00F00A8B" w:rsidRPr="005650E8" w:rsidRDefault="00F00A8B" w:rsidP="00F00A8B">
      <w:pPr>
        <w:widowControl w:val="0"/>
        <w:ind w:firstLine="709"/>
        <w:jc w:val="both"/>
      </w:pP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rPr>
          <w:b/>
        </w:rPr>
        <w:t>Выводы.</w:t>
      </w:r>
      <w:r w:rsidRPr="005650E8">
        <w:t xml:space="preserve"> Таким образом, в современных условиях потенциальный потребитель банковского учреждения для определения «точки равновесия» между уровнем желаемого дохода и риска должен провести оценку финансового состояния конкурирующих на национальном рынке банковских учреждений.</w:t>
      </w:r>
    </w:p>
    <w:p w:rsidR="00F00A8B" w:rsidRPr="005650E8" w:rsidRDefault="00F00A8B" w:rsidP="00F00A8B">
      <w:pPr>
        <w:widowControl w:val="0"/>
        <w:ind w:firstLine="709"/>
        <w:jc w:val="both"/>
      </w:pPr>
      <w:r w:rsidRPr="005650E8">
        <w:t>При этом возможны различные подходы к подобной оценке, такие как ознакомление с имеющимися аналитическими материалами, анализ статистической информации, отчетности, либо более времене- и трудоемкий коэффициентный анализ, который при этом является более обоснованным и результативным.</w:t>
      </w:r>
    </w:p>
    <w:p w:rsidR="00F00A8B" w:rsidRPr="005650E8" w:rsidRDefault="00F00A8B" w:rsidP="00F00A8B">
      <w:pPr>
        <w:widowControl w:val="0"/>
        <w:ind w:firstLine="709"/>
        <w:jc w:val="both"/>
      </w:pPr>
    </w:p>
    <w:p w:rsidR="00F00A8B" w:rsidRPr="005650E8" w:rsidRDefault="00F00A8B" w:rsidP="00F00A8B">
      <w:pPr>
        <w:widowControl w:val="0"/>
        <w:ind w:firstLine="709"/>
        <w:jc w:val="center"/>
      </w:pPr>
      <w:r w:rsidRPr="005650E8">
        <w:rPr>
          <w:b/>
          <w:bCs/>
        </w:rPr>
        <w:t>Библиографический список</w:t>
      </w:r>
    </w:p>
    <w:p w:rsidR="00F00A8B" w:rsidRPr="005650E8" w:rsidRDefault="00F00A8B" w:rsidP="00F00A8B">
      <w:pPr>
        <w:widowControl w:val="0"/>
        <w:numPr>
          <w:ilvl w:val="0"/>
          <w:numId w:val="33"/>
        </w:numPr>
        <w:tabs>
          <w:tab w:val="clear" w:pos="1699"/>
        </w:tabs>
        <w:ind w:left="0" w:firstLine="360"/>
        <w:jc w:val="both"/>
      </w:pPr>
      <w:r w:rsidRPr="005650E8">
        <w:t>Інструкція № 10 Національного банку України "Про порядок регулювання та аналіз діяльності комерційних банків (затверджена Постановою Правління Національного банку України від 30.12.2003р. за №469).</w:t>
      </w:r>
    </w:p>
    <w:p w:rsidR="00F00A8B" w:rsidRPr="005650E8" w:rsidRDefault="00F00A8B" w:rsidP="00F00A8B">
      <w:pPr>
        <w:widowControl w:val="0"/>
        <w:numPr>
          <w:ilvl w:val="0"/>
          <w:numId w:val="33"/>
        </w:numPr>
        <w:tabs>
          <w:tab w:val="clear" w:pos="1699"/>
        </w:tabs>
        <w:ind w:left="0" w:firstLine="360"/>
        <w:jc w:val="both"/>
      </w:pPr>
      <w:r w:rsidRPr="005650E8">
        <w:t xml:space="preserve">Аналіз діяльності комерційного банку. Навч. посібник для студентів вищих навчальних закладів / за ред. </w:t>
      </w:r>
      <w:r w:rsidRPr="005650E8">
        <w:rPr>
          <w:b/>
          <w:bCs/>
        </w:rPr>
        <w:t>Ф.Ф. Бутинця та ін.</w:t>
      </w:r>
      <w:r w:rsidRPr="005650E8">
        <w:t xml:space="preserve"> – Житомир: ПП “Рута”,2001.-384с.</w:t>
      </w:r>
    </w:p>
    <w:p w:rsidR="00F00A8B" w:rsidRPr="005650E8" w:rsidRDefault="00F00A8B" w:rsidP="00F00A8B">
      <w:pPr>
        <w:widowControl w:val="0"/>
        <w:numPr>
          <w:ilvl w:val="0"/>
          <w:numId w:val="33"/>
        </w:numPr>
        <w:tabs>
          <w:tab w:val="clear" w:pos="1699"/>
        </w:tabs>
        <w:ind w:left="0" w:firstLine="360"/>
        <w:jc w:val="both"/>
      </w:pPr>
      <w:r w:rsidRPr="005650E8">
        <w:rPr>
          <w:b/>
          <w:bCs/>
        </w:rPr>
        <w:t>Коваль В.М.</w:t>
      </w:r>
      <w:r w:rsidRPr="005650E8">
        <w:t xml:space="preserve"> Методи забезпечення оптимального співвідношення між ліквідністю і дохідністю комерційного банку // Фінанси України.-2000.-№2.-С.104-109.</w:t>
      </w:r>
    </w:p>
    <w:p w:rsidR="00F00A8B" w:rsidRPr="005650E8" w:rsidRDefault="00F00A8B" w:rsidP="00F00A8B">
      <w:pPr>
        <w:widowControl w:val="0"/>
        <w:numPr>
          <w:ilvl w:val="0"/>
          <w:numId w:val="33"/>
        </w:numPr>
        <w:tabs>
          <w:tab w:val="clear" w:pos="1699"/>
        </w:tabs>
        <w:ind w:left="0" w:firstLine="360"/>
        <w:jc w:val="both"/>
      </w:pPr>
      <w:r w:rsidRPr="005650E8">
        <w:rPr>
          <w:b/>
          <w:bCs/>
        </w:rPr>
        <w:t>С. Халява</w:t>
      </w:r>
      <w:r>
        <w:t>.</w:t>
      </w:r>
      <w:r w:rsidRPr="005650E8">
        <w:t xml:space="preserve"> Прибутковість і ліквідність комерційних банків та управління грошовою позицією - Вісник Національного банку України -2006. - № 5.</w:t>
      </w:r>
    </w:p>
    <w:p w:rsidR="00F00A8B" w:rsidRPr="005650E8" w:rsidRDefault="00F00A8B" w:rsidP="00F00A8B">
      <w:pPr>
        <w:widowControl w:val="0"/>
        <w:numPr>
          <w:ilvl w:val="0"/>
          <w:numId w:val="33"/>
        </w:numPr>
        <w:tabs>
          <w:tab w:val="clear" w:pos="1699"/>
        </w:tabs>
        <w:ind w:left="0" w:firstLine="360"/>
        <w:jc w:val="both"/>
      </w:pPr>
      <w:hyperlink r:id="rId5" w:history="1">
        <w:r w:rsidRPr="005650E8">
          <w:rPr>
            <w:rStyle w:val="a3"/>
          </w:rPr>
          <w:t>http://www.dengi-ua.com</w:t>
        </w:r>
      </w:hyperlink>
      <w:r w:rsidRPr="005650E8">
        <w:t xml:space="preserve"> – электронный ресурс</w:t>
      </w:r>
    </w:p>
    <w:p w:rsidR="00452E1E" w:rsidRPr="00282B09" w:rsidRDefault="00452E1E" w:rsidP="00074576"/>
    <w:sectPr w:rsidR="00452E1E" w:rsidRPr="00282B09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A91"/>
    <w:multiLevelType w:val="hybridMultilevel"/>
    <w:tmpl w:val="3C3EAB3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192"/>
    <w:multiLevelType w:val="hybridMultilevel"/>
    <w:tmpl w:val="BEB0D644"/>
    <w:lvl w:ilvl="0" w:tplc="6B202D4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83A54"/>
    <w:multiLevelType w:val="hybridMultilevel"/>
    <w:tmpl w:val="A010FD94"/>
    <w:lvl w:ilvl="0" w:tplc="22D4978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A0125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BE66CB6">
      <w:start w:val="3"/>
      <w:numFmt w:val="bullet"/>
      <w:lvlText w:val="–"/>
      <w:lvlJc w:val="left"/>
      <w:pPr>
        <w:tabs>
          <w:tab w:val="num" w:pos="3859"/>
        </w:tabs>
        <w:ind w:left="3859" w:hanging="990"/>
      </w:pPr>
      <w:rPr>
        <w:rFonts w:ascii="Times New Roman" w:eastAsia="Times New Roman" w:hAnsi="Times New Roman" w:cs="Times New Roman" w:hint="default"/>
      </w:rPr>
    </w:lvl>
    <w:lvl w:ilvl="4" w:tplc="8F02A14C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8F02A14C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6" w:tplc="8F02A14C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EA37FF6"/>
    <w:multiLevelType w:val="hybridMultilevel"/>
    <w:tmpl w:val="7760FE98"/>
    <w:lvl w:ilvl="0" w:tplc="49107C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C5C23"/>
    <w:multiLevelType w:val="hybridMultilevel"/>
    <w:tmpl w:val="2EFA9222"/>
    <w:lvl w:ilvl="0" w:tplc="ABEAB5C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0F97404"/>
    <w:multiLevelType w:val="hybridMultilevel"/>
    <w:tmpl w:val="8FAE913C"/>
    <w:lvl w:ilvl="0" w:tplc="F7B8F27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E6772"/>
    <w:multiLevelType w:val="hybridMultilevel"/>
    <w:tmpl w:val="95CAD4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325F34B9"/>
    <w:multiLevelType w:val="hybridMultilevel"/>
    <w:tmpl w:val="C9C04D2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43253"/>
    <w:multiLevelType w:val="hybridMultilevel"/>
    <w:tmpl w:val="A9860782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6A066F3"/>
    <w:multiLevelType w:val="hybridMultilevel"/>
    <w:tmpl w:val="AB625DB4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6B87A76"/>
    <w:multiLevelType w:val="hybridMultilevel"/>
    <w:tmpl w:val="1F683546"/>
    <w:lvl w:ilvl="0" w:tplc="EFAE6A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9A7BFC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2D649B4"/>
    <w:multiLevelType w:val="hybridMultilevel"/>
    <w:tmpl w:val="1E4838EE"/>
    <w:lvl w:ilvl="0" w:tplc="1854B8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323487E"/>
    <w:multiLevelType w:val="hybridMultilevel"/>
    <w:tmpl w:val="224AB82A"/>
    <w:lvl w:ilvl="0" w:tplc="39CA4D2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67867"/>
    <w:multiLevelType w:val="hybridMultilevel"/>
    <w:tmpl w:val="CC66083C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E0FF9"/>
    <w:multiLevelType w:val="hybridMultilevel"/>
    <w:tmpl w:val="4E989FC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824216">
      <w:start w:val="4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B2E46B7"/>
    <w:multiLevelType w:val="hybridMultilevel"/>
    <w:tmpl w:val="1F02EF0C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24">
    <w:nsid w:val="5DF539E3"/>
    <w:multiLevelType w:val="hybridMultilevel"/>
    <w:tmpl w:val="F446DEDC"/>
    <w:lvl w:ilvl="0" w:tplc="CD863DBC">
      <w:start w:val="1"/>
      <w:numFmt w:val="decimal"/>
      <w:lvlText w:val="%1."/>
      <w:lvlJc w:val="left"/>
      <w:pPr>
        <w:tabs>
          <w:tab w:val="num" w:pos="2498"/>
        </w:tabs>
        <w:ind w:left="249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66217C2"/>
    <w:multiLevelType w:val="hybridMultilevel"/>
    <w:tmpl w:val="853CB822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77E2B92"/>
    <w:multiLevelType w:val="hybridMultilevel"/>
    <w:tmpl w:val="893C5D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68107DA8"/>
    <w:multiLevelType w:val="hybridMultilevel"/>
    <w:tmpl w:val="EB2A3CBE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9702C09"/>
    <w:multiLevelType w:val="hybridMultilevel"/>
    <w:tmpl w:val="13B432E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A631A69"/>
    <w:multiLevelType w:val="hybridMultilevel"/>
    <w:tmpl w:val="D354E5DC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0">
    <w:nsid w:val="7364038C"/>
    <w:multiLevelType w:val="hybridMultilevel"/>
    <w:tmpl w:val="AE0474A4"/>
    <w:lvl w:ilvl="0" w:tplc="6ACA217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6F97E5E"/>
    <w:multiLevelType w:val="hybridMultilevel"/>
    <w:tmpl w:val="C2421334"/>
    <w:lvl w:ilvl="0" w:tplc="A7AE3C7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C0E6C40"/>
    <w:multiLevelType w:val="hybridMultilevel"/>
    <w:tmpl w:val="7696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16"/>
  </w:num>
  <w:num w:numId="11">
    <w:abstractNumId w:val="2"/>
  </w:num>
  <w:num w:numId="12">
    <w:abstractNumId w:val="4"/>
  </w:num>
  <w:num w:numId="13">
    <w:abstractNumId w:val="27"/>
  </w:num>
  <w:num w:numId="14">
    <w:abstractNumId w:val="28"/>
  </w:num>
  <w:num w:numId="15">
    <w:abstractNumId w:val="17"/>
  </w:num>
  <w:num w:numId="16">
    <w:abstractNumId w:val="32"/>
  </w:num>
  <w:num w:numId="17">
    <w:abstractNumId w:val="26"/>
  </w:num>
  <w:num w:numId="18">
    <w:abstractNumId w:val="24"/>
  </w:num>
  <w:num w:numId="19">
    <w:abstractNumId w:val="11"/>
  </w:num>
  <w:num w:numId="20">
    <w:abstractNumId w:val="7"/>
  </w:num>
  <w:num w:numId="21">
    <w:abstractNumId w:val="14"/>
  </w:num>
  <w:num w:numId="22">
    <w:abstractNumId w:val="22"/>
  </w:num>
  <w:num w:numId="23">
    <w:abstractNumId w:val="21"/>
  </w:num>
  <w:num w:numId="24">
    <w:abstractNumId w:val="12"/>
  </w:num>
  <w:num w:numId="25">
    <w:abstractNumId w:val="31"/>
  </w:num>
  <w:num w:numId="26">
    <w:abstractNumId w:val="25"/>
  </w:num>
  <w:num w:numId="27">
    <w:abstractNumId w:val="23"/>
  </w:num>
  <w:num w:numId="28">
    <w:abstractNumId w:val="29"/>
  </w:num>
  <w:num w:numId="29">
    <w:abstractNumId w:val="30"/>
  </w:num>
  <w:num w:numId="30">
    <w:abstractNumId w:val="15"/>
  </w:num>
  <w:num w:numId="31">
    <w:abstractNumId w:val="13"/>
  </w:num>
  <w:num w:numId="32">
    <w:abstractNumId w:val="19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1A715F"/>
    <w:rsid w:val="00282B09"/>
    <w:rsid w:val="00412D86"/>
    <w:rsid w:val="00452E1E"/>
    <w:rsid w:val="004839A7"/>
    <w:rsid w:val="005E0245"/>
    <w:rsid w:val="005F5FA6"/>
    <w:rsid w:val="006E5A43"/>
    <w:rsid w:val="006F0F08"/>
    <w:rsid w:val="0076489B"/>
    <w:rsid w:val="007D2410"/>
    <w:rsid w:val="009B29E5"/>
    <w:rsid w:val="009D3638"/>
    <w:rsid w:val="00A03567"/>
    <w:rsid w:val="00BD2ED3"/>
    <w:rsid w:val="00BE4EC0"/>
    <w:rsid w:val="00D80C60"/>
    <w:rsid w:val="00E528DF"/>
    <w:rsid w:val="00EB54D2"/>
    <w:rsid w:val="00F0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aliases w:val=" Знак Знак"/>
    <w:basedOn w:val="a"/>
    <w:link w:val="22"/>
    <w:rsid w:val="00D80C60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aliases w:val=" Знак Знак Знак"/>
    <w:basedOn w:val="a0"/>
    <w:link w:val="21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22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gi-u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7670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2013-05-26T08:20:00Z</dcterms:created>
  <dcterms:modified xsi:type="dcterms:W3CDTF">2013-05-26T08:20:00Z</dcterms:modified>
</cp:coreProperties>
</file>