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A" w:rsidRPr="00305E93" w:rsidRDefault="00311B9A" w:rsidP="00A06A4B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УДК 331.108.45</w:t>
      </w:r>
    </w:p>
    <w:p w:rsidR="00A56CBD" w:rsidRPr="00305E93" w:rsidRDefault="00A56CBD" w:rsidP="00A06A4B">
      <w:pPr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ОЦІНКА ЕФЕКТИВНОСТІ ВПРОВАДЖЕННЯ Е-</w:t>
      </w:r>
      <w:r w:rsidR="00DA5D86" w:rsidRPr="00305E93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У ПРОФЕСІЙНУ ПІДГОТОВКУ ПЕРСОНАЛУ</w:t>
      </w:r>
    </w:p>
    <w:p w:rsidR="00A56CBD" w:rsidRPr="00305E93" w:rsidRDefault="00A56CBD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Анотація.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У статті розглядається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оцінка ефективно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е-learning у професійну підготовку персоналу організації. 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Розроблено алгоритм прийняття рішень щодо доцільності впровадження цього інструменту та проаналізовано вплив ризиків на цей процес.</w:t>
      </w:r>
    </w:p>
    <w:p w:rsidR="00FE1FE6" w:rsidRPr="00305E93" w:rsidRDefault="00A56CBD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>Аннотация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В статье рассматривается оценка эффективности внедрения е-learning в профессиональную подготовку персонала организации. Разработан алгоритм принятия решений о целесообразности внедрения этого инструмента и проанализировано влияние рисков на этот процесс.</w:t>
      </w:r>
    </w:p>
    <w:p w:rsidR="00FE1FE6" w:rsidRPr="00305E93" w:rsidRDefault="00A56CBD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>Abstract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5E93">
        <w:rPr>
          <w:lang w:val="uk-UA"/>
        </w:rPr>
        <w:t xml:space="preserve"> 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This paper deals with evaluating the effectiveness of implementing e-learning in training the staff of the organization. An algorithm for decision-making regarding the advisability of introducing tools and analyzes the impact of risks on the process.</w:t>
      </w:r>
    </w:p>
    <w:p w:rsidR="006302CC" w:rsidRPr="00305E93" w:rsidRDefault="008E0315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Актуальність.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Світова економіка увійшла в епоху, яку характеризують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небувале посилення конкуренції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, перетворення раніше унікальних товарів у рядові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та навпаки,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адапт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під конкретного клієнта, 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стрімк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зм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ін, швидк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старіння технологій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, бізне</w:t>
      </w:r>
      <w:r w:rsidR="009567B3" w:rsidRPr="00305E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-ідей і професій і, зрозуміло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, владне проникне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ння телекомунікаційних систем (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в першу чергу мережі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тернет) в усі </w:t>
      </w:r>
      <w:r w:rsidR="00887FB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сфери суспільної життєдіяльності.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0315" w:rsidRPr="00305E93" w:rsidRDefault="00A07C8B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Електронне навчання (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66EAF" w:rsidRPr="00305E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learning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887FB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форма 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>навчання,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заснован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на використанні сучасних інформаційно-комунікаційних технологій</w:t>
      </w:r>
      <w:r w:rsidR="00887FB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Актуальність дослідження питань ефективного застосування </w:t>
      </w:r>
      <w:r w:rsidR="00452997" w:rsidRPr="00305E93">
        <w:rPr>
          <w:rFonts w:ascii="Times New Roman" w:hAnsi="Times New Roman" w:cs="Times New Roman"/>
          <w:sz w:val="28"/>
          <w:szCs w:val="28"/>
          <w:lang w:val="uk-UA"/>
        </w:rPr>
        <w:t>е-learning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обумовлена </w:t>
      </w:r>
      <w:r w:rsidR="009B64EA" w:rsidRPr="00305E93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="009B64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розглядається 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>як базова технологія реалізації концепції без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перервної освіти і, 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ключова</w:t>
      </w:r>
      <w:r w:rsidR="006302C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 позиції розвитку економіки знань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6EEA" w:rsidRPr="00305E93" w:rsidRDefault="00A56CBD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>Аналіз публікацій</w:t>
      </w:r>
      <w:r w:rsidR="008E0315" w:rsidRPr="00305E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5431D5" w:rsidRPr="00305E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>Дослідження проблем економіки зна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економіки соціальної сфери, економіки освіти отримали певне висвітлення в російській економічній літературі,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зокрема, в робо</w:t>
      </w:r>
      <w:r w:rsidR="00441019" w:rsidRPr="00305E93">
        <w:rPr>
          <w:rFonts w:ascii="Times New Roman" w:hAnsi="Times New Roman" w:cs="Times New Roman"/>
          <w:sz w:val="28"/>
          <w:szCs w:val="28"/>
          <w:lang w:val="uk-UA"/>
        </w:rPr>
        <w:t>тах Г.А.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01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Ахінова,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Е.Н.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Жільцова, 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.І.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lastRenderedPageBreak/>
        <w:t>Лугачева,</w:t>
      </w:r>
      <w:r w:rsidR="006D12B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В.Л. Макарова,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315" w:rsidRPr="00305E93">
        <w:rPr>
          <w:rFonts w:ascii="Times New Roman" w:hAnsi="Times New Roman" w:cs="Times New Roman"/>
          <w:sz w:val="28"/>
          <w:szCs w:val="28"/>
          <w:lang w:val="uk-UA"/>
        </w:rPr>
        <w:t>а також у роботах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019" w:rsidRPr="00305E93">
        <w:rPr>
          <w:rFonts w:ascii="Times New Roman" w:hAnsi="Times New Roman" w:cs="Times New Roman"/>
          <w:sz w:val="28"/>
          <w:szCs w:val="28"/>
          <w:lang w:val="uk-UA"/>
        </w:rPr>
        <w:t>зарубіжних вчених і фахівців М.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Кастельса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, Д.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Кіркпатріка, Д.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019" w:rsidRPr="00305E93">
        <w:rPr>
          <w:rFonts w:ascii="Times New Roman" w:hAnsi="Times New Roman" w:cs="Times New Roman"/>
          <w:sz w:val="28"/>
          <w:szCs w:val="28"/>
          <w:lang w:val="uk-UA"/>
        </w:rPr>
        <w:t>Муні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6EEA" w:rsidRPr="00305E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силу відносно недавньої появи і високих темпів розвитку послуг електронного</w:t>
      </w:r>
      <w:r w:rsidR="00966E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не всі теоретичні положення щодо їх місця в системі сучасних економічних та організаційних відносин набули завершеної форми.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7492" w:rsidRPr="00305E93" w:rsidRDefault="00117492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>Метою</w:t>
      </w:r>
      <w:r w:rsidR="00A56CBD" w:rsidRPr="00305E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данної</w:t>
      </w: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статті </w:t>
      </w:r>
      <w:r w:rsidR="005E2032" w:rsidRPr="00305E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є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аналіз факторів, що впливають на оцінку ефективності впровадження е-навчання, та визначення взаємозв’язків між ними.</w:t>
      </w:r>
    </w:p>
    <w:p w:rsidR="009C5A85" w:rsidRPr="00305E93" w:rsidRDefault="00A07C8B" w:rsidP="00452997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i/>
          <w:sz w:val="28"/>
          <w:szCs w:val="28"/>
          <w:lang w:val="uk-UA"/>
        </w:rPr>
        <w:t>Основний зміст</w:t>
      </w:r>
      <w:r w:rsidR="00117492" w:rsidRPr="00305E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45299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Одним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>з найбільш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популярних 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інноваційних методів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професійного 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навчання персоналу є е-learning. Електронні курси так само, як і вебінари, є однією з форм дистанційного навчання, але припускають повністю самостійну роботу з інтернетом і мультимедійними матеріалами. Важливо, що навчання за допомогою електронних курсів спрямоване на формування і підвищення інформаційної культури співробітників, освоєння сучасних інформаційних технологій. Серед особливостей технології e-learning слід відзначити такі, як: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інформації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на сервері,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відсутн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потреб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наочній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присутності бізнес-тренера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навчального заходу,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зручність та зрозумілість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, інтерактивність,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доступність методичних матеріалів та результатів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контролю знань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C5A85" w:rsidRPr="00305E93" w:rsidRDefault="00DA5D86" w:rsidP="00DA5D86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процесу розвитку персоналу залежить від обсягу витрат на професійне навчання. 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оптимізації цих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витрат створюють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власні 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>корпоративні університети,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наймають сторонні компанії, що займаються розвитком персоналу, або все традиційне навчання замінюють на e-learning.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EB6339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032" w:rsidRPr="00305E93">
        <w:rPr>
          <w:rFonts w:ascii="Times New Roman" w:hAnsi="Times New Roman" w:cs="Times New Roman"/>
          <w:sz w:val="28"/>
          <w:szCs w:val="28"/>
          <w:lang w:val="uk-UA"/>
        </w:rPr>
        <w:t>що е-навчання є досить витратним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, при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прийнятті рішення щодо 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його впровадження та функціонування на підприємстві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оцінити ефективність 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цього процесу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492" w:rsidRPr="00305E93" w:rsidRDefault="006302CC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Організаціями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широко використовуються різні методики оцінки ефективності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основними видами діяльності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роект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е-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навчання пов'язаний з основними видами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лише опосередковано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тому методики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оцінки не розроблялися до середини 60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 років XX століття. Застосування інших 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відомих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методик ускладнено специфічністю витратно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 дохідної стате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й освітніх проектів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31D5" w:rsidRPr="00305E93">
        <w:rPr>
          <w:rFonts w:ascii="Times New Roman" w:hAnsi="Times New Roman" w:cs="Times New Roman"/>
          <w:sz w:val="28"/>
          <w:szCs w:val="28"/>
          <w:lang w:val="uk-UA"/>
        </w:rPr>
        <w:t>Все більш набувають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методики Кіркпатріка</w:t>
      </w:r>
      <w:r w:rsidR="006D12B5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Філіпса, Касціо, Дугласа.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середини 90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х років XX століття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коли у великих транснаціональних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організаціях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стали реалізовуватися перші проекти корпорати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вного електронного навчання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, фахівці HR-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департаментів зводили оцінку</w:t>
      </w:r>
      <w:r w:rsidR="0045299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лише до доказу того факту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що витрати </w:t>
      </w:r>
      <w:r w:rsidR="00452997" w:rsidRPr="00305E9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</w:t>
      </w:r>
      <w:r w:rsidR="00452997" w:rsidRPr="00305E9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 великій </w:t>
      </w:r>
      <w:r w:rsidR="0045299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перевищують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витрати на </w:t>
      </w:r>
      <w:r w:rsidR="005431D5" w:rsidRPr="00305E93">
        <w:rPr>
          <w:rFonts w:ascii="Times New Roman" w:hAnsi="Times New Roman" w:cs="Times New Roman"/>
          <w:sz w:val="28"/>
          <w:szCs w:val="28"/>
          <w:lang w:val="uk-UA"/>
        </w:rPr>
        <w:t>е-learning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90F03" w:rsidRPr="00305E93">
        <w:rPr>
          <w:rFonts w:ascii="Times New Roman" w:hAnsi="Times New Roman" w:cs="Times New Roman"/>
          <w:sz w:val="28"/>
          <w:szCs w:val="28"/>
          <w:lang w:val="uk-UA"/>
        </w:rPr>
        <w:t>обґрунтовуючи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тим са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мим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їх впровадження. Однак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комплексних методик, що дозволяють всебічно оцінити співвідношення витрат і ефекту від подібних п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роектів практично не розроблено</w:t>
      </w:r>
      <w:r w:rsidR="00117492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087" w:rsidRPr="00305E93" w:rsidRDefault="008653ED" w:rsidP="009C5A85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Оцінку ефективності та доцільності</w:t>
      </w:r>
      <w:r w:rsidR="000341F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електронного навчання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проводити з урахуванням таких найважливіших завдань, як:</w:t>
      </w:r>
      <w:r w:rsidR="0053489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ідвищення продуктивності праці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3489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бізнес-процесів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89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фективне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людськ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капітал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31D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утримання ринкових позицій,</w:t>
      </w:r>
      <w:r w:rsidR="005431D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д на нові ринки,</w:t>
      </w:r>
      <w:r w:rsidR="0053489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6D12B5" w:rsidRPr="00305E93">
        <w:rPr>
          <w:rFonts w:ascii="Times New Roman" w:hAnsi="Times New Roman" w:cs="Times New Roman"/>
          <w:sz w:val="28"/>
          <w:szCs w:val="28"/>
          <w:lang w:val="uk-UA"/>
        </w:rPr>
        <w:t>ниження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підприємницьких</w:t>
      </w:r>
      <w:r w:rsidR="006D12B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ризиків.</w:t>
      </w:r>
      <w:r w:rsidR="0053489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З цією метою проаналізуємо ряд процесів, що впливають на реалізацію цих завдань.</w:t>
      </w:r>
    </w:p>
    <w:p w:rsidR="00200441" w:rsidRPr="00305E93" w:rsidRDefault="00560F07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При впровадженні електронного навчання необхідно, щоб у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процесі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продуктивності праці</w:t>
      </w:r>
      <w:r w:rsidR="00490F0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витрати або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віддача від вкладеного часу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гроше</w:t>
      </w:r>
      <w:r w:rsidR="009B64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й була не </w:t>
      </w:r>
      <w:r w:rsidR="00F00B0D" w:rsidRPr="00305E93">
        <w:rPr>
          <w:rFonts w:ascii="Times New Roman" w:hAnsi="Times New Roman" w:cs="Times New Roman"/>
          <w:sz w:val="28"/>
          <w:szCs w:val="28"/>
          <w:lang w:val="uk-UA"/>
        </w:rPr>
        <w:t>меншою</w:t>
      </w:r>
      <w:r w:rsidR="009B64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F00B0D" w:rsidRPr="00305E93">
        <w:rPr>
          <w:rFonts w:ascii="Times New Roman" w:hAnsi="Times New Roman" w:cs="Times New Roman"/>
          <w:sz w:val="28"/>
          <w:szCs w:val="28"/>
          <w:lang w:val="uk-UA"/>
        </w:rPr>
        <w:t>більшою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0B0D" w:rsidRPr="00305E93">
        <w:rPr>
          <w:rFonts w:ascii="Times New Roman" w:hAnsi="Times New Roman" w:cs="Times New Roman"/>
          <w:sz w:val="28"/>
          <w:szCs w:val="28"/>
          <w:lang w:val="uk-UA"/>
        </w:rPr>
        <w:t>ніж у минулому періоді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>. Ефективне вкладе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ння має </w:t>
      </w:r>
      <w:r w:rsidR="00F00B0D" w:rsidRPr="00305E93">
        <w:rPr>
          <w:rFonts w:ascii="Times New Roman" w:hAnsi="Times New Roman" w:cs="Times New Roman"/>
          <w:sz w:val="28"/>
          <w:szCs w:val="28"/>
          <w:lang w:val="uk-UA"/>
        </w:rPr>
        <w:t>знайти відображення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відповідних змінах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F00B0D" w:rsidRPr="00305E9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якості кінцевого продукту.</w:t>
      </w:r>
      <w:r w:rsidR="006D208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Зацікавленими в зусиллях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щодо впровадження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е-learning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виступають</w:t>
      </w:r>
      <w:r w:rsidR="009B64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власники 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>, на підвищення продуктивності яко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програма навчання,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співробітники, залучені в дану програму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>, яких оцінюють і винагороджують за роботу зал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ежно від продуктивності їх праці</w:t>
      </w:r>
      <w:r w:rsidR="008653ED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208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докладання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цих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зусиль: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стандартні системи вимірювання продуктив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ності та результативності праці,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охочувальні бонуси та комісійні,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існуючі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телекомунікаційні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мережі і мобільн</w:t>
      </w:r>
      <w:r w:rsidR="009C5A85" w:rsidRPr="00305E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обчислювальна інфраструктура.</w:t>
      </w:r>
    </w:p>
    <w:p w:rsidR="00200441" w:rsidRPr="00305E93" w:rsidRDefault="00490F03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560F0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>е-learning</w:t>
      </w:r>
      <w:r w:rsidR="00560F0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дає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F07" w:rsidRPr="00305E93">
        <w:rPr>
          <w:rFonts w:ascii="Times New Roman" w:hAnsi="Times New Roman" w:cs="Times New Roman"/>
          <w:sz w:val="28"/>
          <w:szCs w:val="28"/>
          <w:lang w:val="uk-UA"/>
        </w:rPr>
        <w:t>можливість отримати конкурентну перевагу за допомогою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560F07" w:rsidRPr="00305E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ідвищення якості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, то у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даному випадку </w:t>
      </w:r>
      <w:r w:rsidR="0054674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зацікавлени</w:t>
      </w:r>
      <w:r w:rsidR="00546747" w:rsidRPr="00305E9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546747" w:rsidRPr="00305E9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власники 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; відділи дослідження і контролю якості, на яких </w:t>
      </w:r>
      <w:r w:rsidR="003045FF" w:rsidRPr="00305E93">
        <w:rPr>
          <w:rFonts w:ascii="Times New Roman" w:hAnsi="Times New Roman" w:cs="Times New Roman"/>
          <w:sz w:val="28"/>
          <w:szCs w:val="28"/>
          <w:lang w:val="uk-UA"/>
        </w:rPr>
        <w:t>покладена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основна відповідальність за якість; групи оптимізаці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>ї бізнес-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процесів, що мають схожу відповідальність; споживачі і потенційні споживачі комплексу продуктів і послуг, що можуть стати користувачами даного сервісу.</w:t>
      </w:r>
      <w:r w:rsidR="006D208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докладання зусиль такої інфраструктури е</w:t>
      </w:r>
      <w:r w:rsidR="00E87C9D" w:rsidRPr="00305E93">
        <w:rPr>
          <w:rFonts w:ascii="Times New Roman" w:hAnsi="Times New Roman" w:cs="Times New Roman"/>
          <w:sz w:val="28"/>
          <w:szCs w:val="28"/>
          <w:lang w:val="uk-UA"/>
        </w:rPr>
        <w:t>-навчання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можна назвати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17AF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и дослідження і контролю якості;</w:t>
      </w:r>
      <w:r w:rsidR="00417AF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стандартні оп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ераційні процедури та 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стандарти;</w:t>
      </w:r>
      <w:r w:rsidR="00417AF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ініціативи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процеси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у сфері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маркетингу та сервісу споживача;</w:t>
      </w:r>
      <w:r w:rsidR="00417AF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39B" w:rsidRPr="00305E93">
        <w:rPr>
          <w:rFonts w:ascii="Times New Roman" w:hAnsi="Times New Roman" w:cs="Times New Roman"/>
          <w:sz w:val="28"/>
          <w:szCs w:val="28"/>
          <w:lang w:val="uk-UA"/>
        </w:rPr>
        <w:t>інтернет-вебсайт і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підтримк</w:t>
      </w:r>
      <w:r w:rsidR="00F4639B" w:rsidRPr="00305E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торгового перс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оналу;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F4639B" w:rsidRPr="00305E9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 продукт </w:t>
      </w:r>
      <w:r w:rsidR="00F4639B" w:rsidRPr="00305E9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002B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інструкції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корист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5421B" w:rsidRPr="00305E93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0441" w:rsidRPr="00305E93" w:rsidRDefault="00F00B0D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90BC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</w:t>
      </w:r>
      <w:r w:rsidR="00D82087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0EC" w:rsidRPr="00305E93">
        <w:rPr>
          <w:rFonts w:ascii="Times New Roman" w:hAnsi="Times New Roman" w:cs="Times New Roman"/>
          <w:sz w:val="28"/>
          <w:szCs w:val="28"/>
          <w:lang w:val="uk-UA"/>
        </w:rPr>
        <w:t>ефективності</w:t>
      </w:r>
      <w:r w:rsidR="004B404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процесом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BC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е-навчання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важливо впроваджувати передусім в наукоємних галузях індустрії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2089" w:rsidRPr="00305E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D2089" w:rsidRPr="00305E93">
        <w:rPr>
          <w:rFonts w:ascii="Times New Roman" w:hAnsi="Times New Roman" w:cs="Times New Roman"/>
          <w:sz w:val="28"/>
          <w:szCs w:val="28"/>
          <w:lang w:val="uk-UA"/>
        </w:rPr>
        <w:t>У даному випадку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зацікавлені: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директора з кадрів, вище керівництво компанії, керівники і менеджери, вузькі фахівці та експерти з конкретних галуз</w:t>
      </w:r>
      <w:r w:rsidR="00B5421B" w:rsidRPr="00305E93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, адміністратори баз знань, співробітники</w:t>
      </w:r>
      <w:r w:rsidR="00B5421B" w:rsidRPr="00305E93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виконую</w:t>
      </w:r>
      <w:r w:rsidR="00B5421B" w:rsidRPr="00305E93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багато обов’язків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іноді створюючи частини системи, іноді використовуючи плоди її роботи.</w:t>
      </w:r>
      <w:r w:rsidR="006D2089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докладання зусиль такої інфраструктури </w:t>
      </w:r>
      <w:r w:rsidR="003045FF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e-learning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є: проекти з управління знаннями, осо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бливо ініціативи з аудиту знань;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довідники 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з науково-технічним матеріалами;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вимірю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вання інтелектуального капіталу;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розвитку лідерства та управлінських навичок, технології та інструменти для спільної роботи, процеси роботи у віртуальних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групах та управління проектами;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наймання і в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ведення співробітників в посаду;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оцінка продуктивності і рішення про просування по службі.</w:t>
      </w:r>
    </w:p>
    <w:p w:rsidR="00D70A12" w:rsidRPr="00305E93" w:rsidRDefault="00B5421B" w:rsidP="00CB0C76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З метою визначення можливості доступу на нові ринки </w:t>
      </w:r>
      <w:r w:rsidR="00E90BC4" w:rsidRPr="00305E93">
        <w:rPr>
          <w:rFonts w:ascii="Times New Roman" w:hAnsi="Times New Roman" w:cs="Times New Roman"/>
          <w:sz w:val="28"/>
          <w:szCs w:val="28"/>
          <w:lang w:val="uk-UA"/>
        </w:rPr>
        <w:t>за допомогою е-learning,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проаналізуємо зацікавлені сторони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е-навчання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серед яких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: власники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регіональні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менеджери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групи продажів і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менеджери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продаж,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відповідальні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розвит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бізнесу,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партнери в спільних підприємства</w:t>
      </w:r>
      <w:r w:rsidR="00FE1FE6" w:rsidRPr="00305E9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У даному випадку місце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докладання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зусиль: цикл розвитку бізнесу, юридичні дії,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збір інформації про конкурентн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оточенн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цикл стратегічного і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тактичного бізнес-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планування, локалізація систем і процесів,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lastRenderedPageBreak/>
        <w:t>введення нових співробітників в посаду, а так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>ож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безперервне навчання і розвиток навичок співробітника.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Електронне навчання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сприяє відкриттю нових представництв або проведенню маркетингових компаній, допомагає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>оптимізувати витрати цих заходів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, впливати на результати продажів або зміну частки ринку.</w:t>
      </w:r>
      <w:r w:rsidR="00E90BC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0A12" w:rsidRPr="00305E93" w:rsidRDefault="00D70A12" w:rsidP="00CB0C76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B4042" w:rsidRPr="00305E93">
        <w:rPr>
          <w:rFonts w:ascii="Times New Roman" w:hAnsi="Times New Roman" w:cs="Times New Roman"/>
          <w:sz w:val="28"/>
          <w:szCs w:val="28"/>
          <w:lang w:val="uk-UA"/>
        </w:rPr>
        <w:t>роаналізу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ємо, на</w:t>
      </w:r>
      <w:r w:rsidR="004B4042" w:rsidRPr="00305E93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можливо</w:t>
      </w:r>
      <w:r w:rsidR="004B404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утрим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4B404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ринкові позиції за допомогою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5FF" w:rsidRPr="00305E93">
        <w:rPr>
          <w:rFonts w:ascii="Times New Roman" w:hAnsi="Times New Roman" w:cs="Times New Roman"/>
          <w:sz w:val="28"/>
          <w:szCs w:val="28"/>
          <w:lang w:val="uk-UA"/>
        </w:rPr>
        <w:t>e-learning</w:t>
      </w:r>
      <w:r w:rsidR="004B404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Серед зацікавлених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 зусиллях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цього інструменту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виступають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: власники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працівники, які не можуть ефективно працювати,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легкого доступу до інформації про п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родукти та службової інформації та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менеджери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ого планування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докладання зусиль є: цикли ст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ратегічного і бізнес планування,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збір інформації про конкурентів, оцінка дій конкурентів,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надійний доступ в </w:t>
      </w:r>
      <w:r w:rsidR="00EA6198" w:rsidRPr="00305E93">
        <w:rPr>
          <w:rFonts w:ascii="Times New Roman" w:hAnsi="Times New Roman" w:cs="Times New Roman"/>
          <w:sz w:val="28"/>
          <w:szCs w:val="28"/>
          <w:lang w:val="uk-UA"/>
        </w:rPr>
        <w:t>корпоративну і глобальну мережі, можливості публікації контенту,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системи підтримки продуктивності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87FB9" w:rsidRPr="00305E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65DA3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0BC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5A85" w:rsidRPr="00305E93" w:rsidRDefault="00E90BC4" w:rsidP="00BF28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>здійснення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оцінки ефективності проекта е-навчання з урахуванням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сіх вище перелічених завдань,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інтересів зацікавлених осіб, а також</w:t>
      </w:r>
      <w:r w:rsidR="00D70A1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всіх взаємозв’язків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між ними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алгоритм прийняття рішень щодо доцільності впровадження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e-learning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(Рис.1). </w:t>
      </w:r>
    </w:p>
    <w:p w:rsidR="00305E93" w:rsidRPr="00305E93" w:rsidRDefault="009C5A85" w:rsidP="009C5A85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Особливої уваги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прийняття рішення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потребує оцінка ризиків.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В процесі управління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ризик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зацікавленими в зуси</w:t>
      </w:r>
      <w:r w:rsidR="000341F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ллях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0341F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341F4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можна назвати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: юридичний департамент,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ризик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менеджер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 д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ослідницької роботи і розробкам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, інвестор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 власник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бізнесу.</w:t>
      </w:r>
      <w:r w:rsidR="00C325A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29" w:rsidRPr="00305E93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докладання зусиль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341F4" w:rsidRPr="00305E93">
        <w:rPr>
          <w:rFonts w:ascii="Times New Roman" w:hAnsi="Times New Roman" w:cs="Times New Roman"/>
          <w:sz w:val="28"/>
          <w:szCs w:val="28"/>
          <w:lang w:val="uk-UA"/>
        </w:rPr>
        <w:t>: юридичний проце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стандартні операційні процедури та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з їх використання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; дії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спрям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овані на відповідність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стандартам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; дії депар</w:t>
      </w:r>
      <w:r w:rsidR="00D03D09" w:rsidRPr="00305E93">
        <w:rPr>
          <w:rFonts w:ascii="Times New Roman" w:hAnsi="Times New Roman" w:cs="Times New Roman"/>
          <w:sz w:val="28"/>
          <w:szCs w:val="28"/>
          <w:lang w:val="uk-UA"/>
        </w:rPr>
        <w:t>таменту підвищення кваліфікації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; дії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з розрахунку і управлінню ризиками; ко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рпоративна обчислювальна мережа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; дії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з фінансув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ання і структурування досліджень. </w:t>
      </w:r>
      <w:r w:rsidR="00A07C8B" w:rsidRPr="00305E93">
        <w:rPr>
          <w:rFonts w:ascii="Times New Roman" w:hAnsi="Times New Roman" w:cs="Times New Roman"/>
          <w:sz w:val="28"/>
          <w:szCs w:val="28"/>
          <w:lang w:val="uk-UA"/>
        </w:rPr>
        <w:t>За допомогою е-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>learning можна уникнути ризиків або знизити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200441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шляхом своєчасного надання знань</w:t>
      </w:r>
      <w:r w:rsidR="00B24B62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5E93" w:rsidRPr="00305E93" w:rsidRDefault="00305E93" w:rsidP="009C5A85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05E93" w:rsidRPr="00305E93" w:rsidSect="00D03D09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5E93" w:rsidRPr="00305E93" w:rsidRDefault="00305E93" w:rsidP="00305E93">
      <w:pPr>
        <w:jc w:val="center"/>
        <w:rPr>
          <w:lang w:val="uk-UA"/>
        </w:rPr>
      </w:pPr>
      <w:r w:rsidRPr="00305E93">
        <w:rPr>
          <w:lang w:val="uk-UA"/>
        </w:rPr>
        <w:object w:dxaOrig="15361" w:dyaOrig="1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6pt;height:408.4pt" o:ole="">
            <v:imagedata r:id="rId7" o:title=""/>
          </v:shape>
          <o:OLEObject Type="Embed" ProgID="Visio.Drawing.15" ShapeID="_x0000_i1025" DrawAspect="Content" ObjectID="_1447600259" r:id="rId8"/>
        </w:object>
      </w:r>
    </w:p>
    <w:p w:rsidR="00BF28E0" w:rsidRPr="00305E93" w:rsidRDefault="00305E93" w:rsidP="00305E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Рис. 1 – Алгоритм прийняття рішення щодо доцільності впровадження e-learning</w:t>
      </w:r>
    </w:p>
    <w:p w:rsidR="00305E93" w:rsidRPr="00305E93" w:rsidRDefault="00305E93" w:rsidP="009C5A85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05E93" w:rsidRPr="00305E93" w:rsidSect="00305E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B3E35" w:rsidRPr="00305E93" w:rsidRDefault="00B24B62" w:rsidP="00A06A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ризиками,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пов’язан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з e-learning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дотримуватися певної послідовності дій. На першому етапі необхідно зробити фіксацію ризиків, тобто обмежити кількість існуючих ризиків. Для цього використовується анкетування і інтерв'ювання ф</w:t>
      </w:r>
      <w:bookmarkStart w:id="0" w:name="_GoBack"/>
      <w:bookmarkEnd w:id="0"/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ахівців, а також досвід впровадження аналогічних проектів. У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данному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випадку розглядає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ризик з точки зору управлінської діяльності: наявність невизначеності, необхідність вибору альтернативи і можливість якісної і кількісної оцінки ймовірності здійснення того чи іншого варіанта. Елементами, наявність яких визначає ситуацію ризику, є: можливість відхилення від передбаченої мети, невпевненість у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досягненні бажаного результату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, ймовірність настання негативних подій при реалізації тих чи інших дій в умовах невизначеності, матеріальні чи інші витрати, очікування небезпеки при реалізації обраної альтернативи. У кожній конкретній ситуації цей перелік може бути 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поширен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і доповн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Ефективним інструментом, який допоможе визначити всі можливі ризики, може стати </w:t>
      </w:r>
      <w:r w:rsidR="00BF28E0" w:rsidRPr="00305E93">
        <w:rPr>
          <w:rFonts w:ascii="Times New Roman" w:hAnsi="Times New Roman" w:cs="Times New Roman"/>
          <w:sz w:val="28"/>
          <w:szCs w:val="28"/>
          <w:lang w:val="uk-UA"/>
        </w:rPr>
        <w:t>карта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процесів. У ній визначаються завдання п</w:t>
      </w:r>
      <w:r w:rsidR="00CB0C76" w:rsidRPr="00305E93">
        <w:rPr>
          <w:rFonts w:ascii="Times New Roman" w:hAnsi="Times New Roman" w:cs="Times New Roman"/>
          <w:sz w:val="28"/>
          <w:szCs w:val="28"/>
          <w:lang w:val="uk-UA"/>
        </w:rPr>
        <w:t>роекту, цілі та процеси (заходи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>), які необхідно здійснити для їх досягнення. Побудова такої карти дозволяє охопити процеси в їх взаємозв'язку, а потім визначити найбільш суттєві ризики. Далі за допомогою якісного аналізу об'єктивних і суб'єктивних факторів, що впливають на збільшення ступеня ризику, визначають процеси, які найбільшою мірою схильні до ризиків і перешкоджають досягненню цілей. На другому етапі проводиться кількісна оцінка виявлених ризиків, яка може бути виражена відносним або абсолютним рівнем витрат і вимірюється ймовірністю виникнення ризику і ступенем впливу ризику при його виникненні. Для визначення цих показників викори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стовують такі градації: високий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>, середній і низький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87FB9" w:rsidRPr="00305E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3E35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F9A" w:rsidRPr="00305E93" w:rsidRDefault="00BF28E0" w:rsidP="00E15F9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оцінку ефективності впровадження електронного навчання доцільно проводити з урахуванням взаємозв’язків між такими завданнями як: підвищення продуктивності праці та якості бізнес-процесів,ефективне управління людським капіталом, утримання ринкових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позицій, вихід на нові ринки, зниження підприємницьких ризиків</w:t>
      </w:r>
      <w:r w:rsidR="00E15F9A" w:rsidRPr="00305E93">
        <w:rPr>
          <w:rFonts w:ascii="Times New Roman" w:hAnsi="Times New Roman" w:cs="Times New Roman"/>
          <w:sz w:val="28"/>
          <w:szCs w:val="28"/>
          <w:lang w:val="uk-UA"/>
        </w:rPr>
        <w:t>. При прийнятті рішення щодо доцільності впровадження системи е-навчання необхідно також аналізувати, наскільки вигода з урахуванням ризиків буде більше витрат, які понесе організація при реалізації даного проекту.</w:t>
      </w:r>
    </w:p>
    <w:p w:rsidR="00A07C8B" w:rsidRPr="00305E93" w:rsidRDefault="00A56CBD" w:rsidP="00A06A4B">
      <w:pPr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887FB9" w:rsidRPr="00305E93" w:rsidRDefault="00887FB9" w:rsidP="00887FB9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1. Організаційно-економічний механізм підвищення ефективності електронного навчання [Електронний ресурс] / Морозов И.О. – 201</w:t>
      </w:r>
      <w:r w:rsidR="00966E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>– Режим доступу до журн.:</w:t>
      </w:r>
      <w:r w:rsidR="00966EE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="00966EEA" w:rsidRPr="00305E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http://www.dissercat.com/content/organizatsionno-ekonomicheskii-mekhanizm-povysheniya-effektivnosti-elektronnogo-obucheniya</w:t>
        </w:r>
      </w:hyperlink>
    </w:p>
    <w:p w:rsidR="00311B9A" w:rsidRPr="00305E93" w:rsidRDefault="00887FB9" w:rsidP="00A06A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Спосіб розрахунку ефективності вкладень в e-learning у профпідготовці: частина II [Електронний ресурс] / П.Ламбе // HR – менеджмент. – 2011. – №1. – С. 43. – Режим доступу до журн.: </w:t>
      </w:r>
      <w:hyperlink r:id="rId10" w:history="1">
        <w:r w:rsidR="00311B9A" w:rsidRPr="00305E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http://hrm.ru/cposob-rascheta-ehffektivnosti-vlozhenijj-v-e-learning-v-profpodgotovke-chast-ii</w:t>
        </w:r>
      </w:hyperlink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B9A" w:rsidRPr="00305E93" w:rsidRDefault="00887FB9" w:rsidP="00A06A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E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Управління ризиками [Електронний ресурс] / О.Нетикша // Фінансовый директор. – 2012. – №10. – С. 12. – Режим доступу до журн.: </w:t>
      </w:r>
      <w:hyperlink r:id="rId11" w:history="1">
        <w:r w:rsidR="00311B9A" w:rsidRPr="00305E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http://www.management.com.ua/finance/fin097.html</w:t>
        </w:r>
      </w:hyperlink>
      <w:r w:rsidR="00311B9A" w:rsidRPr="00305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1B9A" w:rsidRPr="00305E93" w:rsidRDefault="00311B9A" w:rsidP="00A06A4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11B9A" w:rsidRPr="00305E93" w:rsidSect="00D0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A6" w:rsidRDefault="00A513A6" w:rsidP="00C8620A">
      <w:pPr>
        <w:spacing w:after="0" w:line="240" w:lineRule="auto"/>
      </w:pPr>
      <w:r>
        <w:separator/>
      </w:r>
    </w:p>
  </w:endnote>
  <w:endnote w:type="continuationSeparator" w:id="0">
    <w:p w:rsidR="00A513A6" w:rsidRDefault="00A513A6" w:rsidP="00C8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694"/>
      <w:docPartObj>
        <w:docPartGallery w:val="Page Numbers (Bottom of Page)"/>
        <w:docPartUnique/>
      </w:docPartObj>
    </w:sdtPr>
    <w:sdtEndPr/>
    <w:sdtContent>
      <w:p w:rsidR="009002B1" w:rsidRDefault="0024488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E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002B1" w:rsidRDefault="009002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A6" w:rsidRDefault="00A513A6" w:rsidP="00C8620A">
      <w:pPr>
        <w:spacing w:after="0" w:line="240" w:lineRule="auto"/>
      </w:pPr>
      <w:r>
        <w:separator/>
      </w:r>
    </w:p>
  </w:footnote>
  <w:footnote w:type="continuationSeparator" w:id="0">
    <w:p w:rsidR="00A513A6" w:rsidRDefault="00A513A6" w:rsidP="00C86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315"/>
    <w:rsid w:val="00003081"/>
    <w:rsid w:val="0000594C"/>
    <w:rsid w:val="00013928"/>
    <w:rsid w:val="00013F9D"/>
    <w:rsid w:val="000243F0"/>
    <w:rsid w:val="00025DD7"/>
    <w:rsid w:val="0002626D"/>
    <w:rsid w:val="000341F4"/>
    <w:rsid w:val="00036376"/>
    <w:rsid w:val="00036C8E"/>
    <w:rsid w:val="00036FC4"/>
    <w:rsid w:val="00042FDF"/>
    <w:rsid w:val="00045C9A"/>
    <w:rsid w:val="0004662F"/>
    <w:rsid w:val="0004751B"/>
    <w:rsid w:val="00054417"/>
    <w:rsid w:val="00055140"/>
    <w:rsid w:val="000616D5"/>
    <w:rsid w:val="00065298"/>
    <w:rsid w:val="00072992"/>
    <w:rsid w:val="000806C3"/>
    <w:rsid w:val="00092C38"/>
    <w:rsid w:val="00093747"/>
    <w:rsid w:val="000B0197"/>
    <w:rsid w:val="000B20E3"/>
    <w:rsid w:val="000B6708"/>
    <w:rsid w:val="000B763E"/>
    <w:rsid w:val="000C2C88"/>
    <w:rsid w:val="000C6751"/>
    <w:rsid w:val="000C7FEB"/>
    <w:rsid w:val="000E295F"/>
    <w:rsid w:val="000E52CE"/>
    <w:rsid w:val="000E53F3"/>
    <w:rsid w:val="000E64F4"/>
    <w:rsid w:val="000E6728"/>
    <w:rsid w:val="000F1E3C"/>
    <w:rsid w:val="000F715D"/>
    <w:rsid w:val="000F76D1"/>
    <w:rsid w:val="00100719"/>
    <w:rsid w:val="00100C68"/>
    <w:rsid w:val="00101E1E"/>
    <w:rsid w:val="001073FB"/>
    <w:rsid w:val="0011006E"/>
    <w:rsid w:val="001138D2"/>
    <w:rsid w:val="0011418D"/>
    <w:rsid w:val="00117492"/>
    <w:rsid w:val="001227AD"/>
    <w:rsid w:val="001228A7"/>
    <w:rsid w:val="00122DFD"/>
    <w:rsid w:val="00123729"/>
    <w:rsid w:val="00124B74"/>
    <w:rsid w:val="00134108"/>
    <w:rsid w:val="001341C1"/>
    <w:rsid w:val="0013431B"/>
    <w:rsid w:val="0013577B"/>
    <w:rsid w:val="00136EAF"/>
    <w:rsid w:val="00152D75"/>
    <w:rsid w:val="0015443E"/>
    <w:rsid w:val="00160A79"/>
    <w:rsid w:val="0016201F"/>
    <w:rsid w:val="00165449"/>
    <w:rsid w:val="00174167"/>
    <w:rsid w:val="0018437A"/>
    <w:rsid w:val="001874EC"/>
    <w:rsid w:val="00190B8B"/>
    <w:rsid w:val="00192A01"/>
    <w:rsid w:val="001A1173"/>
    <w:rsid w:val="001A2B3D"/>
    <w:rsid w:val="001B28E0"/>
    <w:rsid w:val="001B3E35"/>
    <w:rsid w:val="001B3F2F"/>
    <w:rsid w:val="001D2725"/>
    <w:rsid w:val="001E2791"/>
    <w:rsid w:val="001E5C5D"/>
    <w:rsid w:val="00200441"/>
    <w:rsid w:val="00200EDD"/>
    <w:rsid w:val="00202C3F"/>
    <w:rsid w:val="00202CF1"/>
    <w:rsid w:val="002069FC"/>
    <w:rsid w:val="00223065"/>
    <w:rsid w:val="00223777"/>
    <w:rsid w:val="00224285"/>
    <w:rsid w:val="00227229"/>
    <w:rsid w:val="00243143"/>
    <w:rsid w:val="00244887"/>
    <w:rsid w:val="0025031B"/>
    <w:rsid w:val="00255ABF"/>
    <w:rsid w:val="00260DB9"/>
    <w:rsid w:val="00267536"/>
    <w:rsid w:val="00270E83"/>
    <w:rsid w:val="00272371"/>
    <w:rsid w:val="00274811"/>
    <w:rsid w:val="00274910"/>
    <w:rsid w:val="002766BE"/>
    <w:rsid w:val="00280B7D"/>
    <w:rsid w:val="0028329F"/>
    <w:rsid w:val="00284A5B"/>
    <w:rsid w:val="0029717D"/>
    <w:rsid w:val="002A1303"/>
    <w:rsid w:val="002A2858"/>
    <w:rsid w:val="002A3025"/>
    <w:rsid w:val="002B4781"/>
    <w:rsid w:val="002B52B5"/>
    <w:rsid w:val="002C21F0"/>
    <w:rsid w:val="002C30C3"/>
    <w:rsid w:val="002C6629"/>
    <w:rsid w:val="002F4F66"/>
    <w:rsid w:val="002F6B3C"/>
    <w:rsid w:val="00301B17"/>
    <w:rsid w:val="00301FEC"/>
    <w:rsid w:val="003045FF"/>
    <w:rsid w:val="00305E93"/>
    <w:rsid w:val="0030754C"/>
    <w:rsid w:val="003104E4"/>
    <w:rsid w:val="00311B9A"/>
    <w:rsid w:val="00316465"/>
    <w:rsid w:val="00322531"/>
    <w:rsid w:val="00335D9C"/>
    <w:rsid w:val="003373C7"/>
    <w:rsid w:val="003531B0"/>
    <w:rsid w:val="00356D19"/>
    <w:rsid w:val="0036712E"/>
    <w:rsid w:val="003713C2"/>
    <w:rsid w:val="00373234"/>
    <w:rsid w:val="00377FAB"/>
    <w:rsid w:val="0038614C"/>
    <w:rsid w:val="003958B4"/>
    <w:rsid w:val="003976AD"/>
    <w:rsid w:val="003A2AF1"/>
    <w:rsid w:val="003A343A"/>
    <w:rsid w:val="003A61C4"/>
    <w:rsid w:val="003D39AB"/>
    <w:rsid w:val="003D595F"/>
    <w:rsid w:val="003E6D5A"/>
    <w:rsid w:val="003F11DB"/>
    <w:rsid w:val="004043C8"/>
    <w:rsid w:val="00412844"/>
    <w:rsid w:val="00412A9F"/>
    <w:rsid w:val="00415082"/>
    <w:rsid w:val="00417AFB"/>
    <w:rsid w:val="00417FCB"/>
    <w:rsid w:val="004308DB"/>
    <w:rsid w:val="004321B5"/>
    <w:rsid w:val="00440E56"/>
    <w:rsid w:val="00441019"/>
    <w:rsid w:val="00445AAC"/>
    <w:rsid w:val="004511D6"/>
    <w:rsid w:val="00452997"/>
    <w:rsid w:val="00455220"/>
    <w:rsid w:val="00457B21"/>
    <w:rsid w:val="004603A5"/>
    <w:rsid w:val="0046675C"/>
    <w:rsid w:val="00467ABD"/>
    <w:rsid w:val="00477C4A"/>
    <w:rsid w:val="00477D9F"/>
    <w:rsid w:val="00482546"/>
    <w:rsid w:val="00485A21"/>
    <w:rsid w:val="00486176"/>
    <w:rsid w:val="00490F03"/>
    <w:rsid w:val="0049260D"/>
    <w:rsid w:val="00495E01"/>
    <w:rsid w:val="004A000A"/>
    <w:rsid w:val="004A05EA"/>
    <w:rsid w:val="004A752C"/>
    <w:rsid w:val="004B4042"/>
    <w:rsid w:val="004B6A7F"/>
    <w:rsid w:val="004B71F9"/>
    <w:rsid w:val="004C0053"/>
    <w:rsid w:val="004C6606"/>
    <w:rsid w:val="004D386E"/>
    <w:rsid w:val="004F04C4"/>
    <w:rsid w:val="0050242B"/>
    <w:rsid w:val="00503AC9"/>
    <w:rsid w:val="005049A3"/>
    <w:rsid w:val="00506173"/>
    <w:rsid w:val="005100E3"/>
    <w:rsid w:val="00511D44"/>
    <w:rsid w:val="0051657C"/>
    <w:rsid w:val="00525918"/>
    <w:rsid w:val="0053111F"/>
    <w:rsid w:val="00534891"/>
    <w:rsid w:val="0053550F"/>
    <w:rsid w:val="00535B3F"/>
    <w:rsid w:val="005408EE"/>
    <w:rsid w:val="00542F65"/>
    <w:rsid w:val="005431D5"/>
    <w:rsid w:val="00544E5A"/>
    <w:rsid w:val="0054657D"/>
    <w:rsid w:val="00546747"/>
    <w:rsid w:val="00551F2C"/>
    <w:rsid w:val="005569B1"/>
    <w:rsid w:val="00560F07"/>
    <w:rsid w:val="0056369B"/>
    <w:rsid w:val="005659A5"/>
    <w:rsid w:val="00567929"/>
    <w:rsid w:val="00567EF4"/>
    <w:rsid w:val="00570A18"/>
    <w:rsid w:val="00571F5E"/>
    <w:rsid w:val="005726EC"/>
    <w:rsid w:val="005760EC"/>
    <w:rsid w:val="00583D7E"/>
    <w:rsid w:val="00591C69"/>
    <w:rsid w:val="00593850"/>
    <w:rsid w:val="005A2D20"/>
    <w:rsid w:val="005B07DE"/>
    <w:rsid w:val="005B6291"/>
    <w:rsid w:val="005B637C"/>
    <w:rsid w:val="005B748E"/>
    <w:rsid w:val="005C38BB"/>
    <w:rsid w:val="005C452A"/>
    <w:rsid w:val="005C51C9"/>
    <w:rsid w:val="005C5822"/>
    <w:rsid w:val="005C6661"/>
    <w:rsid w:val="005E2032"/>
    <w:rsid w:val="005E336A"/>
    <w:rsid w:val="005F7F08"/>
    <w:rsid w:val="005F7F42"/>
    <w:rsid w:val="006022EA"/>
    <w:rsid w:val="00602932"/>
    <w:rsid w:val="006148BE"/>
    <w:rsid w:val="0062033C"/>
    <w:rsid w:val="00620CF5"/>
    <w:rsid w:val="0062709B"/>
    <w:rsid w:val="006302CC"/>
    <w:rsid w:val="00636A85"/>
    <w:rsid w:val="00640F92"/>
    <w:rsid w:val="00642EE7"/>
    <w:rsid w:val="00646603"/>
    <w:rsid w:val="00647CAD"/>
    <w:rsid w:val="006516D6"/>
    <w:rsid w:val="00652765"/>
    <w:rsid w:val="006541E6"/>
    <w:rsid w:val="00654958"/>
    <w:rsid w:val="00671397"/>
    <w:rsid w:val="006750A4"/>
    <w:rsid w:val="006827B7"/>
    <w:rsid w:val="00686E56"/>
    <w:rsid w:val="00693068"/>
    <w:rsid w:val="006A05FB"/>
    <w:rsid w:val="006B0D45"/>
    <w:rsid w:val="006B22C6"/>
    <w:rsid w:val="006B2CA2"/>
    <w:rsid w:val="006B3444"/>
    <w:rsid w:val="006B3EF0"/>
    <w:rsid w:val="006B447C"/>
    <w:rsid w:val="006D12B5"/>
    <w:rsid w:val="006D2089"/>
    <w:rsid w:val="006E012C"/>
    <w:rsid w:val="006E0195"/>
    <w:rsid w:val="006E1659"/>
    <w:rsid w:val="006E2BF2"/>
    <w:rsid w:val="006E5468"/>
    <w:rsid w:val="006E646B"/>
    <w:rsid w:val="006F0324"/>
    <w:rsid w:val="006F272C"/>
    <w:rsid w:val="006F5A04"/>
    <w:rsid w:val="006F6C2D"/>
    <w:rsid w:val="006F756D"/>
    <w:rsid w:val="007046DB"/>
    <w:rsid w:val="00710726"/>
    <w:rsid w:val="00711B54"/>
    <w:rsid w:val="00717CA5"/>
    <w:rsid w:val="00725239"/>
    <w:rsid w:val="00725BE8"/>
    <w:rsid w:val="00725E8D"/>
    <w:rsid w:val="0073625F"/>
    <w:rsid w:val="00741537"/>
    <w:rsid w:val="00741C9D"/>
    <w:rsid w:val="00743BE5"/>
    <w:rsid w:val="007503FE"/>
    <w:rsid w:val="00764E33"/>
    <w:rsid w:val="00773F43"/>
    <w:rsid w:val="0077563A"/>
    <w:rsid w:val="00777A52"/>
    <w:rsid w:val="007818A9"/>
    <w:rsid w:val="00781D38"/>
    <w:rsid w:val="00786B17"/>
    <w:rsid w:val="0079332F"/>
    <w:rsid w:val="007939B6"/>
    <w:rsid w:val="007A030B"/>
    <w:rsid w:val="007A7201"/>
    <w:rsid w:val="007B05FA"/>
    <w:rsid w:val="007B3BF4"/>
    <w:rsid w:val="007B7B6E"/>
    <w:rsid w:val="007C21F6"/>
    <w:rsid w:val="007C3554"/>
    <w:rsid w:val="007C5244"/>
    <w:rsid w:val="007D0485"/>
    <w:rsid w:val="007D0790"/>
    <w:rsid w:val="007D13AE"/>
    <w:rsid w:val="007D2370"/>
    <w:rsid w:val="007D5B12"/>
    <w:rsid w:val="007E78F9"/>
    <w:rsid w:val="007F295C"/>
    <w:rsid w:val="007F4F95"/>
    <w:rsid w:val="007F5962"/>
    <w:rsid w:val="008018A7"/>
    <w:rsid w:val="0080359F"/>
    <w:rsid w:val="00817915"/>
    <w:rsid w:val="00825633"/>
    <w:rsid w:val="00835B0F"/>
    <w:rsid w:val="008461FD"/>
    <w:rsid w:val="00850473"/>
    <w:rsid w:val="0085359A"/>
    <w:rsid w:val="00861613"/>
    <w:rsid w:val="008653ED"/>
    <w:rsid w:val="00866EAF"/>
    <w:rsid w:val="0087175F"/>
    <w:rsid w:val="008737D7"/>
    <w:rsid w:val="00876172"/>
    <w:rsid w:val="00884F17"/>
    <w:rsid w:val="00887FB9"/>
    <w:rsid w:val="0089644E"/>
    <w:rsid w:val="00896638"/>
    <w:rsid w:val="008A138E"/>
    <w:rsid w:val="008A195B"/>
    <w:rsid w:val="008A1A6F"/>
    <w:rsid w:val="008A384D"/>
    <w:rsid w:val="008B668B"/>
    <w:rsid w:val="008B7A05"/>
    <w:rsid w:val="008C0567"/>
    <w:rsid w:val="008C716D"/>
    <w:rsid w:val="008D051C"/>
    <w:rsid w:val="008D11DF"/>
    <w:rsid w:val="008D1312"/>
    <w:rsid w:val="008D1B43"/>
    <w:rsid w:val="008D7DB9"/>
    <w:rsid w:val="008E0315"/>
    <w:rsid w:val="008E05ED"/>
    <w:rsid w:val="008E2471"/>
    <w:rsid w:val="008E7C19"/>
    <w:rsid w:val="008F1422"/>
    <w:rsid w:val="008F3C93"/>
    <w:rsid w:val="008F6744"/>
    <w:rsid w:val="009002B1"/>
    <w:rsid w:val="00903335"/>
    <w:rsid w:val="00904149"/>
    <w:rsid w:val="00905DA6"/>
    <w:rsid w:val="00907035"/>
    <w:rsid w:val="009074D5"/>
    <w:rsid w:val="00911C3C"/>
    <w:rsid w:val="009137E1"/>
    <w:rsid w:val="00914C5E"/>
    <w:rsid w:val="009256BD"/>
    <w:rsid w:val="0093484F"/>
    <w:rsid w:val="009352EC"/>
    <w:rsid w:val="009373BF"/>
    <w:rsid w:val="00943257"/>
    <w:rsid w:val="0094715E"/>
    <w:rsid w:val="00947B63"/>
    <w:rsid w:val="00951A81"/>
    <w:rsid w:val="009534B0"/>
    <w:rsid w:val="009567B3"/>
    <w:rsid w:val="00966EEA"/>
    <w:rsid w:val="00983EDD"/>
    <w:rsid w:val="009966C1"/>
    <w:rsid w:val="009A2CE6"/>
    <w:rsid w:val="009A6667"/>
    <w:rsid w:val="009A6F29"/>
    <w:rsid w:val="009B1EDB"/>
    <w:rsid w:val="009B64EA"/>
    <w:rsid w:val="009C11C6"/>
    <w:rsid w:val="009C136B"/>
    <w:rsid w:val="009C4D77"/>
    <w:rsid w:val="009C5A85"/>
    <w:rsid w:val="009D17D4"/>
    <w:rsid w:val="009E51BA"/>
    <w:rsid w:val="009F4DB1"/>
    <w:rsid w:val="009F7D58"/>
    <w:rsid w:val="00A006B6"/>
    <w:rsid w:val="00A01AFF"/>
    <w:rsid w:val="00A05E80"/>
    <w:rsid w:val="00A06A4B"/>
    <w:rsid w:val="00A07C8B"/>
    <w:rsid w:val="00A2295B"/>
    <w:rsid w:val="00A30DC7"/>
    <w:rsid w:val="00A31ECC"/>
    <w:rsid w:val="00A337E8"/>
    <w:rsid w:val="00A372E6"/>
    <w:rsid w:val="00A42435"/>
    <w:rsid w:val="00A43E98"/>
    <w:rsid w:val="00A46555"/>
    <w:rsid w:val="00A476F8"/>
    <w:rsid w:val="00A50701"/>
    <w:rsid w:val="00A513A6"/>
    <w:rsid w:val="00A553A8"/>
    <w:rsid w:val="00A56982"/>
    <w:rsid w:val="00A56CBD"/>
    <w:rsid w:val="00A6419C"/>
    <w:rsid w:val="00A66B52"/>
    <w:rsid w:val="00A67E99"/>
    <w:rsid w:val="00A8747A"/>
    <w:rsid w:val="00A9023A"/>
    <w:rsid w:val="00AA1E64"/>
    <w:rsid w:val="00AA3059"/>
    <w:rsid w:val="00AA7C32"/>
    <w:rsid w:val="00AA7D11"/>
    <w:rsid w:val="00AB2B2D"/>
    <w:rsid w:val="00AC16B3"/>
    <w:rsid w:val="00AC229E"/>
    <w:rsid w:val="00AC61A7"/>
    <w:rsid w:val="00AC734D"/>
    <w:rsid w:val="00AD01AA"/>
    <w:rsid w:val="00AD0516"/>
    <w:rsid w:val="00AD4860"/>
    <w:rsid w:val="00AE280B"/>
    <w:rsid w:val="00AE301A"/>
    <w:rsid w:val="00AE4399"/>
    <w:rsid w:val="00AF06DF"/>
    <w:rsid w:val="00AF50BA"/>
    <w:rsid w:val="00AF5789"/>
    <w:rsid w:val="00B02F8C"/>
    <w:rsid w:val="00B11939"/>
    <w:rsid w:val="00B11CE1"/>
    <w:rsid w:val="00B1489F"/>
    <w:rsid w:val="00B17A0E"/>
    <w:rsid w:val="00B2239F"/>
    <w:rsid w:val="00B2271E"/>
    <w:rsid w:val="00B24B62"/>
    <w:rsid w:val="00B269BE"/>
    <w:rsid w:val="00B32FEC"/>
    <w:rsid w:val="00B33232"/>
    <w:rsid w:val="00B40890"/>
    <w:rsid w:val="00B4746F"/>
    <w:rsid w:val="00B47BB7"/>
    <w:rsid w:val="00B51656"/>
    <w:rsid w:val="00B51941"/>
    <w:rsid w:val="00B5421B"/>
    <w:rsid w:val="00B557F3"/>
    <w:rsid w:val="00B5583D"/>
    <w:rsid w:val="00B57E3E"/>
    <w:rsid w:val="00B66E6F"/>
    <w:rsid w:val="00B7617A"/>
    <w:rsid w:val="00B8016D"/>
    <w:rsid w:val="00B8059D"/>
    <w:rsid w:val="00B843F3"/>
    <w:rsid w:val="00B86CC4"/>
    <w:rsid w:val="00B92738"/>
    <w:rsid w:val="00BA22EE"/>
    <w:rsid w:val="00BA793D"/>
    <w:rsid w:val="00BA7C88"/>
    <w:rsid w:val="00BB143B"/>
    <w:rsid w:val="00BB1876"/>
    <w:rsid w:val="00BB1E53"/>
    <w:rsid w:val="00BB2447"/>
    <w:rsid w:val="00BB56B7"/>
    <w:rsid w:val="00BC00D3"/>
    <w:rsid w:val="00BD4160"/>
    <w:rsid w:val="00BF16E0"/>
    <w:rsid w:val="00BF28E0"/>
    <w:rsid w:val="00BF5A73"/>
    <w:rsid w:val="00BF66B4"/>
    <w:rsid w:val="00BF7A15"/>
    <w:rsid w:val="00C00AC0"/>
    <w:rsid w:val="00C02789"/>
    <w:rsid w:val="00C11967"/>
    <w:rsid w:val="00C143DA"/>
    <w:rsid w:val="00C16297"/>
    <w:rsid w:val="00C200EC"/>
    <w:rsid w:val="00C21FB1"/>
    <w:rsid w:val="00C31B11"/>
    <w:rsid w:val="00C325A5"/>
    <w:rsid w:val="00C5014E"/>
    <w:rsid w:val="00C52EF2"/>
    <w:rsid w:val="00C63829"/>
    <w:rsid w:val="00C663BD"/>
    <w:rsid w:val="00C70B77"/>
    <w:rsid w:val="00C721A0"/>
    <w:rsid w:val="00C74B58"/>
    <w:rsid w:val="00C75171"/>
    <w:rsid w:val="00C77191"/>
    <w:rsid w:val="00C83271"/>
    <w:rsid w:val="00C8620A"/>
    <w:rsid w:val="00C938E8"/>
    <w:rsid w:val="00C979DB"/>
    <w:rsid w:val="00CA036A"/>
    <w:rsid w:val="00CA1554"/>
    <w:rsid w:val="00CA4021"/>
    <w:rsid w:val="00CB0C76"/>
    <w:rsid w:val="00CC0C40"/>
    <w:rsid w:val="00CD0A49"/>
    <w:rsid w:val="00CD1C8B"/>
    <w:rsid w:val="00CD510C"/>
    <w:rsid w:val="00CD64D4"/>
    <w:rsid w:val="00CE3A96"/>
    <w:rsid w:val="00CE50D4"/>
    <w:rsid w:val="00CE7959"/>
    <w:rsid w:val="00CF77A5"/>
    <w:rsid w:val="00D00098"/>
    <w:rsid w:val="00D03D09"/>
    <w:rsid w:val="00D164B0"/>
    <w:rsid w:val="00D1735A"/>
    <w:rsid w:val="00D20AFD"/>
    <w:rsid w:val="00D218F2"/>
    <w:rsid w:val="00D32709"/>
    <w:rsid w:val="00D35D16"/>
    <w:rsid w:val="00D42467"/>
    <w:rsid w:val="00D428FC"/>
    <w:rsid w:val="00D47E1D"/>
    <w:rsid w:val="00D65BDD"/>
    <w:rsid w:val="00D65DA3"/>
    <w:rsid w:val="00D70A12"/>
    <w:rsid w:val="00D70E00"/>
    <w:rsid w:val="00D7112F"/>
    <w:rsid w:val="00D72C92"/>
    <w:rsid w:val="00D76EB4"/>
    <w:rsid w:val="00D812EC"/>
    <w:rsid w:val="00D82087"/>
    <w:rsid w:val="00D82312"/>
    <w:rsid w:val="00D82E4B"/>
    <w:rsid w:val="00D83F0B"/>
    <w:rsid w:val="00D90178"/>
    <w:rsid w:val="00D92BD6"/>
    <w:rsid w:val="00D95C32"/>
    <w:rsid w:val="00DA074A"/>
    <w:rsid w:val="00DA1DC3"/>
    <w:rsid w:val="00DA2E70"/>
    <w:rsid w:val="00DA5D86"/>
    <w:rsid w:val="00DC76A1"/>
    <w:rsid w:val="00DD003C"/>
    <w:rsid w:val="00DD3C51"/>
    <w:rsid w:val="00DE1DD8"/>
    <w:rsid w:val="00DE5413"/>
    <w:rsid w:val="00E06D4B"/>
    <w:rsid w:val="00E079DC"/>
    <w:rsid w:val="00E15F9A"/>
    <w:rsid w:val="00E3118A"/>
    <w:rsid w:val="00E35CC2"/>
    <w:rsid w:val="00E37FC7"/>
    <w:rsid w:val="00E45133"/>
    <w:rsid w:val="00E65694"/>
    <w:rsid w:val="00E66FB1"/>
    <w:rsid w:val="00E74A60"/>
    <w:rsid w:val="00E75C3A"/>
    <w:rsid w:val="00E75F09"/>
    <w:rsid w:val="00E80816"/>
    <w:rsid w:val="00E87C9D"/>
    <w:rsid w:val="00E87CAD"/>
    <w:rsid w:val="00E90BC4"/>
    <w:rsid w:val="00E9164C"/>
    <w:rsid w:val="00EA0757"/>
    <w:rsid w:val="00EA1435"/>
    <w:rsid w:val="00EA276D"/>
    <w:rsid w:val="00EA30A6"/>
    <w:rsid w:val="00EA6198"/>
    <w:rsid w:val="00EA765A"/>
    <w:rsid w:val="00EA79A9"/>
    <w:rsid w:val="00EB2617"/>
    <w:rsid w:val="00EB3F2A"/>
    <w:rsid w:val="00EB5DDB"/>
    <w:rsid w:val="00EB6339"/>
    <w:rsid w:val="00EB7215"/>
    <w:rsid w:val="00EC1FFA"/>
    <w:rsid w:val="00EC7188"/>
    <w:rsid w:val="00ED09BA"/>
    <w:rsid w:val="00ED51A6"/>
    <w:rsid w:val="00ED71DE"/>
    <w:rsid w:val="00ED7A81"/>
    <w:rsid w:val="00EE11B9"/>
    <w:rsid w:val="00EE2340"/>
    <w:rsid w:val="00EF15BF"/>
    <w:rsid w:val="00EF2454"/>
    <w:rsid w:val="00EF4DED"/>
    <w:rsid w:val="00F00B0D"/>
    <w:rsid w:val="00F01802"/>
    <w:rsid w:val="00F1450D"/>
    <w:rsid w:val="00F264D6"/>
    <w:rsid w:val="00F26F0F"/>
    <w:rsid w:val="00F4359F"/>
    <w:rsid w:val="00F44708"/>
    <w:rsid w:val="00F4639B"/>
    <w:rsid w:val="00F524E8"/>
    <w:rsid w:val="00F600A4"/>
    <w:rsid w:val="00F62A75"/>
    <w:rsid w:val="00F674EA"/>
    <w:rsid w:val="00F90D1B"/>
    <w:rsid w:val="00F91757"/>
    <w:rsid w:val="00F93E1F"/>
    <w:rsid w:val="00F94B6F"/>
    <w:rsid w:val="00F95685"/>
    <w:rsid w:val="00FA07D9"/>
    <w:rsid w:val="00FA1202"/>
    <w:rsid w:val="00FA2F6F"/>
    <w:rsid w:val="00FA63B9"/>
    <w:rsid w:val="00FA73C2"/>
    <w:rsid w:val="00FD53D5"/>
    <w:rsid w:val="00FD67A1"/>
    <w:rsid w:val="00FE106E"/>
    <w:rsid w:val="00FE1FE6"/>
    <w:rsid w:val="00FE4253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E830B-B7F5-45F3-A01E-57F541A2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620A"/>
  </w:style>
  <w:style w:type="paragraph" w:styleId="a8">
    <w:name w:val="footer"/>
    <w:basedOn w:val="a"/>
    <w:link w:val="a9"/>
    <w:uiPriority w:val="99"/>
    <w:unhideWhenUsed/>
    <w:rsid w:val="00C8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20A"/>
  </w:style>
  <w:style w:type="character" w:styleId="aa">
    <w:name w:val="Hyperlink"/>
    <w:basedOn w:val="a0"/>
    <w:unhideWhenUsed/>
    <w:rsid w:val="00311B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1.vsdx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management.com.ua/finance/fin097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hrm.ru/cposob-rascheta-ehffektivnosti-vlozhenijj-v-e-learning-v-profpodgotovke-chast-i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ssercat.com/content/organizatsionno-ekonomicheskii-mekhanizm-povysheniya-effektivnosti-elektronnogo-obuc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8</Pages>
  <Words>8445</Words>
  <Characters>4815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 Иванова</cp:lastModifiedBy>
  <cp:revision>22</cp:revision>
  <cp:lastPrinted>2013-11-12T18:51:00Z</cp:lastPrinted>
  <dcterms:created xsi:type="dcterms:W3CDTF">2013-10-15T15:30:00Z</dcterms:created>
  <dcterms:modified xsi:type="dcterms:W3CDTF">2013-12-03T16:25:00Z</dcterms:modified>
</cp:coreProperties>
</file>