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92"/>
      </w:tblGrid>
      <w:tr w:rsidR="00B22142" w:rsidRPr="00B22142" w:rsidTr="00B2348C">
        <w:tc>
          <w:tcPr>
            <w:tcW w:w="9356" w:type="dxa"/>
            <w:gridSpan w:val="2"/>
            <w:hideMark/>
          </w:tcPr>
          <w:p w:rsidR="00B22142" w:rsidRPr="00B22142" w:rsidRDefault="00B22142" w:rsidP="00B22142">
            <w:pPr>
              <w:widowControl w:val="0"/>
              <w:jc w:val="both"/>
              <w:rPr>
                <w:rFonts w:ascii="Times New Roman" w:hAnsi="Times New Roman"/>
                <w:b/>
                <w:sz w:val="28"/>
              </w:rPr>
            </w:pPr>
            <w:r w:rsidRPr="00B22142">
              <w:rPr>
                <w:rFonts w:ascii="Times New Roman" w:hAnsi="Times New Roman"/>
                <w:b/>
                <w:sz w:val="28"/>
              </w:rPr>
              <w:t xml:space="preserve">УДК </w:t>
            </w:r>
            <w:r w:rsidRPr="00B22142">
              <w:rPr>
                <w:rFonts w:ascii="Times New Roman" w:hAnsi="Times New Roman"/>
                <w:b/>
                <w:sz w:val="28"/>
                <w:szCs w:val="28"/>
              </w:rPr>
              <w:t>336</w:t>
            </w:r>
          </w:p>
        </w:tc>
      </w:tr>
      <w:tr w:rsidR="00B22142" w:rsidRPr="00B22142" w:rsidTr="00B2348C">
        <w:tc>
          <w:tcPr>
            <w:tcW w:w="9356" w:type="dxa"/>
            <w:gridSpan w:val="2"/>
          </w:tcPr>
          <w:p w:rsidR="00B22142" w:rsidRPr="00B22142" w:rsidRDefault="00B22142" w:rsidP="00B22142">
            <w:pPr>
              <w:widowControl w:val="0"/>
              <w:jc w:val="center"/>
              <w:outlineLvl w:val="0"/>
              <w:rPr>
                <w:rFonts w:ascii="Times New Roman" w:hAnsi="Times New Roman"/>
                <w:b/>
                <w:bCs/>
                <w:sz w:val="28"/>
                <w:szCs w:val="28"/>
              </w:rPr>
            </w:pPr>
            <w:bookmarkStart w:id="0" w:name="_Toc480490817"/>
            <w:bookmarkStart w:id="1" w:name="_Toc480537039"/>
            <w:r w:rsidRPr="00B22142">
              <w:rPr>
                <w:rFonts w:ascii="Times New Roman" w:hAnsi="Times New Roman"/>
                <w:b/>
                <w:bCs/>
                <w:sz w:val="28"/>
                <w:szCs w:val="28"/>
              </w:rPr>
              <w:t>СОВРЕМЕННОЕ СОСТОЯНИЕ И ТЕНДЕНЦИИ РАЗВИТИЯ РЫНКА ИПОТЕЧНОГО ЖИЛИЩНОГО КРЕДИТОВАНИЯ</w:t>
            </w:r>
            <w:bookmarkEnd w:id="0"/>
            <w:bookmarkEnd w:id="1"/>
          </w:p>
          <w:p w:rsidR="00B22142" w:rsidRPr="00B22142" w:rsidRDefault="00B22142" w:rsidP="00B22142">
            <w:pPr>
              <w:widowControl w:val="0"/>
              <w:jc w:val="center"/>
              <w:outlineLvl w:val="0"/>
              <w:rPr>
                <w:rFonts w:ascii="Times New Roman" w:hAnsi="Times New Roman"/>
                <w:b/>
                <w:bCs/>
                <w:sz w:val="28"/>
                <w:szCs w:val="28"/>
              </w:rPr>
            </w:pPr>
            <w:bookmarkStart w:id="2" w:name="_Toc480490818"/>
            <w:bookmarkStart w:id="3" w:name="_Toc480537040"/>
            <w:r w:rsidRPr="00B22142">
              <w:rPr>
                <w:rFonts w:ascii="Times New Roman" w:hAnsi="Times New Roman"/>
                <w:b/>
                <w:bCs/>
                <w:sz w:val="28"/>
                <w:szCs w:val="28"/>
              </w:rPr>
              <w:t>В РОССИЙСКОЙ ФЕДЕРАЦИИ</w:t>
            </w:r>
            <w:bookmarkEnd w:id="2"/>
            <w:bookmarkEnd w:id="3"/>
          </w:p>
        </w:tc>
      </w:tr>
      <w:tr w:rsidR="00B22142" w:rsidRPr="00B22142" w:rsidTr="00B2348C">
        <w:tc>
          <w:tcPr>
            <w:tcW w:w="4677" w:type="dxa"/>
          </w:tcPr>
          <w:p w:rsidR="00B22142" w:rsidRPr="00B22142" w:rsidRDefault="00B22142" w:rsidP="00B22142">
            <w:pPr>
              <w:widowControl w:val="0"/>
              <w:jc w:val="right"/>
              <w:rPr>
                <w:rFonts w:ascii="Times New Roman" w:hAnsi="Times New Roman"/>
                <w:sz w:val="28"/>
                <w:szCs w:val="28"/>
              </w:rPr>
            </w:pPr>
          </w:p>
        </w:tc>
        <w:tc>
          <w:tcPr>
            <w:tcW w:w="4679" w:type="dxa"/>
          </w:tcPr>
          <w:p w:rsidR="00B22142" w:rsidRPr="00B22142" w:rsidRDefault="00B22142" w:rsidP="00B22142">
            <w:pPr>
              <w:widowControl w:val="0"/>
              <w:jc w:val="right"/>
              <w:rPr>
                <w:rFonts w:ascii="Times New Roman" w:hAnsi="Times New Roman"/>
                <w:sz w:val="28"/>
                <w:szCs w:val="28"/>
              </w:rPr>
            </w:pPr>
          </w:p>
        </w:tc>
      </w:tr>
      <w:tr w:rsidR="00B22142" w:rsidRPr="00B22142" w:rsidTr="00B2348C">
        <w:tc>
          <w:tcPr>
            <w:tcW w:w="4677" w:type="dxa"/>
          </w:tcPr>
          <w:p w:rsidR="00B22142" w:rsidRPr="00B22142" w:rsidRDefault="00B22142" w:rsidP="00B22142">
            <w:pPr>
              <w:widowControl w:val="0"/>
              <w:jc w:val="center"/>
              <w:outlineLvl w:val="0"/>
              <w:rPr>
                <w:rFonts w:ascii="Times New Roman" w:hAnsi="Times New Roman"/>
                <w:b/>
                <w:bCs/>
                <w:sz w:val="28"/>
                <w:szCs w:val="28"/>
              </w:rPr>
            </w:pPr>
          </w:p>
        </w:tc>
        <w:tc>
          <w:tcPr>
            <w:tcW w:w="4679" w:type="dxa"/>
          </w:tcPr>
          <w:p w:rsidR="00B22142" w:rsidRPr="00B22142" w:rsidRDefault="00B22142" w:rsidP="00B22142">
            <w:pPr>
              <w:widowControl w:val="0"/>
              <w:outlineLvl w:val="1"/>
              <w:rPr>
                <w:rFonts w:ascii="Times New Roman" w:hAnsi="Times New Roman"/>
                <w:b/>
                <w:bCs/>
                <w:sz w:val="28"/>
                <w:szCs w:val="26"/>
              </w:rPr>
            </w:pPr>
            <w:bookmarkStart w:id="4" w:name="_Toc480490819"/>
            <w:bookmarkStart w:id="5" w:name="_Toc480537041"/>
            <w:r w:rsidRPr="00B22142">
              <w:rPr>
                <w:rFonts w:ascii="Times New Roman" w:hAnsi="Times New Roman"/>
                <w:b/>
                <w:bCs/>
                <w:sz w:val="28"/>
                <w:szCs w:val="26"/>
              </w:rPr>
              <w:t>К.С. Анухина, Е.В. Дмитриева, В.А. Шульцев</w:t>
            </w:r>
            <w:bookmarkEnd w:id="4"/>
            <w:bookmarkEnd w:id="5"/>
          </w:p>
          <w:p w:rsidR="00B22142" w:rsidRPr="00B22142" w:rsidRDefault="00B22142" w:rsidP="00B22142">
            <w:pPr>
              <w:widowControl w:val="0"/>
              <w:rPr>
                <w:rFonts w:ascii="Times New Roman" w:hAnsi="Times New Roman"/>
                <w:i/>
                <w:sz w:val="28"/>
                <w:szCs w:val="28"/>
              </w:rPr>
            </w:pPr>
            <w:r w:rsidRPr="00B22142">
              <w:rPr>
                <w:rFonts w:ascii="Times New Roman" w:hAnsi="Times New Roman"/>
                <w:i/>
                <w:sz w:val="28"/>
                <w:szCs w:val="28"/>
              </w:rPr>
              <w:t>Новгородский государственный университет имени Ярослава Мудрого</w:t>
            </w:r>
          </w:p>
          <w:p w:rsidR="00B22142" w:rsidRPr="00B22142" w:rsidRDefault="00B22142" w:rsidP="00B22142">
            <w:pPr>
              <w:widowControl w:val="0"/>
              <w:rPr>
                <w:rFonts w:ascii="Times New Roman" w:hAnsi="Times New Roman"/>
                <w:sz w:val="28"/>
              </w:rPr>
            </w:pPr>
            <w:r w:rsidRPr="00B22142">
              <w:rPr>
                <w:rFonts w:ascii="Times New Roman" w:hAnsi="Times New Roman"/>
                <w:i/>
                <w:sz w:val="28"/>
                <w:szCs w:val="28"/>
              </w:rPr>
              <w:t>г. Великий Новгород, Российская Федерация</w:t>
            </w:r>
          </w:p>
        </w:tc>
      </w:tr>
    </w:tbl>
    <w:p w:rsidR="00B22142" w:rsidRPr="00B22142" w:rsidRDefault="00B22142" w:rsidP="00B22142">
      <w:pPr>
        <w:widowControl w:val="0"/>
        <w:spacing w:after="0" w:line="240" w:lineRule="auto"/>
        <w:ind w:firstLine="567"/>
        <w:jc w:val="center"/>
        <w:rPr>
          <w:rFonts w:ascii="Times New Roman" w:eastAsia="Times New Roman" w:hAnsi="Times New Roman" w:cs="Times New Roman"/>
          <w:b/>
          <w:sz w:val="28"/>
          <w:szCs w:val="28"/>
          <w:lang w:eastAsia="ru-RU"/>
        </w:rPr>
      </w:pPr>
    </w:p>
    <w:p w:rsidR="00B22142" w:rsidRPr="00B22142" w:rsidRDefault="00B22142" w:rsidP="00B22142">
      <w:pPr>
        <w:widowControl w:val="0"/>
        <w:spacing w:after="0" w:line="240" w:lineRule="auto"/>
        <w:ind w:firstLine="709"/>
        <w:jc w:val="both"/>
        <w:rPr>
          <w:rFonts w:ascii="Times New Roman" w:eastAsia="Times New Roman" w:hAnsi="Times New Roman" w:cs="Times New Roman"/>
          <w:i/>
          <w:sz w:val="28"/>
          <w:szCs w:val="28"/>
          <w:lang w:eastAsia="ru-RU"/>
        </w:rPr>
      </w:pPr>
      <w:r w:rsidRPr="00B22142">
        <w:rPr>
          <w:rFonts w:ascii="Times New Roman" w:eastAsia="Times New Roman" w:hAnsi="Times New Roman" w:cs="Times New Roman"/>
          <w:i/>
          <w:sz w:val="28"/>
          <w:szCs w:val="28"/>
          <w:lang w:eastAsia="ru-RU"/>
        </w:rPr>
        <w:t>Аннотация. В статье представлено современное состояние рынка ипотечного жилищного кредитования в Российской Федерации, рассмотрены основные показатели рынка за последние несколько лет. В ходе проведенного анализа были выявлены ключевые тенденции и перспективные направления развития ипотеки в условиях финансового кризиса.</w:t>
      </w:r>
    </w:p>
    <w:p w:rsidR="00B22142" w:rsidRPr="00B22142" w:rsidRDefault="00B22142" w:rsidP="00B22142">
      <w:pPr>
        <w:widowControl w:val="0"/>
        <w:spacing w:after="0" w:line="240" w:lineRule="auto"/>
        <w:ind w:firstLine="709"/>
        <w:jc w:val="both"/>
        <w:rPr>
          <w:rFonts w:ascii="Times New Roman" w:eastAsia="Times New Roman" w:hAnsi="Times New Roman" w:cs="Times New Roman"/>
          <w:i/>
          <w:sz w:val="28"/>
          <w:szCs w:val="28"/>
          <w:lang w:eastAsia="ru-RU"/>
        </w:rPr>
      </w:pPr>
      <w:r w:rsidRPr="00B22142">
        <w:rPr>
          <w:rFonts w:ascii="Times New Roman" w:eastAsia="Times New Roman" w:hAnsi="Times New Roman" w:cs="Times New Roman"/>
          <w:i/>
          <w:sz w:val="28"/>
          <w:szCs w:val="28"/>
          <w:lang w:eastAsia="ru-RU"/>
        </w:rPr>
        <w:t>Ключевые слова: рынок, ипотека, жилищное кредитование, Российская Федерация.</w:t>
      </w:r>
    </w:p>
    <w:p w:rsidR="00B22142" w:rsidRPr="00B22142" w:rsidRDefault="00B22142" w:rsidP="00B22142">
      <w:pPr>
        <w:widowControl w:val="0"/>
        <w:spacing w:after="0" w:line="240" w:lineRule="auto"/>
        <w:ind w:firstLine="709"/>
        <w:jc w:val="both"/>
        <w:rPr>
          <w:rFonts w:ascii="Times New Roman" w:eastAsia="Times New Roman" w:hAnsi="Times New Roman" w:cs="Times New Roman"/>
          <w:i/>
          <w:sz w:val="28"/>
          <w:szCs w:val="28"/>
          <w:lang w:eastAsia="ru-RU"/>
        </w:rPr>
      </w:pPr>
    </w:p>
    <w:p w:rsidR="00B22142" w:rsidRPr="00B22142" w:rsidRDefault="00B22142" w:rsidP="00B22142">
      <w:pPr>
        <w:widowControl w:val="0"/>
        <w:spacing w:after="0" w:line="240" w:lineRule="auto"/>
        <w:ind w:firstLine="709"/>
        <w:jc w:val="both"/>
        <w:rPr>
          <w:rFonts w:ascii="Times New Roman" w:eastAsia="Times New Roman" w:hAnsi="Times New Roman" w:cs="Times New Roman"/>
          <w:i/>
          <w:sz w:val="28"/>
          <w:szCs w:val="28"/>
          <w:lang w:val="en-US" w:eastAsia="ru-RU"/>
        </w:rPr>
      </w:pPr>
      <w:r w:rsidRPr="00B22142">
        <w:rPr>
          <w:rFonts w:ascii="Times New Roman" w:eastAsia="Times New Roman" w:hAnsi="Times New Roman" w:cs="Times New Roman"/>
          <w:i/>
          <w:sz w:val="28"/>
          <w:szCs w:val="28"/>
          <w:lang w:val="en-US" w:eastAsia="ru-RU"/>
        </w:rPr>
        <w:t>Summary. The current state of the market of mortgage housing lending in the Russian Federation is presented in article, the main indicators of the market over the past few years are considered. During the carried-out analysis key tendencies and the perspective directions of development of a mortgage in the conditions of financial crisis have been revealed.</w:t>
      </w:r>
    </w:p>
    <w:p w:rsidR="00B22142" w:rsidRPr="00B22142" w:rsidRDefault="00B22142" w:rsidP="00B22142">
      <w:pPr>
        <w:widowControl w:val="0"/>
        <w:spacing w:after="0" w:line="240" w:lineRule="auto"/>
        <w:ind w:firstLine="709"/>
        <w:jc w:val="both"/>
        <w:rPr>
          <w:rFonts w:ascii="Times New Roman" w:eastAsia="Times New Roman" w:hAnsi="Times New Roman" w:cs="Times New Roman"/>
          <w:i/>
          <w:sz w:val="28"/>
          <w:szCs w:val="28"/>
          <w:lang w:val="en-US" w:eastAsia="ru-RU"/>
        </w:rPr>
      </w:pPr>
      <w:r w:rsidRPr="00B22142">
        <w:rPr>
          <w:rFonts w:ascii="Times New Roman" w:eastAsia="Times New Roman" w:hAnsi="Times New Roman" w:cs="Times New Roman"/>
          <w:i/>
          <w:sz w:val="28"/>
          <w:szCs w:val="28"/>
          <w:lang w:val="en-US" w:eastAsia="ru-RU"/>
        </w:rPr>
        <w:t>Keywords: market, mortgage, housing crediting, Russian Federation.</w:t>
      </w:r>
    </w:p>
    <w:p w:rsidR="00B22142" w:rsidRPr="00B22142" w:rsidRDefault="00B22142" w:rsidP="00B22142">
      <w:pPr>
        <w:widowControl w:val="0"/>
        <w:spacing w:after="0" w:line="240" w:lineRule="auto"/>
        <w:ind w:firstLine="709"/>
        <w:jc w:val="both"/>
        <w:rPr>
          <w:rFonts w:ascii="Times New Roman" w:eastAsia="Times New Roman" w:hAnsi="Times New Roman" w:cs="Times New Roman"/>
          <w:sz w:val="28"/>
          <w:szCs w:val="28"/>
          <w:lang w:val="en-US" w:eastAsia="ru-RU"/>
        </w:rPr>
      </w:pPr>
    </w:p>
    <w:p w:rsidR="00B22142" w:rsidRPr="00B22142" w:rsidRDefault="00B22142" w:rsidP="00B22142">
      <w:pPr>
        <w:widowControl w:val="0"/>
        <w:spacing w:after="0" w:line="240" w:lineRule="auto"/>
        <w:ind w:firstLine="709"/>
        <w:jc w:val="both"/>
        <w:rPr>
          <w:rFonts w:ascii="Times New Roman" w:eastAsia="Times New Roman" w:hAnsi="Times New Roman" w:cs="Times New Roman"/>
          <w:sz w:val="28"/>
          <w:szCs w:val="28"/>
          <w:lang w:eastAsia="ru-RU"/>
        </w:rPr>
      </w:pPr>
      <w:r w:rsidRPr="00B22142">
        <w:rPr>
          <w:rFonts w:ascii="Times New Roman" w:eastAsia="Times New Roman" w:hAnsi="Times New Roman" w:cs="Times New Roman"/>
          <w:b/>
          <w:sz w:val="28"/>
          <w:szCs w:val="28"/>
          <w:lang w:eastAsia="ru-RU"/>
        </w:rPr>
        <w:t xml:space="preserve">Постановка проблемы. </w:t>
      </w:r>
      <w:r w:rsidRPr="00B22142">
        <w:rPr>
          <w:rFonts w:ascii="Times New Roman" w:eastAsia="Times New Roman" w:hAnsi="Times New Roman" w:cs="Times New Roman"/>
          <w:sz w:val="28"/>
          <w:szCs w:val="28"/>
          <w:lang w:eastAsia="ru-RU"/>
        </w:rPr>
        <w:t>Одним из наиболее распространенных банковских продуктов в Российской Федерации является ипотечное жилищное кредитование, что вполне логично, поскольку жилищная проблема была и остается самой острой в современном российском обществе. Из-за недостатка необходимых сбережений и отсутствия возможности накопления денежных средств большинство граждан не могут позволить себе улучшение своих жилищных условий. Так, в связи с низким уровнем доходов, только 1 % населения могут приобрести жилье за свой счет и лишь около 0,3 % имеют возможность получить его за счет средств бюджета [3]. Тем не менее, в условиях финансового кризиса покупка недвижимого имущества позволяет сохранить накопленные денежные средства и увеличить их в будущем. Именно поэтому ипотечное жилищное кредитование является все более привлекательным для населения [8,9].</w:t>
      </w:r>
    </w:p>
    <w:p w:rsidR="00B22142" w:rsidRPr="00B22142" w:rsidRDefault="00B22142" w:rsidP="00B22142">
      <w:pPr>
        <w:widowControl w:val="0"/>
        <w:spacing w:after="0" w:line="240" w:lineRule="auto"/>
        <w:ind w:firstLine="709"/>
        <w:jc w:val="both"/>
        <w:rPr>
          <w:rFonts w:ascii="Times New Roman" w:eastAsia="Times New Roman" w:hAnsi="Times New Roman" w:cs="Times New Roman"/>
          <w:sz w:val="28"/>
          <w:szCs w:val="28"/>
          <w:lang w:eastAsia="ru-RU"/>
        </w:rPr>
      </w:pPr>
      <w:r w:rsidRPr="00B22142">
        <w:rPr>
          <w:rFonts w:ascii="Times New Roman" w:eastAsia="Times New Roman" w:hAnsi="Times New Roman" w:cs="Times New Roman"/>
          <w:sz w:val="28"/>
          <w:szCs w:val="28"/>
          <w:lang w:eastAsia="ru-RU"/>
        </w:rPr>
        <w:t xml:space="preserve">Ипотечное кредитование, занимая в банковском портфеле услуг значительную долю, отличается продолжительными сроками предоставления займа и меньшим процентом за использование. За последние несколько лет появилось множество банков, ипотечных брокеров, которые предлагают свои </w:t>
      </w:r>
      <w:r w:rsidRPr="00B22142">
        <w:rPr>
          <w:rFonts w:ascii="Times New Roman" w:eastAsia="Times New Roman" w:hAnsi="Times New Roman" w:cs="Times New Roman"/>
          <w:sz w:val="28"/>
          <w:szCs w:val="28"/>
          <w:lang w:eastAsia="ru-RU"/>
        </w:rPr>
        <w:lastRenderedPageBreak/>
        <w:t>услуги в области ипотечного кредитования [2]. Коммерческие банки непосредственно оказывают огромное влияние на динамику развития рынка ипотеки в целом, так как отражают сложившуюся ситуацию в этой области [1].</w:t>
      </w:r>
    </w:p>
    <w:p w:rsidR="00B22142" w:rsidRPr="00B22142" w:rsidRDefault="00B22142" w:rsidP="00B22142">
      <w:pPr>
        <w:widowControl w:val="0"/>
        <w:spacing w:after="0" w:line="240" w:lineRule="auto"/>
        <w:ind w:firstLine="709"/>
        <w:jc w:val="both"/>
        <w:rPr>
          <w:rFonts w:ascii="Times New Roman" w:eastAsia="Times New Roman" w:hAnsi="Times New Roman" w:cs="Times New Roman"/>
          <w:sz w:val="28"/>
          <w:szCs w:val="28"/>
          <w:lang w:eastAsia="ru-RU"/>
        </w:rPr>
      </w:pPr>
      <w:r w:rsidRPr="00B22142">
        <w:rPr>
          <w:rFonts w:ascii="Times New Roman" w:eastAsia="Times New Roman" w:hAnsi="Times New Roman" w:cs="Times New Roman"/>
          <w:b/>
          <w:sz w:val="28"/>
          <w:szCs w:val="28"/>
          <w:lang w:eastAsia="ru-RU"/>
        </w:rPr>
        <w:t>Анализ предшествующих исследований и публикаций.</w:t>
      </w:r>
      <w:r w:rsidRPr="00B22142">
        <w:rPr>
          <w:rFonts w:ascii="Times New Roman" w:eastAsia="Times New Roman" w:hAnsi="Times New Roman" w:cs="Times New Roman"/>
          <w:sz w:val="28"/>
          <w:szCs w:val="28"/>
          <w:lang w:eastAsia="ru-RU"/>
        </w:rPr>
        <w:t xml:space="preserve"> Под ипотечным кредитом понимаются денежные средства, которые предоставляются физическому лицу кредитным учреждением на основе кредитного договора или иным юридическим лицом на основе договора займа для приобретения в собственность жилого помещения под его залог и (или) под залог иного жилого помещения. При этом, приобретая жилое имущество с использованием ипотечного займа, заемщик сразу приобретает статус собственника этой недвижимости, а оплата по данному займу производится на протяжении нескольких лет. </w:t>
      </w:r>
    </w:p>
    <w:p w:rsidR="00B22142" w:rsidRPr="00B22142" w:rsidRDefault="00B22142" w:rsidP="00B22142">
      <w:pPr>
        <w:widowControl w:val="0"/>
        <w:spacing w:after="0" w:line="240" w:lineRule="auto"/>
        <w:ind w:firstLine="709"/>
        <w:jc w:val="both"/>
        <w:rPr>
          <w:rFonts w:ascii="Times New Roman" w:eastAsia="Times New Roman" w:hAnsi="Times New Roman" w:cs="Times New Roman"/>
          <w:sz w:val="28"/>
          <w:szCs w:val="28"/>
          <w:lang w:eastAsia="ru-RU"/>
        </w:rPr>
      </w:pPr>
      <w:r w:rsidRPr="00B22142">
        <w:rPr>
          <w:rFonts w:ascii="Times New Roman" w:eastAsia="Times New Roman" w:hAnsi="Times New Roman" w:cs="Times New Roman"/>
          <w:b/>
          <w:sz w:val="28"/>
          <w:szCs w:val="28"/>
          <w:lang w:eastAsia="ru-RU"/>
        </w:rPr>
        <w:t>Целью</w:t>
      </w:r>
      <w:r w:rsidRPr="00B22142">
        <w:rPr>
          <w:rFonts w:ascii="Times New Roman" w:eastAsia="Times New Roman" w:hAnsi="Times New Roman" w:cs="Times New Roman"/>
          <w:sz w:val="28"/>
          <w:szCs w:val="28"/>
          <w:lang w:eastAsia="ru-RU"/>
        </w:rPr>
        <w:t xml:space="preserve"> исследования на основе анализа состояния и проблем жилищного рынка является определение перспектив и тенденций развития рынка ипотечного жилищного кредитования в России на современном этапе.</w:t>
      </w:r>
    </w:p>
    <w:p w:rsidR="00B22142" w:rsidRPr="00B22142" w:rsidRDefault="00B22142" w:rsidP="00B22142">
      <w:pPr>
        <w:widowControl w:val="0"/>
        <w:spacing w:after="0" w:line="240" w:lineRule="auto"/>
        <w:ind w:firstLine="709"/>
        <w:jc w:val="both"/>
        <w:rPr>
          <w:rFonts w:ascii="Times New Roman" w:eastAsia="Times New Roman" w:hAnsi="Times New Roman" w:cs="Times New Roman"/>
          <w:sz w:val="28"/>
          <w:szCs w:val="28"/>
          <w:lang w:eastAsia="ru-RU"/>
        </w:rPr>
      </w:pPr>
      <w:r w:rsidRPr="00B22142">
        <w:rPr>
          <w:rFonts w:ascii="Times New Roman" w:eastAsia="Times New Roman" w:hAnsi="Times New Roman" w:cs="Times New Roman"/>
          <w:b/>
          <w:sz w:val="28"/>
          <w:szCs w:val="28"/>
          <w:lang w:eastAsia="ru-RU"/>
        </w:rPr>
        <w:t>Основные результаты исследования.</w:t>
      </w:r>
      <w:r w:rsidRPr="00B22142">
        <w:rPr>
          <w:rFonts w:ascii="Times New Roman" w:eastAsia="Times New Roman" w:hAnsi="Times New Roman" w:cs="Times New Roman"/>
          <w:sz w:val="28"/>
          <w:szCs w:val="28"/>
          <w:lang w:eastAsia="ru-RU"/>
        </w:rPr>
        <w:t xml:space="preserve"> Проведенный нами анализ показал, что в 2013-2016 годах рынку ипотечного жилищного кредитования (ИЖК) были присущи следующие тенденции:</w:t>
      </w:r>
    </w:p>
    <w:p w:rsidR="00B22142" w:rsidRPr="00B22142" w:rsidRDefault="00B22142" w:rsidP="00B22142">
      <w:pPr>
        <w:widowControl w:val="0"/>
        <w:spacing w:after="0" w:line="240" w:lineRule="auto"/>
        <w:ind w:firstLine="709"/>
        <w:jc w:val="both"/>
        <w:rPr>
          <w:rFonts w:ascii="Times New Roman" w:eastAsia="Times New Roman" w:hAnsi="Times New Roman" w:cs="Times New Roman"/>
          <w:sz w:val="28"/>
          <w:szCs w:val="28"/>
          <w:lang w:eastAsia="ru-RU"/>
        </w:rPr>
      </w:pPr>
      <w:r w:rsidRPr="00B22142">
        <w:rPr>
          <w:rFonts w:ascii="Times New Roman" w:eastAsia="Times New Roman" w:hAnsi="Times New Roman" w:cs="Times New Roman"/>
          <w:sz w:val="28"/>
          <w:szCs w:val="28"/>
          <w:lang w:eastAsia="ru-RU"/>
        </w:rPr>
        <w:t xml:space="preserve">1. Снижение числа кредитных организаций, предоставляющих ипотечные жилищные кредитования. Так, по состоянию на I полугодие 2016 г., количество участников первичного рынка ИЖК по сравнению с началом 2013 г. уменьшилось на 168 кредитных организаций и составило 499 участников, из которых 326 кредитных организаций предоставили новые ИЖК, остальные осуществляли обслуживание ранее выданных кредитов (рис. 1). Наибольшее количество кредитных организаций, предоставляющих ИЖК, расположено на территории Центрального федерального округа – 260, из них в Москве – 224 [7]. </w:t>
      </w:r>
    </w:p>
    <w:p w:rsidR="00B22142" w:rsidRPr="00B22142" w:rsidRDefault="00B22142" w:rsidP="00B22142">
      <w:pPr>
        <w:widowControl w:val="0"/>
        <w:spacing w:after="0" w:line="240" w:lineRule="auto"/>
        <w:ind w:firstLine="709"/>
        <w:jc w:val="both"/>
        <w:rPr>
          <w:rFonts w:ascii="Times New Roman" w:eastAsia="Times New Roman" w:hAnsi="Times New Roman" w:cs="Times New Roman"/>
          <w:sz w:val="28"/>
          <w:szCs w:val="28"/>
          <w:lang w:eastAsia="ru-RU"/>
        </w:rPr>
      </w:pPr>
      <w:r w:rsidRPr="00B22142">
        <w:rPr>
          <w:rFonts w:ascii="Times New Roman" w:eastAsia="Times New Roman" w:hAnsi="Times New Roman" w:cs="Times New Roman"/>
          <w:noProof/>
          <w:sz w:val="28"/>
          <w:szCs w:val="28"/>
          <w:lang w:eastAsia="ru-RU"/>
        </w:rPr>
        <w:drawing>
          <wp:inline distT="0" distB="0" distL="0" distR="0" wp14:anchorId="1ECE5772" wp14:editId="6CFD7D37">
            <wp:extent cx="5057775" cy="2238375"/>
            <wp:effectExtent l="0" t="0" r="0" b="0"/>
            <wp:docPr id="1789" name="Диаграмма 1789"/>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B22142" w:rsidRPr="00B22142" w:rsidRDefault="00B22142" w:rsidP="00B22142">
      <w:pPr>
        <w:widowControl w:val="0"/>
        <w:spacing w:after="0" w:line="240" w:lineRule="auto"/>
        <w:ind w:firstLine="168"/>
        <w:jc w:val="center"/>
        <w:rPr>
          <w:rFonts w:ascii="Times New Roman" w:eastAsia="Times New Roman" w:hAnsi="Times New Roman" w:cs="Times New Roman"/>
          <w:sz w:val="28"/>
          <w:szCs w:val="28"/>
          <w:lang w:eastAsia="ru-RU"/>
        </w:rPr>
      </w:pPr>
      <w:r w:rsidRPr="00B22142">
        <w:rPr>
          <w:rFonts w:ascii="Times New Roman" w:eastAsia="Times New Roman" w:hAnsi="Times New Roman" w:cs="Times New Roman"/>
          <w:sz w:val="28"/>
          <w:szCs w:val="28"/>
          <w:lang w:eastAsia="ru-RU"/>
        </w:rPr>
        <w:t xml:space="preserve">Рисунок 1 – Количество кредитных организаций в Российской Федерации </w:t>
      </w:r>
    </w:p>
    <w:p w:rsidR="00B22142" w:rsidRPr="00B22142" w:rsidRDefault="00B22142" w:rsidP="00B22142">
      <w:pPr>
        <w:widowControl w:val="0"/>
        <w:spacing w:after="0" w:line="240" w:lineRule="auto"/>
        <w:ind w:firstLine="364"/>
        <w:jc w:val="center"/>
        <w:rPr>
          <w:rFonts w:ascii="Times New Roman" w:eastAsia="Times New Roman" w:hAnsi="Times New Roman" w:cs="Times New Roman"/>
          <w:sz w:val="28"/>
          <w:szCs w:val="28"/>
          <w:lang w:eastAsia="ru-RU"/>
        </w:rPr>
      </w:pPr>
      <w:r w:rsidRPr="00B22142">
        <w:rPr>
          <w:rFonts w:ascii="Times New Roman" w:eastAsia="Times New Roman" w:hAnsi="Times New Roman" w:cs="Times New Roman"/>
          <w:sz w:val="28"/>
          <w:szCs w:val="28"/>
          <w:lang w:eastAsia="ru-RU"/>
        </w:rPr>
        <w:t>в 2013-2016 гг.</w:t>
      </w:r>
    </w:p>
    <w:p w:rsidR="00B22142" w:rsidRPr="00B22142" w:rsidRDefault="00B22142" w:rsidP="00B22142">
      <w:pPr>
        <w:widowControl w:val="0"/>
        <w:spacing w:after="0" w:line="240" w:lineRule="auto"/>
        <w:ind w:firstLine="709"/>
        <w:jc w:val="center"/>
        <w:rPr>
          <w:rFonts w:ascii="Times New Roman" w:eastAsia="Times New Roman" w:hAnsi="Times New Roman" w:cs="Times New Roman"/>
          <w:sz w:val="28"/>
          <w:szCs w:val="28"/>
          <w:lang w:eastAsia="ru-RU"/>
        </w:rPr>
      </w:pPr>
    </w:p>
    <w:p w:rsidR="00B22142" w:rsidRPr="00B22142" w:rsidRDefault="00B22142" w:rsidP="00B22142">
      <w:pPr>
        <w:widowControl w:val="0"/>
        <w:spacing w:after="0" w:line="240" w:lineRule="auto"/>
        <w:ind w:firstLine="709"/>
        <w:jc w:val="both"/>
        <w:rPr>
          <w:rFonts w:ascii="Times New Roman" w:eastAsia="Times New Roman" w:hAnsi="Times New Roman" w:cs="Times New Roman"/>
          <w:sz w:val="28"/>
          <w:szCs w:val="28"/>
          <w:lang w:eastAsia="ru-RU"/>
        </w:rPr>
      </w:pPr>
      <w:r w:rsidRPr="00B22142">
        <w:rPr>
          <w:rFonts w:ascii="Times New Roman" w:eastAsia="Times New Roman" w:hAnsi="Times New Roman" w:cs="Times New Roman"/>
          <w:sz w:val="28"/>
          <w:szCs w:val="28"/>
          <w:lang w:eastAsia="ru-RU"/>
        </w:rPr>
        <w:t xml:space="preserve">2. Сокращение объема предоставленных кредитов. В I полугодии 2016 г. кредитными организациями было предоставлено 389836 ипотечных жилищных кредитов на общую сумму 664,6 млрд. рублей. Однако, несмотря на то, что средний размер предоставленных ИЖК увеличился с 1,64 до 1,70 </w:t>
      </w:r>
      <w:r w:rsidRPr="00B22142">
        <w:rPr>
          <w:rFonts w:ascii="Times New Roman" w:eastAsia="Times New Roman" w:hAnsi="Times New Roman" w:cs="Times New Roman"/>
          <w:sz w:val="28"/>
          <w:szCs w:val="28"/>
          <w:lang w:eastAsia="ru-RU"/>
        </w:rPr>
        <w:lastRenderedPageBreak/>
        <w:t xml:space="preserve">млн. рублей (в Москве – 3,63 млн. рублей) по сравнению с 2013 г. рынок ипотечного кредитования уменьшился в 2 раза (рис.2). </w:t>
      </w:r>
    </w:p>
    <w:p w:rsidR="00B22142" w:rsidRPr="00B22142" w:rsidRDefault="00B22142" w:rsidP="00B22142">
      <w:pPr>
        <w:widowControl w:val="0"/>
        <w:spacing w:after="0" w:line="240" w:lineRule="auto"/>
        <w:ind w:firstLine="709"/>
        <w:jc w:val="center"/>
        <w:rPr>
          <w:rFonts w:ascii="Times New Roman" w:eastAsia="Times New Roman" w:hAnsi="Times New Roman" w:cs="Times New Roman"/>
          <w:sz w:val="28"/>
          <w:szCs w:val="28"/>
          <w:lang w:eastAsia="ru-RU"/>
        </w:rPr>
      </w:pPr>
      <w:r w:rsidRPr="00B22142">
        <w:rPr>
          <w:rFonts w:ascii="Times New Roman" w:eastAsia="Times New Roman" w:hAnsi="Times New Roman" w:cs="Times New Roman"/>
          <w:noProof/>
          <w:sz w:val="28"/>
          <w:szCs w:val="28"/>
          <w:lang w:eastAsia="ru-RU"/>
        </w:rPr>
        <w:drawing>
          <wp:inline distT="0" distB="0" distL="0" distR="0" wp14:anchorId="53B987C9" wp14:editId="0F9B1DF0">
            <wp:extent cx="4419600" cy="2495550"/>
            <wp:effectExtent l="0" t="0" r="0" b="0"/>
            <wp:docPr id="1790" name="Диаграмма 1790"/>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B22142" w:rsidRPr="00B22142" w:rsidRDefault="00B22142" w:rsidP="00B22142">
      <w:pPr>
        <w:widowControl w:val="0"/>
        <w:spacing w:after="0" w:line="240" w:lineRule="auto"/>
        <w:ind w:firstLine="709"/>
        <w:jc w:val="center"/>
        <w:rPr>
          <w:rFonts w:ascii="Times New Roman" w:eastAsia="Times New Roman" w:hAnsi="Times New Roman" w:cs="Times New Roman"/>
          <w:sz w:val="28"/>
          <w:szCs w:val="28"/>
          <w:lang w:eastAsia="ru-RU"/>
        </w:rPr>
      </w:pPr>
      <w:r w:rsidRPr="00B22142">
        <w:rPr>
          <w:rFonts w:ascii="Times New Roman" w:eastAsia="Times New Roman" w:hAnsi="Times New Roman" w:cs="Times New Roman"/>
          <w:sz w:val="28"/>
          <w:szCs w:val="28"/>
          <w:lang w:eastAsia="ru-RU"/>
        </w:rPr>
        <w:t xml:space="preserve">Рисунок 2 – Динамика объемов предоставленных ИЖК в Российской </w:t>
      </w:r>
      <w:r w:rsidRPr="00B22142">
        <w:rPr>
          <w:rFonts w:ascii="Times New Roman" w:eastAsia="Times New Roman" w:hAnsi="Times New Roman" w:cs="Times New Roman"/>
          <w:sz w:val="28"/>
          <w:szCs w:val="28"/>
          <w:lang w:eastAsia="ru-RU"/>
        </w:rPr>
        <w:br/>
        <w:t>Федерации в 2013-2016 гг.</w:t>
      </w:r>
    </w:p>
    <w:p w:rsidR="00B22142" w:rsidRPr="00B22142" w:rsidRDefault="00B22142" w:rsidP="00B22142">
      <w:pPr>
        <w:widowControl w:val="0"/>
        <w:spacing w:after="0" w:line="240" w:lineRule="auto"/>
        <w:ind w:firstLine="709"/>
        <w:jc w:val="both"/>
        <w:rPr>
          <w:rFonts w:ascii="Times New Roman" w:eastAsia="Times New Roman" w:hAnsi="Times New Roman" w:cs="Times New Roman"/>
          <w:sz w:val="28"/>
          <w:szCs w:val="28"/>
          <w:lang w:eastAsia="ru-RU"/>
        </w:rPr>
      </w:pPr>
      <w:r w:rsidRPr="00B22142">
        <w:rPr>
          <w:rFonts w:ascii="Times New Roman" w:eastAsia="Times New Roman" w:hAnsi="Times New Roman" w:cs="Times New Roman"/>
          <w:sz w:val="28"/>
          <w:szCs w:val="28"/>
          <w:lang w:eastAsia="ru-RU"/>
        </w:rPr>
        <w:t xml:space="preserve">Анализ показывает, что региональное распределение предоставленных ИЖК не изменилось. Наибольший объем предоставленных ИЖК на протяжении последних нескольких лет приходится на заемщиков Москвы, Московской области, Санкт-Петербурга и Тюменской области. Доля кредитов, предоставленных заемщикам Центрального федерального округа, составила 31,3% в общем объеме выданных в Российской Федерации ИЖК [4]. </w:t>
      </w:r>
    </w:p>
    <w:p w:rsidR="00B22142" w:rsidRPr="00B22142" w:rsidRDefault="00B22142" w:rsidP="00B22142">
      <w:pPr>
        <w:widowControl w:val="0"/>
        <w:spacing w:after="0" w:line="240" w:lineRule="auto"/>
        <w:ind w:firstLine="709"/>
        <w:jc w:val="both"/>
        <w:rPr>
          <w:rFonts w:ascii="Times New Roman" w:eastAsia="Times New Roman" w:hAnsi="Times New Roman" w:cs="Times New Roman"/>
          <w:sz w:val="28"/>
          <w:szCs w:val="28"/>
          <w:lang w:eastAsia="ru-RU"/>
        </w:rPr>
      </w:pPr>
      <w:r w:rsidRPr="00B22142">
        <w:rPr>
          <w:rFonts w:ascii="Times New Roman" w:eastAsia="Times New Roman" w:hAnsi="Times New Roman" w:cs="Times New Roman"/>
          <w:sz w:val="28"/>
          <w:szCs w:val="28"/>
          <w:lang w:eastAsia="ru-RU"/>
        </w:rPr>
        <w:t>3. Увеличение задолженности по ИЖК в рублях и снижение задолженности по ИЖК в иностранной валюте. На I полугодие 2016 г. величина задолженности по ИЖК в рублях по сравнению с тем же периодом 2013 г. увеличилась в 2,5раза, а в иностранной валюте снизилась на 22,8 %, составив 4087,5 и 94,1 млрд. рублей соответственно (рис.3).</w:t>
      </w:r>
    </w:p>
    <w:p w:rsidR="00B22142" w:rsidRPr="00B22142" w:rsidRDefault="00B22142" w:rsidP="00B22142">
      <w:pPr>
        <w:widowControl w:val="0"/>
        <w:spacing w:after="0" w:line="240" w:lineRule="auto"/>
        <w:ind w:firstLine="709"/>
        <w:jc w:val="both"/>
        <w:rPr>
          <w:rFonts w:ascii="Times New Roman" w:eastAsia="Times New Roman" w:hAnsi="Times New Roman" w:cs="Times New Roman"/>
          <w:sz w:val="28"/>
          <w:szCs w:val="28"/>
          <w:lang w:eastAsia="ru-RU"/>
        </w:rPr>
      </w:pPr>
    </w:p>
    <w:p w:rsidR="00B22142" w:rsidRPr="00B22142" w:rsidRDefault="00B22142" w:rsidP="00B22142">
      <w:pPr>
        <w:widowControl w:val="0"/>
        <w:spacing w:after="0" w:line="240" w:lineRule="auto"/>
        <w:ind w:firstLine="709"/>
        <w:jc w:val="center"/>
        <w:rPr>
          <w:rFonts w:ascii="Times New Roman" w:eastAsia="Times New Roman" w:hAnsi="Times New Roman" w:cs="Times New Roman"/>
          <w:sz w:val="28"/>
          <w:szCs w:val="28"/>
          <w:lang w:eastAsia="ru-RU"/>
        </w:rPr>
      </w:pPr>
      <w:r w:rsidRPr="00B22142">
        <w:rPr>
          <w:rFonts w:ascii="Times New Roman" w:eastAsia="Times New Roman" w:hAnsi="Times New Roman" w:cs="Times New Roman"/>
          <w:noProof/>
          <w:sz w:val="28"/>
          <w:szCs w:val="28"/>
          <w:lang w:eastAsia="ru-RU"/>
        </w:rPr>
        <w:drawing>
          <wp:inline distT="0" distB="0" distL="0" distR="0" wp14:anchorId="4CD83396" wp14:editId="1D3FF290">
            <wp:extent cx="5419725" cy="2638425"/>
            <wp:effectExtent l="0" t="0" r="0" b="0"/>
            <wp:docPr id="1791" name="Диаграмма 179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22142" w:rsidRPr="00B22142" w:rsidRDefault="00B22142" w:rsidP="00B22142">
      <w:pPr>
        <w:widowControl w:val="0"/>
        <w:spacing w:after="0" w:line="240" w:lineRule="auto"/>
        <w:ind w:firstLine="709"/>
        <w:jc w:val="center"/>
        <w:rPr>
          <w:rFonts w:ascii="Times New Roman" w:eastAsia="Times New Roman" w:hAnsi="Times New Roman" w:cs="Times New Roman"/>
          <w:sz w:val="28"/>
          <w:szCs w:val="28"/>
          <w:lang w:eastAsia="ru-RU"/>
        </w:rPr>
      </w:pPr>
      <w:r w:rsidRPr="00B22142">
        <w:rPr>
          <w:rFonts w:ascii="Times New Roman" w:eastAsia="Times New Roman" w:hAnsi="Times New Roman" w:cs="Times New Roman"/>
          <w:sz w:val="28"/>
          <w:szCs w:val="28"/>
          <w:lang w:eastAsia="ru-RU"/>
        </w:rPr>
        <w:t xml:space="preserve">Рисунок 3 – Динамика задолженности по ИЖК в Российской Федерации </w:t>
      </w:r>
    </w:p>
    <w:p w:rsidR="00B22142" w:rsidRPr="00B22142" w:rsidRDefault="00B22142" w:rsidP="00B22142">
      <w:pPr>
        <w:widowControl w:val="0"/>
        <w:spacing w:after="0" w:line="240" w:lineRule="auto"/>
        <w:ind w:firstLine="709"/>
        <w:jc w:val="center"/>
        <w:rPr>
          <w:rFonts w:ascii="Times New Roman" w:eastAsia="Times New Roman" w:hAnsi="Times New Roman" w:cs="Times New Roman"/>
          <w:sz w:val="28"/>
          <w:szCs w:val="28"/>
          <w:lang w:eastAsia="ru-RU"/>
        </w:rPr>
      </w:pPr>
      <w:r w:rsidRPr="00B22142">
        <w:rPr>
          <w:rFonts w:ascii="Times New Roman" w:eastAsia="Times New Roman" w:hAnsi="Times New Roman" w:cs="Times New Roman"/>
          <w:sz w:val="28"/>
          <w:szCs w:val="28"/>
          <w:lang w:eastAsia="ru-RU"/>
        </w:rPr>
        <w:t>в 2013-2016 гг.</w:t>
      </w:r>
    </w:p>
    <w:p w:rsidR="00B22142" w:rsidRPr="00B22142" w:rsidRDefault="00B22142" w:rsidP="00B22142">
      <w:pPr>
        <w:widowControl w:val="0"/>
        <w:spacing w:after="0" w:line="240" w:lineRule="auto"/>
        <w:ind w:firstLine="709"/>
        <w:jc w:val="both"/>
        <w:rPr>
          <w:rFonts w:ascii="Times New Roman" w:eastAsia="Times New Roman" w:hAnsi="Times New Roman" w:cs="Times New Roman"/>
          <w:sz w:val="28"/>
          <w:szCs w:val="28"/>
          <w:lang w:eastAsia="ru-RU"/>
        </w:rPr>
      </w:pPr>
    </w:p>
    <w:p w:rsidR="00B22142" w:rsidRPr="00B22142" w:rsidRDefault="00B22142" w:rsidP="00B22142">
      <w:pPr>
        <w:widowControl w:val="0"/>
        <w:spacing w:after="0" w:line="240" w:lineRule="auto"/>
        <w:ind w:firstLine="709"/>
        <w:jc w:val="both"/>
        <w:rPr>
          <w:rFonts w:ascii="Times New Roman" w:eastAsia="Times New Roman" w:hAnsi="Times New Roman" w:cs="Times New Roman"/>
          <w:sz w:val="28"/>
          <w:szCs w:val="28"/>
          <w:lang w:eastAsia="ru-RU"/>
        </w:rPr>
      </w:pPr>
      <w:r w:rsidRPr="00B22142">
        <w:rPr>
          <w:rFonts w:ascii="Times New Roman" w:eastAsia="Times New Roman" w:hAnsi="Times New Roman" w:cs="Times New Roman"/>
          <w:sz w:val="28"/>
          <w:szCs w:val="28"/>
          <w:lang w:eastAsia="ru-RU"/>
        </w:rPr>
        <w:lastRenderedPageBreak/>
        <w:t>Результаты представленной российскими банками аналитики свидетельствуют, что в течение I полугодия 2016 г. наблюдалась тенденция роста задолженности по ИЖК по договору долевого участия (ДДУ) в рублях и иностранной валюте. Задолженность составила 714,8 и 2,0 млрд. рублей в рублевом эквиваленте соответственно; ее доля в совокупном портфеле ИЖК достигла 17,1% [11].</w:t>
      </w:r>
    </w:p>
    <w:p w:rsidR="00B22142" w:rsidRPr="00B22142" w:rsidRDefault="00B22142" w:rsidP="00B22142">
      <w:pPr>
        <w:widowControl w:val="0"/>
        <w:spacing w:after="0" w:line="240" w:lineRule="auto"/>
        <w:ind w:firstLine="709"/>
        <w:jc w:val="both"/>
        <w:rPr>
          <w:rFonts w:ascii="Times New Roman" w:eastAsia="Times New Roman" w:hAnsi="Times New Roman" w:cs="Times New Roman"/>
          <w:sz w:val="28"/>
          <w:szCs w:val="28"/>
          <w:lang w:eastAsia="ru-RU"/>
        </w:rPr>
      </w:pPr>
      <w:r w:rsidRPr="00B22142">
        <w:rPr>
          <w:rFonts w:ascii="Times New Roman" w:eastAsia="Times New Roman" w:hAnsi="Times New Roman" w:cs="Times New Roman"/>
          <w:sz w:val="28"/>
          <w:szCs w:val="28"/>
          <w:lang w:eastAsia="ru-RU"/>
        </w:rPr>
        <w:t>4. Изменение процентных ставок по предоставленным ИЖК в рублях и в иностранной валюте и сроков по кредитам в рублях. В I полугодии 2016 г. средневзвешенный срок предоставления кредитными организациями ИЖК в рублях вырос на 7 месяцев по сравнению с началом 2013 года и составил 183 месяца (15,2 года), при этом по ИЖК в иностранной валюте сократился на 111 месяцев и составил 3,4 года (рис. 4).</w:t>
      </w:r>
    </w:p>
    <w:p w:rsidR="00B22142" w:rsidRPr="00B22142" w:rsidRDefault="00B22142" w:rsidP="00B22142">
      <w:pPr>
        <w:widowControl w:val="0"/>
        <w:spacing w:after="0" w:line="240" w:lineRule="auto"/>
        <w:ind w:firstLine="709"/>
        <w:jc w:val="both"/>
        <w:rPr>
          <w:rFonts w:ascii="Times New Roman" w:eastAsia="Times New Roman" w:hAnsi="Times New Roman" w:cs="Times New Roman"/>
          <w:sz w:val="28"/>
          <w:szCs w:val="28"/>
          <w:lang w:eastAsia="ru-RU"/>
        </w:rPr>
      </w:pPr>
      <w:r w:rsidRPr="00B22142">
        <w:rPr>
          <w:rFonts w:ascii="Times New Roman" w:eastAsia="Times New Roman" w:hAnsi="Times New Roman" w:cs="Times New Roman"/>
          <w:sz w:val="28"/>
          <w:szCs w:val="28"/>
          <w:lang w:eastAsia="ru-RU"/>
        </w:rPr>
        <w:t xml:space="preserve">Средневзвешенные процентные ставки за аналогичный период изменились: по ИЖК в рублях увеличились на 0,32 п.п., составив 12,72 %, а по ИЖК в иностранной валюте снизились на 1,45 п.п., до 8,15 % [5]. </w:t>
      </w:r>
    </w:p>
    <w:p w:rsidR="00B22142" w:rsidRPr="00B22142" w:rsidRDefault="00B22142" w:rsidP="00B22142">
      <w:pPr>
        <w:widowControl w:val="0"/>
        <w:spacing w:after="0" w:line="240" w:lineRule="auto"/>
        <w:ind w:firstLine="709"/>
        <w:jc w:val="both"/>
        <w:rPr>
          <w:rFonts w:ascii="Times New Roman" w:eastAsia="Times New Roman" w:hAnsi="Times New Roman" w:cs="Times New Roman"/>
          <w:sz w:val="28"/>
          <w:szCs w:val="28"/>
          <w:lang w:eastAsia="ru-RU"/>
        </w:rPr>
      </w:pPr>
      <w:r w:rsidRPr="00B22142">
        <w:rPr>
          <w:rFonts w:ascii="Times New Roman" w:eastAsia="Times New Roman" w:hAnsi="Times New Roman" w:cs="Times New Roman"/>
          <w:sz w:val="28"/>
          <w:szCs w:val="28"/>
          <w:lang w:eastAsia="ru-RU"/>
        </w:rPr>
        <w:t>5. Увеличение объемов досрочно погашенных ИЖК. В I полугодии 2016 г. досрочно погашено ИЖК на сумму 299,9 млрд. рублей (в том числе прав</w:t>
      </w:r>
    </w:p>
    <w:p w:rsidR="00B22142" w:rsidRPr="00B22142" w:rsidRDefault="00B22142" w:rsidP="00B22142">
      <w:pPr>
        <w:widowControl w:val="0"/>
        <w:spacing w:after="0" w:line="240" w:lineRule="auto"/>
        <w:ind w:left="360"/>
        <w:contextualSpacing/>
        <w:jc w:val="both"/>
        <w:rPr>
          <w:rFonts w:ascii="Times New Roman" w:eastAsia="Times New Roman" w:hAnsi="Times New Roman" w:cs="Times New Roman"/>
          <w:sz w:val="28"/>
          <w:szCs w:val="28"/>
          <w:lang w:eastAsia="ru-RU"/>
        </w:rPr>
      </w:pPr>
    </w:p>
    <w:p w:rsidR="00B22142" w:rsidRPr="00B22142" w:rsidRDefault="00B22142" w:rsidP="00B22142">
      <w:pPr>
        <w:widowControl w:val="0"/>
        <w:spacing w:after="0" w:line="240" w:lineRule="auto"/>
        <w:ind w:firstLine="709"/>
        <w:jc w:val="center"/>
        <w:rPr>
          <w:rFonts w:ascii="Times New Roman" w:eastAsia="Times New Roman" w:hAnsi="Times New Roman" w:cs="Times New Roman"/>
          <w:sz w:val="28"/>
          <w:szCs w:val="28"/>
          <w:lang w:eastAsia="ru-RU"/>
        </w:rPr>
      </w:pPr>
      <w:r w:rsidRPr="00B22142">
        <w:rPr>
          <w:rFonts w:ascii="Times New Roman" w:eastAsia="Times New Roman" w:hAnsi="Times New Roman" w:cs="Times New Roman"/>
          <w:noProof/>
          <w:sz w:val="28"/>
          <w:lang w:eastAsia="ru-RU"/>
        </w:rPr>
        <w:drawing>
          <wp:inline distT="0" distB="0" distL="0" distR="0" wp14:anchorId="39493576" wp14:editId="4894BDB8">
            <wp:extent cx="5829300" cy="4419600"/>
            <wp:effectExtent l="0" t="0" r="0" b="0"/>
            <wp:docPr id="1792" name="Диаграмма 179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22142" w:rsidRPr="00B22142" w:rsidRDefault="00B22142" w:rsidP="00B22142">
      <w:pPr>
        <w:widowControl w:val="0"/>
        <w:spacing w:after="0" w:line="240" w:lineRule="auto"/>
        <w:ind w:firstLine="709"/>
        <w:jc w:val="center"/>
        <w:rPr>
          <w:rFonts w:ascii="Times New Roman" w:eastAsia="Times New Roman" w:hAnsi="Times New Roman" w:cs="Times New Roman"/>
          <w:sz w:val="28"/>
          <w:szCs w:val="28"/>
          <w:lang w:eastAsia="ru-RU"/>
        </w:rPr>
      </w:pPr>
      <w:r w:rsidRPr="00B22142">
        <w:rPr>
          <w:rFonts w:ascii="Times New Roman" w:eastAsia="Times New Roman" w:hAnsi="Times New Roman" w:cs="Times New Roman"/>
          <w:sz w:val="28"/>
          <w:szCs w:val="28"/>
          <w:lang w:eastAsia="ru-RU"/>
        </w:rPr>
        <w:t>Рисунок 4 – Динамика средневзвешенных сроков кредитования и процентных ставок по ИЖК за 2013-2016 гг.</w:t>
      </w:r>
    </w:p>
    <w:p w:rsidR="00B22142" w:rsidRPr="00B22142" w:rsidRDefault="00B22142" w:rsidP="00B22142">
      <w:pPr>
        <w:widowControl w:val="0"/>
        <w:spacing w:after="0" w:line="240" w:lineRule="auto"/>
        <w:ind w:firstLine="709"/>
        <w:jc w:val="center"/>
        <w:rPr>
          <w:rFonts w:ascii="Times New Roman" w:eastAsia="Times New Roman" w:hAnsi="Times New Roman" w:cs="Times New Roman"/>
          <w:sz w:val="28"/>
          <w:szCs w:val="28"/>
          <w:lang w:eastAsia="ru-RU"/>
        </w:rPr>
      </w:pPr>
    </w:p>
    <w:p w:rsidR="00B22142" w:rsidRPr="00B22142" w:rsidRDefault="00B22142" w:rsidP="00B22142">
      <w:pPr>
        <w:widowControl w:val="0"/>
        <w:spacing w:after="0" w:line="240" w:lineRule="auto"/>
        <w:jc w:val="both"/>
        <w:rPr>
          <w:rFonts w:ascii="Times New Roman" w:eastAsia="Times New Roman" w:hAnsi="Times New Roman" w:cs="Times New Roman"/>
          <w:sz w:val="28"/>
          <w:szCs w:val="28"/>
          <w:lang w:eastAsia="ru-RU"/>
        </w:rPr>
      </w:pPr>
      <w:r w:rsidRPr="00B22142">
        <w:rPr>
          <w:rFonts w:ascii="Times New Roman" w:eastAsia="Times New Roman" w:hAnsi="Times New Roman" w:cs="Times New Roman"/>
          <w:sz w:val="28"/>
          <w:szCs w:val="28"/>
          <w:lang w:eastAsia="ru-RU"/>
        </w:rPr>
        <w:t xml:space="preserve">требования по ИЖК на сумму 6,2 млрд. рублей), что на 35,8% больше </w:t>
      </w:r>
      <w:r w:rsidRPr="00B22142">
        <w:rPr>
          <w:rFonts w:ascii="Times New Roman" w:eastAsia="Times New Roman" w:hAnsi="Times New Roman" w:cs="Times New Roman"/>
          <w:sz w:val="28"/>
          <w:szCs w:val="28"/>
          <w:lang w:eastAsia="ru-RU"/>
        </w:rPr>
        <w:lastRenderedPageBreak/>
        <w:t>аналогичного периода 2015 года. Досрочное погашение производилось в основном по ИЖК (правам требования по ИЖК), предоставленным (приобретенным) в рублях, – 282,6 млрд. рублей. Доля ИЖК, досрочно погашенных собственными средствами заемщиков, составила 74,6%. Соотношение объемов досрочно погашенных ИЖК и предоставленных ИЖК составило 45,1% (в аналогичный период 2015 года – 47,9%) [4].</w:t>
      </w:r>
    </w:p>
    <w:p w:rsidR="00B22142" w:rsidRPr="00B22142" w:rsidRDefault="00B22142" w:rsidP="00B22142">
      <w:pPr>
        <w:widowControl w:val="0"/>
        <w:spacing w:after="0" w:line="240" w:lineRule="auto"/>
        <w:ind w:firstLine="708"/>
        <w:jc w:val="both"/>
        <w:rPr>
          <w:rFonts w:ascii="Times New Roman" w:eastAsia="Times New Roman" w:hAnsi="Times New Roman" w:cs="Times New Roman"/>
          <w:sz w:val="28"/>
          <w:szCs w:val="24"/>
          <w:lang w:eastAsia="ru-RU"/>
        </w:rPr>
      </w:pPr>
      <w:r w:rsidRPr="00B22142">
        <w:rPr>
          <w:rFonts w:ascii="Times New Roman" w:eastAsia="Times New Roman" w:hAnsi="Times New Roman" w:cs="Times New Roman"/>
          <w:sz w:val="28"/>
          <w:szCs w:val="24"/>
          <w:lang w:eastAsia="ru-RU"/>
        </w:rPr>
        <w:t>6. Рост объема рефинансированных кредитными организациями ИЖК на фоне увеличения объема предоставленных ИЖК. В I полугодии 2016 года 73 кредитные организации рефинансировали ИЖК на сумму 77,7 млрд. рублей, в том числе путем продажи их другим организациям на сумму 51,0 млрд. рублей (в I полугодии 2015 года – 88 кредитных организаций на сумму 36,9 млрд. рублей, в том числе путем продажи ИЖК на сумму 28,5 млрд. рублей). Соотношение объемов рефинансированных ИЖК путем продажи их другим организациям и предоставленных ИЖК составило 7,7% (рис. 5).</w:t>
      </w:r>
    </w:p>
    <w:p w:rsidR="00B22142" w:rsidRPr="00B22142" w:rsidRDefault="00B22142" w:rsidP="00B22142">
      <w:pPr>
        <w:widowControl w:val="0"/>
        <w:spacing w:after="0" w:line="240" w:lineRule="auto"/>
        <w:ind w:firstLine="708"/>
        <w:jc w:val="both"/>
        <w:rPr>
          <w:rFonts w:ascii="Times New Roman" w:eastAsia="Times New Roman" w:hAnsi="Times New Roman" w:cs="Times New Roman"/>
          <w:sz w:val="28"/>
          <w:szCs w:val="24"/>
          <w:lang w:eastAsia="ru-RU"/>
        </w:rPr>
      </w:pPr>
      <w:r w:rsidRPr="00B22142">
        <w:rPr>
          <w:rFonts w:ascii="Times New Roman" w:eastAsia="Times New Roman" w:hAnsi="Times New Roman" w:cs="Times New Roman"/>
          <w:sz w:val="28"/>
          <w:szCs w:val="24"/>
          <w:lang w:eastAsia="ru-RU"/>
        </w:rPr>
        <w:t xml:space="preserve">Анализ показал, что среди основных источников рефинансирования ИЖК путем продажи их другим организациям выделялись специализированные организации – резиденты: на   них   приходилось 69,7 % рефинансированных </w:t>
      </w:r>
    </w:p>
    <w:p w:rsidR="00B22142" w:rsidRPr="00B22142" w:rsidRDefault="00B22142" w:rsidP="00B22142">
      <w:pPr>
        <w:widowControl w:val="0"/>
        <w:spacing w:after="0" w:line="240" w:lineRule="auto"/>
        <w:ind w:firstLine="709"/>
        <w:jc w:val="center"/>
        <w:rPr>
          <w:rFonts w:ascii="Times New Roman" w:eastAsia="Times New Roman" w:hAnsi="Times New Roman" w:cs="Times New Roman"/>
          <w:sz w:val="28"/>
          <w:szCs w:val="24"/>
          <w:lang w:eastAsia="ru-RU"/>
        </w:rPr>
      </w:pPr>
      <w:r w:rsidRPr="00B22142">
        <w:rPr>
          <w:rFonts w:ascii="Times New Roman" w:eastAsia="Times New Roman" w:hAnsi="Times New Roman" w:cs="Times New Roman"/>
          <w:noProof/>
          <w:sz w:val="28"/>
          <w:szCs w:val="24"/>
          <w:lang w:eastAsia="ru-RU"/>
        </w:rPr>
        <w:drawing>
          <wp:inline distT="0" distB="0" distL="0" distR="0" wp14:anchorId="0D3F0B1F" wp14:editId="469A5E7B">
            <wp:extent cx="5400675" cy="3257550"/>
            <wp:effectExtent l="0" t="0" r="0" b="0"/>
            <wp:docPr id="1793" name="Диаграмма 179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22142" w:rsidRPr="00B22142" w:rsidRDefault="00B22142" w:rsidP="00B22142">
      <w:pPr>
        <w:widowControl w:val="0"/>
        <w:spacing w:after="0" w:line="240" w:lineRule="auto"/>
        <w:ind w:firstLine="56"/>
        <w:jc w:val="center"/>
        <w:rPr>
          <w:rFonts w:ascii="Times New Roman" w:eastAsia="Times New Roman" w:hAnsi="Times New Roman" w:cs="Times New Roman"/>
          <w:sz w:val="28"/>
          <w:szCs w:val="28"/>
          <w:lang w:eastAsia="ru-RU"/>
        </w:rPr>
      </w:pPr>
      <w:r w:rsidRPr="00B22142">
        <w:rPr>
          <w:rFonts w:ascii="Times New Roman" w:eastAsia="Times New Roman" w:hAnsi="Times New Roman" w:cs="Times New Roman"/>
          <w:sz w:val="28"/>
          <w:szCs w:val="28"/>
          <w:lang w:eastAsia="ru-RU"/>
        </w:rPr>
        <w:t>Рисунок 5 – Динамика объемов выданных и рефинансированных ИЖК путем продажи их другим организациям</w:t>
      </w:r>
    </w:p>
    <w:p w:rsidR="00B22142" w:rsidRPr="00B22142" w:rsidRDefault="00B22142" w:rsidP="00B22142">
      <w:pPr>
        <w:widowControl w:val="0"/>
        <w:spacing w:after="0" w:line="240" w:lineRule="auto"/>
        <w:ind w:firstLine="709"/>
        <w:jc w:val="center"/>
        <w:rPr>
          <w:rFonts w:ascii="Times New Roman" w:eastAsia="Times New Roman" w:hAnsi="Times New Roman" w:cs="Times New Roman"/>
          <w:sz w:val="28"/>
          <w:szCs w:val="28"/>
          <w:lang w:eastAsia="ru-RU"/>
        </w:rPr>
      </w:pPr>
    </w:p>
    <w:p w:rsidR="00B22142" w:rsidRPr="00B22142" w:rsidRDefault="00B22142" w:rsidP="00B22142">
      <w:pPr>
        <w:widowControl w:val="0"/>
        <w:spacing w:after="0" w:line="240" w:lineRule="auto"/>
        <w:jc w:val="both"/>
        <w:rPr>
          <w:rFonts w:ascii="Times New Roman" w:eastAsia="Times New Roman" w:hAnsi="Times New Roman" w:cs="Times New Roman"/>
          <w:sz w:val="28"/>
          <w:szCs w:val="24"/>
          <w:lang w:eastAsia="ru-RU"/>
        </w:rPr>
      </w:pPr>
      <w:r w:rsidRPr="00B22142">
        <w:rPr>
          <w:rFonts w:ascii="Times New Roman" w:eastAsia="Times New Roman" w:hAnsi="Times New Roman" w:cs="Times New Roman"/>
          <w:sz w:val="28"/>
          <w:szCs w:val="24"/>
          <w:lang w:eastAsia="ru-RU"/>
        </w:rPr>
        <w:t xml:space="preserve">ИЖК. По сравнению с соответствующим периодом 2015 года доля операций, совершенных специализированными организациями – резидентами, уменьшилась на 17,1 п.п., но при этом объем рефинансированных ими ИЖК увеличился на 43,8% (до 35,6 млрд. рублей). Доля кредитных организаций в источниках рефинансирования выросла на 16,6 п.п. и составила 29,3%, объем рефинансированных ими ИЖК значительно увеличился – в 4,1 раза (до 14,9 млрд. рублей). Доля специализированных организаций – нерезидентов </w:t>
      </w:r>
      <w:r w:rsidRPr="00B22142">
        <w:rPr>
          <w:rFonts w:ascii="Times New Roman" w:eastAsia="Times New Roman" w:hAnsi="Times New Roman" w:cs="Times New Roman"/>
          <w:sz w:val="28"/>
          <w:szCs w:val="24"/>
          <w:lang w:eastAsia="ru-RU"/>
        </w:rPr>
        <w:lastRenderedPageBreak/>
        <w:t>составила 0,01% (0,005 млрд. рублей), прочих организаций – 0,7% (0,4 млрд. рублей).</w:t>
      </w:r>
    </w:p>
    <w:p w:rsidR="00B22142" w:rsidRPr="00B22142" w:rsidRDefault="00B22142" w:rsidP="00B22142">
      <w:pPr>
        <w:widowControl w:val="0"/>
        <w:spacing w:after="0" w:line="240" w:lineRule="auto"/>
        <w:ind w:firstLine="708"/>
        <w:jc w:val="both"/>
        <w:rPr>
          <w:rFonts w:ascii="Times New Roman" w:eastAsia="Times New Roman" w:hAnsi="Times New Roman" w:cs="Times New Roman"/>
          <w:sz w:val="28"/>
          <w:szCs w:val="24"/>
          <w:lang w:eastAsia="ru-RU"/>
        </w:rPr>
      </w:pPr>
      <w:r w:rsidRPr="00B22142">
        <w:rPr>
          <w:rFonts w:ascii="Times New Roman" w:eastAsia="Times New Roman" w:hAnsi="Times New Roman" w:cs="Times New Roman"/>
          <w:sz w:val="28"/>
          <w:szCs w:val="24"/>
          <w:lang w:eastAsia="ru-RU"/>
        </w:rPr>
        <w:t xml:space="preserve">Объем рефинансированных ИЖК путем эмиссии облигаций с ипотечным покрытием с сохранением актива на балансе кредитной организации в первом полугодии 2016 года составил 26,6 млрд. рублей (эмиссия осуществлялась двумя кредитными организациями) [7]. </w:t>
      </w:r>
    </w:p>
    <w:p w:rsidR="00B22142" w:rsidRPr="00B22142" w:rsidRDefault="00B22142" w:rsidP="00B22142">
      <w:pPr>
        <w:widowControl w:val="0"/>
        <w:spacing w:after="0" w:line="240" w:lineRule="auto"/>
        <w:ind w:firstLine="708"/>
        <w:jc w:val="both"/>
        <w:rPr>
          <w:rFonts w:ascii="Times New Roman" w:eastAsia="Times New Roman" w:hAnsi="Times New Roman" w:cs="Times New Roman"/>
          <w:sz w:val="28"/>
          <w:szCs w:val="24"/>
          <w:lang w:eastAsia="ru-RU"/>
        </w:rPr>
      </w:pPr>
      <w:r w:rsidRPr="00B22142">
        <w:rPr>
          <w:rFonts w:ascii="Times New Roman" w:eastAsia="Times New Roman" w:hAnsi="Times New Roman" w:cs="Times New Roman"/>
          <w:sz w:val="28"/>
          <w:szCs w:val="24"/>
          <w:lang w:eastAsia="ru-RU"/>
        </w:rPr>
        <w:t>Таким образом, в I полугодии 2016 года практически весь объем ИЖК в Российской Федерации рефинансирован на внутреннем финансовом рынке.</w:t>
      </w:r>
    </w:p>
    <w:p w:rsidR="00B22142" w:rsidRPr="00B22142" w:rsidRDefault="00B22142" w:rsidP="00B22142">
      <w:pPr>
        <w:widowControl w:val="0"/>
        <w:spacing w:after="0" w:line="240" w:lineRule="auto"/>
        <w:ind w:firstLine="708"/>
        <w:jc w:val="both"/>
        <w:rPr>
          <w:rFonts w:ascii="Times New Roman" w:eastAsia="Times New Roman" w:hAnsi="Times New Roman" w:cs="Times New Roman"/>
          <w:sz w:val="28"/>
          <w:szCs w:val="24"/>
          <w:lang w:eastAsia="ru-RU"/>
        </w:rPr>
      </w:pPr>
      <w:r w:rsidRPr="00B22142">
        <w:rPr>
          <w:rFonts w:ascii="Times New Roman" w:eastAsia="Times New Roman" w:hAnsi="Times New Roman" w:cs="Times New Roman"/>
          <w:sz w:val="28"/>
          <w:szCs w:val="24"/>
          <w:lang w:eastAsia="ru-RU"/>
        </w:rPr>
        <w:t>В настоящее время кредитным организациям предоставлена возможность использовать в качестве обеспечения по операциям рефинансирования Банка России как облигации Агентства по ипотечному жилищному кредитованию (АИЖК), так и облигации с ипотечным покрытием, выпускаемые в соответствии с законодательством Российской Федерации, в том числе облигации с ипотечным покрытием, обеспеченные солидарным поручительством АИЖК. По состоянию на 1 июля 2016 года в Ломбардный список Банка России включено 63 выпуска облигаций с ипотечным покрытием 48 эмитентов на сумму 373,5 млрд. рублей по номиналу, а также 25 выпусков облигаций ОАО «АИЖК» на сумму 172,0 млрд. рублей по номиналу [11].</w:t>
      </w:r>
    </w:p>
    <w:p w:rsidR="00B22142" w:rsidRPr="00B22142" w:rsidRDefault="00B22142" w:rsidP="00B22142">
      <w:pPr>
        <w:widowControl w:val="0"/>
        <w:spacing w:after="0" w:line="240" w:lineRule="auto"/>
        <w:ind w:firstLine="708"/>
        <w:jc w:val="both"/>
        <w:rPr>
          <w:rFonts w:ascii="Times New Roman" w:eastAsia="Times New Roman" w:hAnsi="Times New Roman" w:cs="Times New Roman"/>
          <w:sz w:val="28"/>
          <w:szCs w:val="24"/>
          <w:lang w:eastAsia="ru-RU"/>
        </w:rPr>
      </w:pPr>
      <w:r w:rsidRPr="00B22142">
        <w:rPr>
          <w:rFonts w:ascii="Times New Roman" w:eastAsia="Times New Roman" w:hAnsi="Times New Roman" w:cs="Times New Roman"/>
          <w:b/>
          <w:sz w:val="28"/>
          <w:szCs w:val="24"/>
          <w:lang w:eastAsia="ru-RU"/>
        </w:rPr>
        <w:t>Выводы.</w:t>
      </w:r>
      <w:r w:rsidRPr="00B22142">
        <w:rPr>
          <w:rFonts w:ascii="Times New Roman" w:eastAsia="Times New Roman" w:hAnsi="Times New Roman" w:cs="Times New Roman"/>
          <w:sz w:val="28"/>
          <w:szCs w:val="24"/>
          <w:lang w:eastAsia="ru-RU"/>
        </w:rPr>
        <w:t xml:space="preserve"> Проведенный нами анализ показал, что для дальнейшего развития российского ипотечного рынка в сложных современных условиях необходимо четко определить принципы регулирования ипотечного кредитования [10]. В свою очередь, это требует усовершенствования законодательной базы, а также повышение финансовой грамотности населения. Для дальнейшего развития ипотечное кредитование должно ориентироваться именно на те категории граждан, которые нуждаются даже в небольшом ипотечном кредите, что позволит при ограниченных ресурсах обеспечить кредитами максимально возможное число заемщиков. В то же время необходимо помнить, что условия ипотечного кредитования должны соответствовать доходам основной части населения страны.</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4103"/>
        <w:gridCol w:w="4587"/>
      </w:tblGrid>
      <w:tr w:rsidR="00B22142" w:rsidRPr="00B22142" w:rsidTr="00B2348C">
        <w:tc>
          <w:tcPr>
            <w:tcW w:w="4819" w:type="dxa"/>
            <w:gridSpan w:val="2"/>
          </w:tcPr>
          <w:p w:rsidR="00B22142" w:rsidRPr="00B22142" w:rsidRDefault="00B22142" w:rsidP="00B22142">
            <w:pPr>
              <w:widowControl w:val="0"/>
              <w:jc w:val="both"/>
              <w:rPr>
                <w:rFonts w:ascii="Times New Roman" w:hAnsi="Times New Roman"/>
                <w:sz w:val="28"/>
                <w:szCs w:val="28"/>
              </w:rPr>
            </w:pPr>
          </w:p>
        </w:tc>
        <w:tc>
          <w:tcPr>
            <w:tcW w:w="4820" w:type="dxa"/>
          </w:tcPr>
          <w:p w:rsidR="00B22142" w:rsidRPr="00B22142" w:rsidRDefault="00B22142" w:rsidP="00B22142">
            <w:pPr>
              <w:widowControl w:val="0"/>
              <w:jc w:val="both"/>
              <w:rPr>
                <w:rFonts w:ascii="Times New Roman" w:hAnsi="Times New Roman"/>
                <w:sz w:val="28"/>
                <w:szCs w:val="28"/>
              </w:rPr>
            </w:pPr>
          </w:p>
        </w:tc>
      </w:tr>
      <w:tr w:rsidR="00B22142" w:rsidRPr="00B22142" w:rsidTr="00B2348C">
        <w:tc>
          <w:tcPr>
            <w:tcW w:w="9639" w:type="dxa"/>
            <w:gridSpan w:val="3"/>
          </w:tcPr>
          <w:p w:rsidR="00B22142" w:rsidRPr="00B22142" w:rsidRDefault="00B22142" w:rsidP="00B22142">
            <w:pPr>
              <w:widowControl w:val="0"/>
              <w:jc w:val="center"/>
              <w:rPr>
                <w:rFonts w:ascii="Times New Roman" w:hAnsi="Times New Roman"/>
                <w:sz w:val="28"/>
                <w:szCs w:val="28"/>
              </w:rPr>
            </w:pPr>
            <w:r w:rsidRPr="00B22142">
              <w:rPr>
                <w:rFonts w:ascii="Times New Roman" w:hAnsi="Times New Roman"/>
                <w:b/>
                <w:sz w:val="28"/>
                <w:szCs w:val="28"/>
              </w:rPr>
              <w:t>Список литературы</w:t>
            </w:r>
          </w:p>
        </w:tc>
      </w:tr>
      <w:tr w:rsidR="00B22142" w:rsidRPr="00B22142" w:rsidTr="00B2348C">
        <w:tc>
          <w:tcPr>
            <w:tcW w:w="567" w:type="dxa"/>
          </w:tcPr>
          <w:p w:rsidR="00B22142" w:rsidRPr="00B22142" w:rsidRDefault="00B22142" w:rsidP="00B22142">
            <w:pPr>
              <w:widowControl w:val="0"/>
              <w:numPr>
                <w:ilvl w:val="0"/>
                <w:numId w:val="1"/>
              </w:numPr>
              <w:contextualSpacing/>
              <w:jc w:val="both"/>
              <w:rPr>
                <w:rFonts w:ascii="Times New Roman" w:hAnsi="Times New Roman"/>
                <w:sz w:val="24"/>
                <w:szCs w:val="24"/>
              </w:rPr>
            </w:pPr>
          </w:p>
        </w:tc>
        <w:tc>
          <w:tcPr>
            <w:tcW w:w="9072" w:type="dxa"/>
            <w:gridSpan w:val="2"/>
          </w:tcPr>
          <w:p w:rsidR="00B22142" w:rsidRPr="00B22142" w:rsidRDefault="00B22142" w:rsidP="00B22142">
            <w:pPr>
              <w:widowControl w:val="0"/>
              <w:tabs>
                <w:tab w:val="left" w:pos="1134"/>
              </w:tabs>
              <w:jc w:val="both"/>
              <w:rPr>
                <w:rFonts w:ascii="Times New Roman" w:hAnsi="Times New Roman"/>
                <w:sz w:val="24"/>
                <w:szCs w:val="24"/>
              </w:rPr>
            </w:pPr>
            <w:r w:rsidRPr="00B22142">
              <w:rPr>
                <w:rFonts w:ascii="Times New Roman" w:hAnsi="Times New Roman"/>
                <w:sz w:val="24"/>
                <w:szCs w:val="24"/>
              </w:rPr>
              <w:t>Веревкина Т.Н., Гулько А.А. Тенденции развития рынка ипотечного кредитования в России // Проблемы экономики и менеджмента. – 2014. – № 7 (35). – С. 45-49.</w:t>
            </w:r>
          </w:p>
        </w:tc>
      </w:tr>
      <w:tr w:rsidR="00B22142" w:rsidRPr="00B22142" w:rsidTr="00B2348C">
        <w:tc>
          <w:tcPr>
            <w:tcW w:w="567" w:type="dxa"/>
          </w:tcPr>
          <w:p w:rsidR="00B22142" w:rsidRPr="00B22142" w:rsidRDefault="00B22142" w:rsidP="00B22142">
            <w:pPr>
              <w:widowControl w:val="0"/>
              <w:numPr>
                <w:ilvl w:val="0"/>
                <w:numId w:val="1"/>
              </w:numPr>
              <w:contextualSpacing/>
              <w:jc w:val="both"/>
              <w:rPr>
                <w:rFonts w:ascii="Times New Roman" w:hAnsi="Times New Roman"/>
                <w:sz w:val="24"/>
                <w:szCs w:val="24"/>
              </w:rPr>
            </w:pPr>
          </w:p>
        </w:tc>
        <w:tc>
          <w:tcPr>
            <w:tcW w:w="9072" w:type="dxa"/>
            <w:gridSpan w:val="2"/>
          </w:tcPr>
          <w:p w:rsidR="00B22142" w:rsidRPr="00B22142" w:rsidRDefault="00B22142" w:rsidP="00B22142">
            <w:pPr>
              <w:widowControl w:val="0"/>
              <w:tabs>
                <w:tab w:val="left" w:pos="1134"/>
              </w:tabs>
              <w:jc w:val="both"/>
              <w:rPr>
                <w:rFonts w:ascii="Times New Roman" w:hAnsi="Times New Roman"/>
                <w:sz w:val="24"/>
                <w:szCs w:val="24"/>
              </w:rPr>
            </w:pPr>
            <w:r w:rsidRPr="00B22142">
              <w:rPr>
                <w:rFonts w:ascii="Times New Roman" w:hAnsi="Times New Roman"/>
                <w:iCs/>
                <w:sz w:val="24"/>
                <w:szCs w:val="24"/>
              </w:rPr>
              <w:t xml:space="preserve">Емельянов О.О., Омаров М.М. </w:t>
            </w:r>
            <w:hyperlink r:id="rId10" w:history="1">
              <w:r w:rsidRPr="00B22142">
                <w:rPr>
                  <w:rFonts w:ascii="Times New Roman" w:hAnsi="Times New Roman"/>
                  <w:bCs/>
                  <w:sz w:val="24"/>
                  <w:szCs w:val="24"/>
                  <w:u w:val="single"/>
                </w:rPr>
                <w:t>Инновационная инфраструктура как фактор повышения эффективности предпринимательской деятельности</w:t>
              </w:r>
            </w:hyperlink>
            <w:r w:rsidRPr="00B22142">
              <w:rPr>
                <w:rFonts w:ascii="Times New Roman" w:hAnsi="Times New Roman"/>
                <w:sz w:val="24"/>
                <w:szCs w:val="24"/>
              </w:rPr>
              <w:t xml:space="preserve"> // </w:t>
            </w:r>
            <w:hyperlink r:id="rId11" w:history="1">
              <w:r w:rsidRPr="00B22142">
                <w:rPr>
                  <w:rFonts w:ascii="Times New Roman" w:hAnsi="Times New Roman"/>
                  <w:sz w:val="24"/>
                  <w:szCs w:val="24"/>
                  <w:u w:val="single"/>
                </w:rPr>
                <w:t>Научные труды Вольного экономического общества России</w:t>
              </w:r>
            </w:hyperlink>
            <w:r w:rsidRPr="00B22142">
              <w:rPr>
                <w:rFonts w:ascii="Times New Roman" w:hAnsi="Times New Roman"/>
                <w:sz w:val="24"/>
                <w:szCs w:val="24"/>
              </w:rPr>
              <w:t>. - 2014. - Т. 187. - С. 103-107.</w:t>
            </w:r>
          </w:p>
        </w:tc>
      </w:tr>
      <w:tr w:rsidR="00B22142" w:rsidRPr="00B22142" w:rsidTr="00B2348C">
        <w:tc>
          <w:tcPr>
            <w:tcW w:w="567" w:type="dxa"/>
          </w:tcPr>
          <w:p w:rsidR="00B22142" w:rsidRPr="00B22142" w:rsidRDefault="00B22142" w:rsidP="00B22142">
            <w:pPr>
              <w:widowControl w:val="0"/>
              <w:numPr>
                <w:ilvl w:val="0"/>
                <w:numId w:val="1"/>
              </w:numPr>
              <w:contextualSpacing/>
              <w:jc w:val="both"/>
              <w:rPr>
                <w:rFonts w:ascii="Times New Roman" w:hAnsi="Times New Roman"/>
                <w:sz w:val="24"/>
                <w:szCs w:val="24"/>
              </w:rPr>
            </w:pPr>
          </w:p>
        </w:tc>
        <w:tc>
          <w:tcPr>
            <w:tcW w:w="9072" w:type="dxa"/>
            <w:gridSpan w:val="2"/>
          </w:tcPr>
          <w:p w:rsidR="00B22142" w:rsidRPr="00B22142" w:rsidRDefault="00B22142" w:rsidP="00B22142">
            <w:pPr>
              <w:widowControl w:val="0"/>
              <w:tabs>
                <w:tab w:val="left" w:pos="1134"/>
              </w:tabs>
              <w:jc w:val="both"/>
              <w:rPr>
                <w:rFonts w:ascii="Times New Roman" w:hAnsi="Times New Roman"/>
                <w:sz w:val="24"/>
                <w:szCs w:val="24"/>
              </w:rPr>
            </w:pPr>
            <w:r w:rsidRPr="00B22142">
              <w:rPr>
                <w:rFonts w:ascii="Times New Roman" w:hAnsi="Times New Roman"/>
                <w:sz w:val="24"/>
                <w:szCs w:val="24"/>
              </w:rPr>
              <w:t xml:space="preserve">Национальное бюро кредитных историй. [Электронный ресурс] – Режим доступа: </w:t>
            </w:r>
            <w:hyperlink r:id="rId12" w:history="1">
              <w:r w:rsidRPr="00B22142">
                <w:rPr>
                  <w:rFonts w:ascii="Times New Roman" w:hAnsi="Times New Roman"/>
                  <w:sz w:val="24"/>
                  <w:szCs w:val="24"/>
                  <w:u w:val="single"/>
                </w:rPr>
                <w:t>http://www.nbki.ru/press/pressrelease/</w:t>
              </w:r>
            </w:hyperlink>
            <w:r w:rsidRPr="00B22142">
              <w:rPr>
                <w:rFonts w:ascii="Times New Roman" w:hAnsi="Times New Roman"/>
                <w:sz w:val="24"/>
                <w:szCs w:val="24"/>
              </w:rPr>
              <w:t xml:space="preserve"> (дата обращения: 18.02.2017).</w:t>
            </w:r>
          </w:p>
        </w:tc>
      </w:tr>
      <w:tr w:rsidR="00B22142" w:rsidRPr="00B22142" w:rsidTr="00B2348C">
        <w:tc>
          <w:tcPr>
            <w:tcW w:w="567" w:type="dxa"/>
          </w:tcPr>
          <w:p w:rsidR="00B22142" w:rsidRPr="00B22142" w:rsidRDefault="00B22142" w:rsidP="00B22142">
            <w:pPr>
              <w:widowControl w:val="0"/>
              <w:numPr>
                <w:ilvl w:val="0"/>
                <w:numId w:val="1"/>
              </w:numPr>
              <w:contextualSpacing/>
              <w:jc w:val="both"/>
              <w:rPr>
                <w:rFonts w:ascii="Times New Roman" w:hAnsi="Times New Roman"/>
                <w:sz w:val="24"/>
                <w:szCs w:val="24"/>
              </w:rPr>
            </w:pPr>
          </w:p>
        </w:tc>
        <w:tc>
          <w:tcPr>
            <w:tcW w:w="9072" w:type="dxa"/>
            <w:gridSpan w:val="2"/>
          </w:tcPr>
          <w:p w:rsidR="00B22142" w:rsidRPr="00B22142" w:rsidRDefault="00B22142" w:rsidP="00B22142">
            <w:pPr>
              <w:widowControl w:val="0"/>
              <w:tabs>
                <w:tab w:val="left" w:pos="1134"/>
              </w:tabs>
              <w:jc w:val="both"/>
              <w:rPr>
                <w:rFonts w:ascii="Times New Roman" w:hAnsi="Times New Roman"/>
                <w:sz w:val="24"/>
                <w:szCs w:val="24"/>
              </w:rPr>
            </w:pPr>
            <w:r w:rsidRPr="00B22142">
              <w:rPr>
                <w:rFonts w:ascii="Times New Roman" w:hAnsi="Times New Roman"/>
                <w:sz w:val="24"/>
                <w:szCs w:val="24"/>
              </w:rPr>
              <w:t>О состоянии рынка ипотечного жилищного кредитования в 2013 году // Вестник Банка России № 41 (1519) от 23 апреля 2014 – М. 2014. – с.22-26.</w:t>
            </w:r>
          </w:p>
        </w:tc>
      </w:tr>
      <w:tr w:rsidR="00B22142" w:rsidRPr="00B22142" w:rsidTr="00B2348C">
        <w:tc>
          <w:tcPr>
            <w:tcW w:w="567" w:type="dxa"/>
          </w:tcPr>
          <w:p w:rsidR="00B22142" w:rsidRPr="00B22142" w:rsidRDefault="00B22142" w:rsidP="00B22142">
            <w:pPr>
              <w:widowControl w:val="0"/>
              <w:numPr>
                <w:ilvl w:val="0"/>
                <w:numId w:val="1"/>
              </w:numPr>
              <w:contextualSpacing/>
              <w:jc w:val="both"/>
              <w:rPr>
                <w:rFonts w:ascii="Times New Roman" w:hAnsi="Times New Roman"/>
                <w:sz w:val="24"/>
                <w:szCs w:val="24"/>
              </w:rPr>
            </w:pPr>
          </w:p>
        </w:tc>
        <w:tc>
          <w:tcPr>
            <w:tcW w:w="9072" w:type="dxa"/>
            <w:gridSpan w:val="2"/>
          </w:tcPr>
          <w:p w:rsidR="00B22142" w:rsidRPr="00B22142" w:rsidRDefault="00B22142" w:rsidP="00B22142">
            <w:pPr>
              <w:widowControl w:val="0"/>
              <w:tabs>
                <w:tab w:val="left" w:pos="1134"/>
              </w:tabs>
              <w:jc w:val="both"/>
              <w:rPr>
                <w:rFonts w:ascii="Times New Roman" w:hAnsi="Times New Roman"/>
                <w:sz w:val="24"/>
                <w:szCs w:val="24"/>
              </w:rPr>
            </w:pPr>
            <w:r w:rsidRPr="00B22142">
              <w:rPr>
                <w:rFonts w:ascii="Times New Roman" w:hAnsi="Times New Roman"/>
                <w:sz w:val="24"/>
                <w:szCs w:val="24"/>
              </w:rPr>
              <w:t>О состоянии рынка ипотечного жилищного кредитования в 2014 году // Вестник Банка России № 38 (1634) от 29 апреля 2015 – М. 2015. – с.21-25.</w:t>
            </w:r>
          </w:p>
        </w:tc>
      </w:tr>
      <w:tr w:rsidR="00B22142" w:rsidRPr="00B22142" w:rsidTr="00B2348C">
        <w:tc>
          <w:tcPr>
            <w:tcW w:w="567" w:type="dxa"/>
          </w:tcPr>
          <w:p w:rsidR="00B22142" w:rsidRPr="00B22142" w:rsidRDefault="00B22142" w:rsidP="00B22142">
            <w:pPr>
              <w:widowControl w:val="0"/>
              <w:numPr>
                <w:ilvl w:val="0"/>
                <w:numId w:val="1"/>
              </w:numPr>
              <w:contextualSpacing/>
              <w:jc w:val="both"/>
              <w:rPr>
                <w:rFonts w:ascii="Times New Roman" w:hAnsi="Times New Roman"/>
                <w:sz w:val="24"/>
                <w:szCs w:val="24"/>
              </w:rPr>
            </w:pPr>
          </w:p>
        </w:tc>
        <w:tc>
          <w:tcPr>
            <w:tcW w:w="9072" w:type="dxa"/>
            <w:gridSpan w:val="2"/>
          </w:tcPr>
          <w:p w:rsidR="00B22142" w:rsidRPr="00B22142" w:rsidRDefault="00B22142" w:rsidP="00B22142">
            <w:pPr>
              <w:widowControl w:val="0"/>
              <w:tabs>
                <w:tab w:val="left" w:pos="1134"/>
              </w:tabs>
              <w:jc w:val="both"/>
              <w:rPr>
                <w:rFonts w:ascii="Times New Roman" w:hAnsi="Times New Roman"/>
                <w:sz w:val="24"/>
                <w:szCs w:val="24"/>
              </w:rPr>
            </w:pPr>
            <w:r w:rsidRPr="00B22142">
              <w:rPr>
                <w:rFonts w:ascii="Times New Roman" w:hAnsi="Times New Roman"/>
                <w:sz w:val="24"/>
                <w:szCs w:val="24"/>
              </w:rPr>
              <w:t>О состоянии рынка ипотечного жилищного кредитования в 2015 году // Вестник Банка России № 41 (1759) от 27 апреля 2016 – М. 2016. – с.6-11.</w:t>
            </w:r>
          </w:p>
        </w:tc>
      </w:tr>
      <w:tr w:rsidR="00B22142" w:rsidRPr="00B22142" w:rsidTr="00B2348C">
        <w:tc>
          <w:tcPr>
            <w:tcW w:w="567" w:type="dxa"/>
          </w:tcPr>
          <w:p w:rsidR="00B22142" w:rsidRPr="00B22142" w:rsidRDefault="00B22142" w:rsidP="00B22142">
            <w:pPr>
              <w:widowControl w:val="0"/>
              <w:numPr>
                <w:ilvl w:val="0"/>
                <w:numId w:val="1"/>
              </w:numPr>
              <w:contextualSpacing/>
              <w:jc w:val="both"/>
              <w:rPr>
                <w:rFonts w:ascii="Times New Roman" w:hAnsi="Times New Roman"/>
                <w:sz w:val="24"/>
                <w:szCs w:val="24"/>
              </w:rPr>
            </w:pPr>
          </w:p>
        </w:tc>
        <w:tc>
          <w:tcPr>
            <w:tcW w:w="9072" w:type="dxa"/>
            <w:gridSpan w:val="2"/>
          </w:tcPr>
          <w:p w:rsidR="00B22142" w:rsidRPr="00B22142" w:rsidRDefault="00B22142" w:rsidP="00B22142">
            <w:pPr>
              <w:widowControl w:val="0"/>
              <w:tabs>
                <w:tab w:val="left" w:pos="1134"/>
              </w:tabs>
              <w:jc w:val="both"/>
              <w:rPr>
                <w:rFonts w:ascii="Times New Roman" w:hAnsi="Times New Roman"/>
                <w:sz w:val="24"/>
                <w:szCs w:val="24"/>
              </w:rPr>
            </w:pPr>
            <w:r w:rsidRPr="00B22142">
              <w:rPr>
                <w:rFonts w:ascii="Times New Roman" w:hAnsi="Times New Roman"/>
                <w:sz w:val="24"/>
                <w:szCs w:val="24"/>
              </w:rPr>
              <w:t>О состоянии рынка ипотечного жилищного кредитования в первом полугодии 2016 года // Вестник Банка России № 86 (1804) от 28 сентября 2016 – М. 2016. – с.21-25.</w:t>
            </w:r>
          </w:p>
        </w:tc>
      </w:tr>
      <w:tr w:rsidR="00B22142" w:rsidRPr="00B22142" w:rsidTr="00B2348C">
        <w:tc>
          <w:tcPr>
            <w:tcW w:w="567" w:type="dxa"/>
          </w:tcPr>
          <w:p w:rsidR="00B22142" w:rsidRPr="00B22142" w:rsidRDefault="00B22142" w:rsidP="00B22142">
            <w:pPr>
              <w:widowControl w:val="0"/>
              <w:numPr>
                <w:ilvl w:val="0"/>
                <w:numId w:val="1"/>
              </w:numPr>
              <w:contextualSpacing/>
              <w:jc w:val="both"/>
              <w:rPr>
                <w:rFonts w:ascii="Times New Roman" w:hAnsi="Times New Roman"/>
                <w:sz w:val="24"/>
                <w:szCs w:val="24"/>
              </w:rPr>
            </w:pPr>
          </w:p>
        </w:tc>
        <w:tc>
          <w:tcPr>
            <w:tcW w:w="9072" w:type="dxa"/>
            <w:gridSpan w:val="2"/>
          </w:tcPr>
          <w:p w:rsidR="00B22142" w:rsidRPr="00B22142" w:rsidRDefault="00B22142" w:rsidP="00B22142">
            <w:pPr>
              <w:widowControl w:val="0"/>
              <w:tabs>
                <w:tab w:val="left" w:pos="1134"/>
              </w:tabs>
              <w:jc w:val="both"/>
              <w:rPr>
                <w:rFonts w:ascii="Times New Roman" w:hAnsi="Times New Roman"/>
                <w:sz w:val="24"/>
                <w:szCs w:val="24"/>
              </w:rPr>
            </w:pPr>
            <w:r w:rsidRPr="00B22142">
              <w:rPr>
                <w:rFonts w:ascii="Times New Roman" w:hAnsi="Times New Roman"/>
                <w:iCs/>
                <w:sz w:val="24"/>
                <w:szCs w:val="24"/>
              </w:rPr>
              <w:t xml:space="preserve">Омаров М.М., Журавская У.С. </w:t>
            </w:r>
            <w:hyperlink r:id="rId13" w:history="1">
              <w:r w:rsidRPr="00B22142">
                <w:rPr>
                  <w:rFonts w:ascii="Times New Roman" w:hAnsi="Times New Roman"/>
                  <w:bCs/>
                  <w:sz w:val="24"/>
                  <w:szCs w:val="24"/>
                  <w:u w:val="single"/>
                </w:rPr>
                <w:t xml:space="preserve">Оценка состояния и перспективы развития </w:t>
              </w:r>
              <w:r w:rsidRPr="00B22142">
                <w:rPr>
                  <w:rFonts w:ascii="Times New Roman" w:hAnsi="Times New Roman"/>
                  <w:bCs/>
                  <w:sz w:val="24"/>
                  <w:szCs w:val="24"/>
                  <w:u w:val="single"/>
                </w:rPr>
                <w:lastRenderedPageBreak/>
                <w:t>предпринимательства в Новгородской области</w:t>
              </w:r>
            </w:hyperlink>
            <w:r w:rsidRPr="00B22142">
              <w:rPr>
                <w:rFonts w:ascii="Times New Roman" w:hAnsi="Times New Roman"/>
                <w:sz w:val="24"/>
                <w:szCs w:val="24"/>
              </w:rPr>
              <w:t xml:space="preserve"> // </w:t>
            </w:r>
            <w:hyperlink r:id="rId14" w:history="1">
              <w:r w:rsidRPr="00B22142">
                <w:rPr>
                  <w:rFonts w:ascii="Times New Roman" w:hAnsi="Times New Roman"/>
                  <w:sz w:val="24"/>
                  <w:szCs w:val="24"/>
                  <w:u w:val="single"/>
                </w:rPr>
                <w:t>Известия Международной академии аграрного образования</w:t>
              </w:r>
            </w:hyperlink>
            <w:r w:rsidRPr="00B22142">
              <w:rPr>
                <w:rFonts w:ascii="Times New Roman" w:hAnsi="Times New Roman"/>
                <w:sz w:val="24"/>
                <w:szCs w:val="24"/>
              </w:rPr>
              <w:t xml:space="preserve">. - 2015. - </w:t>
            </w:r>
            <w:hyperlink r:id="rId15" w:history="1">
              <w:r w:rsidRPr="00B22142">
                <w:rPr>
                  <w:rFonts w:ascii="Times New Roman" w:hAnsi="Times New Roman"/>
                  <w:sz w:val="24"/>
                  <w:szCs w:val="24"/>
                  <w:u w:val="single"/>
                </w:rPr>
                <w:t>№ 21</w:t>
              </w:r>
            </w:hyperlink>
            <w:r w:rsidRPr="00B22142">
              <w:rPr>
                <w:rFonts w:ascii="Times New Roman" w:hAnsi="Times New Roman"/>
                <w:sz w:val="24"/>
                <w:szCs w:val="24"/>
              </w:rPr>
              <w:t>. - С. 185-189.</w:t>
            </w:r>
          </w:p>
        </w:tc>
      </w:tr>
      <w:tr w:rsidR="00B22142" w:rsidRPr="00B22142" w:rsidTr="00B2348C">
        <w:tc>
          <w:tcPr>
            <w:tcW w:w="567" w:type="dxa"/>
          </w:tcPr>
          <w:p w:rsidR="00B22142" w:rsidRPr="00B22142" w:rsidRDefault="00B22142" w:rsidP="00B22142">
            <w:pPr>
              <w:widowControl w:val="0"/>
              <w:numPr>
                <w:ilvl w:val="0"/>
                <w:numId w:val="1"/>
              </w:numPr>
              <w:contextualSpacing/>
              <w:jc w:val="both"/>
              <w:rPr>
                <w:rFonts w:ascii="Times New Roman" w:hAnsi="Times New Roman"/>
                <w:sz w:val="24"/>
                <w:szCs w:val="24"/>
              </w:rPr>
            </w:pPr>
          </w:p>
        </w:tc>
        <w:tc>
          <w:tcPr>
            <w:tcW w:w="9072" w:type="dxa"/>
            <w:gridSpan w:val="2"/>
          </w:tcPr>
          <w:p w:rsidR="00B22142" w:rsidRPr="00B22142" w:rsidRDefault="00B22142" w:rsidP="00B22142">
            <w:pPr>
              <w:widowControl w:val="0"/>
              <w:tabs>
                <w:tab w:val="left" w:pos="1134"/>
              </w:tabs>
              <w:jc w:val="both"/>
              <w:rPr>
                <w:rFonts w:ascii="Times New Roman" w:hAnsi="Times New Roman"/>
                <w:sz w:val="24"/>
                <w:szCs w:val="24"/>
              </w:rPr>
            </w:pPr>
            <w:r w:rsidRPr="00B22142">
              <w:rPr>
                <w:rFonts w:ascii="Times New Roman" w:hAnsi="Times New Roman"/>
                <w:iCs/>
                <w:sz w:val="24"/>
                <w:szCs w:val="24"/>
              </w:rPr>
              <w:t xml:space="preserve">Омарова Н.Ю., Сугаипов М.Ю. </w:t>
            </w:r>
            <w:hyperlink r:id="rId16" w:history="1">
              <w:r w:rsidRPr="00B22142">
                <w:rPr>
                  <w:rFonts w:ascii="Times New Roman" w:hAnsi="Times New Roman"/>
                  <w:bCs/>
                  <w:sz w:val="24"/>
                  <w:szCs w:val="24"/>
                  <w:u w:val="single"/>
                </w:rPr>
                <w:t>Всем выйти из... тени! Основные этапы и структура адаптивного управления потребительским рынком</w:t>
              </w:r>
            </w:hyperlink>
            <w:r w:rsidRPr="00B22142">
              <w:rPr>
                <w:rFonts w:ascii="Times New Roman" w:hAnsi="Times New Roman"/>
                <w:sz w:val="24"/>
                <w:szCs w:val="24"/>
              </w:rPr>
              <w:t xml:space="preserve"> // </w:t>
            </w:r>
            <w:hyperlink r:id="rId17" w:history="1">
              <w:r w:rsidRPr="00B22142">
                <w:rPr>
                  <w:rFonts w:ascii="Times New Roman" w:hAnsi="Times New Roman"/>
                  <w:sz w:val="24"/>
                  <w:szCs w:val="24"/>
                  <w:u w:val="single"/>
                </w:rPr>
                <w:t>Российское предпринимательство</w:t>
              </w:r>
            </w:hyperlink>
            <w:r w:rsidRPr="00B22142">
              <w:rPr>
                <w:rFonts w:ascii="Times New Roman" w:hAnsi="Times New Roman"/>
                <w:sz w:val="24"/>
                <w:szCs w:val="24"/>
              </w:rPr>
              <w:t xml:space="preserve">. - 2007. - </w:t>
            </w:r>
            <w:hyperlink r:id="rId18" w:history="1">
              <w:r w:rsidRPr="00B22142">
                <w:rPr>
                  <w:rFonts w:ascii="Times New Roman" w:hAnsi="Times New Roman"/>
                  <w:sz w:val="24"/>
                  <w:szCs w:val="24"/>
                  <w:u w:val="single"/>
                </w:rPr>
                <w:t>№ 5-1</w:t>
              </w:r>
            </w:hyperlink>
            <w:r w:rsidRPr="00B22142">
              <w:rPr>
                <w:rFonts w:ascii="Times New Roman" w:hAnsi="Times New Roman"/>
                <w:sz w:val="24"/>
                <w:szCs w:val="24"/>
              </w:rPr>
              <w:t>. - С. 83-87.</w:t>
            </w:r>
          </w:p>
        </w:tc>
      </w:tr>
      <w:tr w:rsidR="00B22142" w:rsidRPr="00B22142" w:rsidTr="00B2348C">
        <w:tc>
          <w:tcPr>
            <w:tcW w:w="567" w:type="dxa"/>
          </w:tcPr>
          <w:p w:rsidR="00B22142" w:rsidRPr="00B22142" w:rsidRDefault="00B22142" w:rsidP="00B22142">
            <w:pPr>
              <w:widowControl w:val="0"/>
              <w:numPr>
                <w:ilvl w:val="0"/>
                <w:numId w:val="1"/>
              </w:numPr>
              <w:contextualSpacing/>
              <w:jc w:val="both"/>
              <w:rPr>
                <w:rFonts w:ascii="Times New Roman" w:hAnsi="Times New Roman"/>
                <w:sz w:val="24"/>
                <w:szCs w:val="24"/>
              </w:rPr>
            </w:pPr>
          </w:p>
        </w:tc>
        <w:tc>
          <w:tcPr>
            <w:tcW w:w="9072" w:type="dxa"/>
            <w:gridSpan w:val="2"/>
          </w:tcPr>
          <w:p w:rsidR="00B22142" w:rsidRPr="00B22142" w:rsidRDefault="00B22142" w:rsidP="00B22142">
            <w:pPr>
              <w:widowControl w:val="0"/>
              <w:tabs>
                <w:tab w:val="left" w:pos="1134"/>
              </w:tabs>
              <w:jc w:val="both"/>
              <w:rPr>
                <w:rFonts w:ascii="Times New Roman" w:hAnsi="Times New Roman"/>
                <w:sz w:val="24"/>
                <w:szCs w:val="24"/>
              </w:rPr>
            </w:pPr>
            <w:r w:rsidRPr="00B22142">
              <w:rPr>
                <w:rFonts w:ascii="Times New Roman" w:hAnsi="Times New Roman"/>
                <w:iCs/>
                <w:sz w:val="24"/>
                <w:szCs w:val="24"/>
              </w:rPr>
              <w:t xml:space="preserve">Омарова Н.Ю., Нетужилов В.С. </w:t>
            </w:r>
            <w:hyperlink r:id="rId19" w:history="1">
              <w:r w:rsidRPr="00B22142">
                <w:rPr>
                  <w:rFonts w:ascii="Times New Roman" w:hAnsi="Times New Roman"/>
                  <w:bCs/>
                  <w:sz w:val="24"/>
                  <w:szCs w:val="24"/>
                  <w:u w:val="single"/>
                </w:rPr>
                <w:t>Перспективные направления развития предпринимательства в сфере жилищно-коммунального хозяйства Новгородской области</w:t>
              </w:r>
            </w:hyperlink>
            <w:r w:rsidRPr="00B22142">
              <w:rPr>
                <w:rFonts w:ascii="Times New Roman" w:hAnsi="Times New Roman"/>
                <w:sz w:val="24"/>
                <w:szCs w:val="24"/>
              </w:rPr>
              <w:t xml:space="preserve"> // </w:t>
            </w:r>
            <w:hyperlink r:id="rId20" w:history="1">
              <w:r w:rsidRPr="00B22142">
                <w:rPr>
                  <w:rFonts w:ascii="Times New Roman" w:hAnsi="Times New Roman"/>
                  <w:sz w:val="24"/>
                  <w:szCs w:val="24"/>
                  <w:u w:val="single"/>
                </w:rPr>
                <w:t>Экономическое возрождение России</w:t>
              </w:r>
            </w:hyperlink>
            <w:r w:rsidRPr="00B22142">
              <w:rPr>
                <w:rFonts w:ascii="Times New Roman" w:hAnsi="Times New Roman"/>
                <w:sz w:val="24"/>
                <w:szCs w:val="24"/>
              </w:rPr>
              <w:t xml:space="preserve">. - 2011. - </w:t>
            </w:r>
            <w:hyperlink r:id="rId21" w:history="1">
              <w:r w:rsidRPr="00B22142">
                <w:rPr>
                  <w:rFonts w:ascii="Times New Roman" w:hAnsi="Times New Roman"/>
                  <w:sz w:val="24"/>
                  <w:szCs w:val="24"/>
                  <w:u w:val="single"/>
                </w:rPr>
                <w:t>№ 4</w:t>
              </w:r>
            </w:hyperlink>
            <w:r w:rsidRPr="00B22142">
              <w:rPr>
                <w:rFonts w:ascii="Times New Roman" w:hAnsi="Times New Roman"/>
                <w:sz w:val="24"/>
                <w:szCs w:val="24"/>
              </w:rPr>
              <w:t>. - С. 119-124.</w:t>
            </w:r>
          </w:p>
        </w:tc>
      </w:tr>
      <w:tr w:rsidR="00B22142" w:rsidRPr="00B22142" w:rsidTr="00B2348C">
        <w:tc>
          <w:tcPr>
            <w:tcW w:w="567" w:type="dxa"/>
          </w:tcPr>
          <w:p w:rsidR="00B22142" w:rsidRPr="00B22142" w:rsidRDefault="00B22142" w:rsidP="00B22142">
            <w:pPr>
              <w:widowControl w:val="0"/>
              <w:numPr>
                <w:ilvl w:val="0"/>
                <w:numId w:val="1"/>
              </w:numPr>
              <w:contextualSpacing/>
              <w:jc w:val="both"/>
              <w:rPr>
                <w:rFonts w:ascii="Times New Roman" w:hAnsi="Times New Roman"/>
                <w:sz w:val="24"/>
                <w:szCs w:val="24"/>
              </w:rPr>
            </w:pPr>
          </w:p>
        </w:tc>
        <w:tc>
          <w:tcPr>
            <w:tcW w:w="9072" w:type="dxa"/>
            <w:gridSpan w:val="2"/>
          </w:tcPr>
          <w:p w:rsidR="00B22142" w:rsidRPr="00B22142" w:rsidRDefault="00B22142" w:rsidP="00B22142">
            <w:pPr>
              <w:widowControl w:val="0"/>
              <w:tabs>
                <w:tab w:val="left" w:pos="1134"/>
              </w:tabs>
              <w:jc w:val="both"/>
              <w:rPr>
                <w:rFonts w:ascii="Times New Roman" w:hAnsi="Times New Roman"/>
                <w:sz w:val="24"/>
                <w:szCs w:val="24"/>
              </w:rPr>
            </w:pPr>
            <w:r w:rsidRPr="00B22142">
              <w:rPr>
                <w:rFonts w:ascii="Times New Roman" w:hAnsi="Times New Roman"/>
                <w:sz w:val="24"/>
                <w:szCs w:val="24"/>
              </w:rPr>
              <w:t>Центральный банк Российской Федерации. [Электронный ресурс]– Режим доступа: http://www.cbr.ru/statistics/?PrtId=pdko (дата обращения: 03.10.2016).</w:t>
            </w:r>
          </w:p>
        </w:tc>
      </w:tr>
    </w:tbl>
    <w:p w:rsidR="000F42E3" w:rsidRDefault="000F42E3">
      <w:bookmarkStart w:id="6" w:name="_GoBack"/>
      <w:bookmarkEnd w:id="6"/>
    </w:p>
    <w:sectPr w:rsidR="000F42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0F1924"/>
    <w:multiLevelType w:val="hybridMultilevel"/>
    <w:tmpl w:val="7830239E"/>
    <w:lvl w:ilvl="0" w:tplc="B1409936">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142"/>
    <w:rsid w:val="000F42E3"/>
    <w:rsid w:val="00B22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8987EB-C12B-4385-AA96-EE562F0B0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214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hyperlink" Target="http://elibrary.ru/item.asp?id=23171321" TargetMode="External"/><Relationship Id="rId18" Type="http://schemas.openxmlformats.org/officeDocument/2006/relationships/hyperlink" Target="http://elibrary.ru/contents.asp?issueid=434104&amp;selid=9475789" TargetMode="External"/><Relationship Id="rId3" Type="http://schemas.openxmlformats.org/officeDocument/2006/relationships/settings" Target="settings.xml"/><Relationship Id="rId21" Type="http://schemas.openxmlformats.org/officeDocument/2006/relationships/hyperlink" Target="http://elibrary.ru/contents.asp?issueid=978589&amp;selid=17088478" TargetMode="External"/><Relationship Id="rId7" Type="http://schemas.openxmlformats.org/officeDocument/2006/relationships/chart" Target="charts/chart3.xml"/><Relationship Id="rId12" Type="http://schemas.openxmlformats.org/officeDocument/2006/relationships/hyperlink" Target="http://www.nbki.ru/press/pressrelease/" TargetMode="External"/><Relationship Id="rId17" Type="http://schemas.openxmlformats.org/officeDocument/2006/relationships/hyperlink" Target="http://elibrary.ru/contents.asp?issueid=434104" TargetMode="External"/><Relationship Id="rId2" Type="http://schemas.openxmlformats.org/officeDocument/2006/relationships/styles" Target="styles.xml"/><Relationship Id="rId16" Type="http://schemas.openxmlformats.org/officeDocument/2006/relationships/hyperlink" Target="http://elibrary.ru/item.asp?id=9475789" TargetMode="External"/><Relationship Id="rId20" Type="http://schemas.openxmlformats.org/officeDocument/2006/relationships/hyperlink" Target="http://elibrary.ru/contents.asp?issueid=978589" TargetMode="Externa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hyperlink" Target="http://elibrary.ru/contents.asp?issueid=1374851" TargetMode="External"/><Relationship Id="rId5" Type="http://schemas.openxmlformats.org/officeDocument/2006/relationships/chart" Target="charts/chart1.xml"/><Relationship Id="rId15" Type="http://schemas.openxmlformats.org/officeDocument/2006/relationships/hyperlink" Target="http://elibrary.ru/contents.asp?issueid=1378947&amp;selid=23171321" TargetMode="External"/><Relationship Id="rId23" Type="http://schemas.openxmlformats.org/officeDocument/2006/relationships/theme" Target="theme/theme1.xml"/><Relationship Id="rId10" Type="http://schemas.openxmlformats.org/officeDocument/2006/relationships/hyperlink" Target="http://elibrary.ru/item.asp?id=23082675" TargetMode="External"/><Relationship Id="rId19" Type="http://schemas.openxmlformats.org/officeDocument/2006/relationships/hyperlink" Target="http://elibrary.ru/item.asp?id=17088478" TargetMode="Externa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hyperlink" Target="http://elibrary.ru/contents.asp?issueid=1378947"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1044;&#1080;&#1072;&#1075;&#1088;&#1072;&#1084;&#1084;&#1072;%20&#1074;%20Microsoft%20Word"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Количество кредитных организаций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2013г.</c:v>
                </c:pt>
                <c:pt idx="1">
                  <c:v>2014г.</c:v>
                </c:pt>
                <c:pt idx="2">
                  <c:v>2015г.</c:v>
                </c:pt>
                <c:pt idx="3">
                  <c:v>2016г.</c:v>
                </c:pt>
              </c:strCache>
            </c:strRef>
          </c:cat>
          <c:val>
            <c:numRef>
              <c:f>Лист1!$B$2:$B$5</c:f>
              <c:numCache>
                <c:formatCode>General</c:formatCode>
                <c:ptCount val="4"/>
                <c:pt idx="0">
                  <c:v>667</c:v>
                </c:pt>
                <c:pt idx="1">
                  <c:v>658</c:v>
                </c:pt>
                <c:pt idx="2">
                  <c:v>559</c:v>
                </c:pt>
                <c:pt idx="3">
                  <c:v>499</c:v>
                </c:pt>
              </c:numCache>
            </c:numRef>
          </c:val>
          <c:extLst>
            <c:ext xmlns:c16="http://schemas.microsoft.com/office/drawing/2014/chart" uri="{C3380CC4-5D6E-409C-BE32-E72D297353CC}">
              <c16:uniqueId val="{00000000-952B-44F9-8F17-9B738439C2CC}"/>
            </c:ext>
          </c:extLst>
        </c:ser>
        <c:dLbls>
          <c:showLegendKey val="0"/>
          <c:showVal val="1"/>
          <c:showCatName val="0"/>
          <c:showSerName val="0"/>
          <c:showPercent val="0"/>
          <c:showBubbleSize val="0"/>
        </c:dLbls>
        <c:gapWidth val="95"/>
        <c:axId val="170980864"/>
        <c:axId val="170982400"/>
      </c:barChart>
      <c:catAx>
        <c:axId val="170980864"/>
        <c:scaling>
          <c:orientation val="minMax"/>
        </c:scaling>
        <c:delete val="0"/>
        <c:axPos val="b"/>
        <c:numFmt formatCode="General" sourceLinked="1"/>
        <c:majorTickMark val="none"/>
        <c:minorTickMark val="none"/>
        <c:tickLblPos val="nextTo"/>
        <c:txPr>
          <a:bodyPr rot="-60000000" vert="horz"/>
          <a:lstStyle/>
          <a:p>
            <a:pPr>
              <a:defRPr/>
            </a:pPr>
            <a:endParaRPr lang="ru-RU"/>
          </a:p>
        </c:txPr>
        <c:crossAx val="170982400"/>
        <c:crosses val="autoZero"/>
        <c:auto val="1"/>
        <c:lblAlgn val="ctr"/>
        <c:lblOffset val="100"/>
        <c:noMultiLvlLbl val="0"/>
      </c:catAx>
      <c:valAx>
        <c:axId val="170982400"/>
        <c:scaling>
          <c:orientation val="minMax"/>
        </c:scaling>
        <c:delete val="1"/>
        <c:axPos val="l"/>
        <c:numFmt formatCode="General" sourceLinked="1"/>
        <c:majorTickMark val="out"/>
        <c:minorTickMark val="none"/>
        <c:tickLblPos val="nextTo"/>
        <c:crossAx val="170980864"/>
        <c:crosses val="autoZero"/>
        <c:crossBetween val="between"/>
      </c:valAx>
    </c:plotArea>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Число ИЖК, тыс .</c:v>
                </c:pt>
              </c:strCache>
            </c:strRef>
          </c:tx>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2013г.</c:v>
                </c:pt>
                <c:pt idx="1">
                  <c:v>2014г.</c:v>
                </c:pt>
                <c:pt idx="2">
                  <c:v>2015г.</c:v>
                </c:pt>
                <c:pt idx="3">
                  <c:v>2016г.</c:v>
                </c:pt>
              </c:strCache>
            </c:strRef>
          </c:cat>
          <c:val>
            <c:numRef>
              <c:f>Лист1!$B$2:$B$5</c:f>
              <c:numCache>
                <c:formatCode>General</c:formatCode>
                <c:ptCount val="4"/>
                <c:pt idx="0">
                  <c:v>825</c:v>
                </c:pt>
                <c:pt idx="1">
                  <c:v>449</c:v>
                </c:pt>
                <c:pt idx="2">
                  <c:v>699</c:v>
                </c:pt>
                <c:pt idx="3">
                  <c:v>390</c:v>
                </c:pt>
              </c:numCache>
            </c:numRef>
          </c:val>
          <c:extLst>
            <c:ext xmlns:c16="http://schemas.microsoft.com/office/drawing/2014/chart" uri="{C3380CC4-5D6E-409C-BE32-E72D297353CC}">
              <c16:uniqueId val="{00000000-82C4-43BB-898B-E28F61685ACE}"/>
            </c:ext>
          </c:extLst>
        </c:ser>
        <c:ser>
          <c:idx val="1"/>
          <c:order val="1"/>
          <c:tx>
            <c:strRef>
              <c:f>Лист1!$C$1</c:f>
              <c:strCache>
                <c:ptCount val="1"/>
                <c:pt idx="0">
                  <c:v>Общая сумма, млрд. руб.</c:v>
                </c:pt>
              </c:strCache>
            </c:strRef>
          </c:tx>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2013г.</c:v>
                </c:pt>
                <c:pt idx="1">
                  <c:v>2014г.</c:v>
                </c:pt>
                <c:pt idx="2">
                  <c:v>2015г.</c:v>
                </c:pt>
                <c:pt idx="3">
                  <c:v>2016г.</c:v>
                </c:pt>
              </c:strCache>
            </c:strRef>
          </c:cat>
          <c:val>
            <c:numRef>
              <c:f>Лист1!$C$2:$C$5</c:f>
              <c:numCache>
                <c:formatCode>General</c:formatCode>
                <c:ptCount val="4"/>
                <c:pt idx="0">
                  <c:v>1354</c:v>
                </c:pt>
                <c:pt idx="1">
                  <c:v>769</c:v>
                </c:pt>
                <c:pt idx="2">
                  <c:v>1162</c:v>
                </c:pt>
                <c:pt idx="3">
                  <c:v>665</c:v>
                </c:pt>
              </c:numCache>
            </c:numRef>
          </c:val>
          <c:extLst>
            <c:ext xmlns:c16="http://schemas.microsoft.com/office/drawing/2014/chart" uri="{C3380CC4-5D6E-409C-BE32-E72D297353CC}">
              <c16:uniqueId val="{00000001-82C4-43BB-898B-E28F61685ACE}"/>
            </c:ext>
          </c:extLst>
        </c:ser>
        <c:dLbls>
          <c:showLegendKey val="0"/>
          <c:showVal val="0"/>
          <c:showCatName val="0"/>
          <c:showSerName val="0"/>
          <c:showPercent val="0"/>
          <c:showBubbleSize val="0"/>
        </c:dLbls>
        <c:gapWidth val="219"/>
        <c:axId val="171138432"/>
        <c:axId val="171148416"/>
      </c:barChart>
      <c:catAx>
        <c:axId val="171138432"/>
        <c:scaling>
          <c:orientation val="minMax"/>
        </c:scaling>
        <c:delete val="0"/>
        <c:axPos val="b"/>
        <c:numFmt formatCode="General" sourceLinked="1"/>
        <c:majorTickMark val="none"/>
        <c:minorTickMark val="none"/>
        <c:tickLblPos val="nextTo"/>
        <c:txPr>
          <a:bodyPr rot="-60000000" vert="horz"/>
          <a:lstStyle/>
          <a:p>
            <a:pPr>
              <a:defRPr/>
            </a:pPr>
            <a:endParaRPr lang="ru-RU"/>
          </a:p>
        </c:txPr>
        <c:crossAx val="171148416"/>
        <c:crosses val="autoZero"/>
        <c:auto val="1"/>
        <c:lblAlgn val="ctr"/>
        <c:lblOffset val="100"/>
        <c:noMultiLvlLbl val="0"/>
      </c:catAx>
      <c:valAx>
        <c:axId val="171148416"/>
        <c:scaling>
          <c:orientation val="minMax"/>
        </c:scaling>
        <c:delete val="0"/>
        <c:axPos val="l"/>
        <c:majorGridlines/>
        <c:numFmt formatCode="General" sourceLinked="1"/>
        <c:majorTickMark val="none"/>
        <c:minorTickMark val="none"/>
        <c:tickLblPos val="nextTo"/>
        <c:txPr>
          <a:bodyPr rot="-60000000" vert="horz"/>
          <a:lstStyle/>
          <a:p>
            <a:pPr>
              <a:defRPr/>
            </a:pPr>
            <a:endParaRPr lang="ru-RU"/>
          </a:p>
        </c:txPr>
        <c:crossAx val="171138432"/>
        <c:crosses val="autoZero"/>
        <c:crossBetween val="between"/>
      </c:valAx>
    </c:plotArea>
    <c:legend>
      <c:legendPos val="b"/>
      <c:overlay val="0"/>
      <c:txPr>
        <a:bodyPr rot="0" vert="horz"/>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Задолженность по ИЖК в иностранной валюте</c:v>
                </c:pt>
              </c:strCache>
            </c:strRef>
          </c:tx>
          <c:invertIfNegative val="0"/>
          <c:dLbls>
            <c:dLbl>
              <c:idx val="0"/>
              <c:layout>
                <c:manualLayout>
                  <c:x val="0"/>
                  <c:y val="3.1746031746031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D5-43F9-8467-715C3BAA9ECE}"/>
                </c:ext>
              </c:extLst>
            </c:dLbl>
            <c:dLbl>
              <c:idx val="1"/>
              <c:layout>
                <c:manualLayout>
                  <c:x val="0"/>
                  <c:y val="3.1746031746031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D5-43F9-8467-715C3BAA9ECE}"/>
                </c:ext>
              </c:extLst>
            </c:dLbl>
            <c:dLbl>
              <c:idx val="2"/>
              <c:layout>
                <c:manualLayout>
                  <c:x val="0"/>
                  <c:y val="2.77777777777779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D5-43F9-8467-715C3BAA9ECE}"/>
                </c:ext>
              </c:extLst>
            </c:dLbl>
            <c:dLbl>
              <c:idx val="3"/>
              <c:layout>
                <c:manualLayout>
                  <c:x val="0"/>
                  <c:y val="2.38095238095238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8D5-43F9-8467-715C3BAA9ECE}"/>
                </c:ext>
              </c:extLst>
            </c:dLbl>
            <c:spPr>
              <a:noFill/>
              <a:ln>
                <a:noFill/>
              </a:ln>
              <a:effectLst/>
            </c:spPr>
            <c:txPr>
              <a:bodyPr rot="0" vert="horz"/>
              <a:lstStyle/>
              <a:p>
                <a:pP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2013г.</c:v>
                </c:pt>
                <c:pt idx="1">
                  <c:v>2014г.</c:v>
                </c:pt>
                <c:pt idx="2">
                  <c:v>2015г.</c:v>
                </c:pt>
                <c:pt idx="3">
                  <c:v>2016г.</c:v>
                </c:pt>
              </c:strCache>
            </c:strRef>
          </c:cat>
          <c:val>
            <c:numRef>
              <c:f>Лист1!$B$2:$B$5</c:f>
              <c:numCache>
                <c:formatCode>General</c:formatCode>
                <c:ptCount val="4"/>
                <c:pt idx="0">
                  <c:v>121.9</c:v>
                </c:pt>
                <c:pt idx="1">
                  <c:v>100.2</c:v>
                </c:pt>
                <c:pt idx="2">
                  <c:v>131.1</c:v>
                </c:pt>
                <c:pt idx="3">
                  <c:v>94.1</c:v>
                </c:pt>
              </c:numCache>
            </c:numRef>
          </c:val>
          <c:extLst>
            <c:ext xmlns:c16="http://schemas.microsoft.com/office/drawing/2014/chart" uri="{C3380CC4-5D6E-409C-BE32-E72D297353CC}">
              <c16:uniqueId val="{00000004-68D5-43F9-8467-715C3BAA9ECE}"/>
            </c:ext>
          </c:extLst>
        </c:ser>
        <c:ser>
          <c:idx val="1"/>
          <c:order val="1"/>
          <c:tx>
            <c:strRef>
              <c:f>Лист1!$C$1</c:f>
              <c:strCache>
                <c:ptCount val="1"/>
                <c:pt idx="0">
                  <c:v>Задолженность по ИЖК в рублях</c:v>
                </c:pt>
              </c:strCache>
            </c:strRef>
          </c:tx>
          <c:invertIfNegative val="0"/>
          <c:dLbls>
            <c:dLbl>
              <c:idx val="0"/>
              <c:layout>
                <c:manualLayout>
                  <c:x val="-7.8975765372236911E-5"/>
                  <c:y val="-2.64747130489287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8D5-43F9-8467-715C3BAA9ECE}"/>
                </c:ext>
              </c:extLst>
            </c:dLbl>
            <c:dLbl>
              <c:idx val="1"/>
              <c:layout>
                <c:manualLayout>
                  <c:x val="-5.1034554253429334E-3"/>
                  <c:y val="1.08747600579778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8D5-43F9-8467-715C3BAA9ECE}"/>
                </c:ext>
              </c:extLst>
            </c:dLbl>
            <c:dLbl>
              <c:idx val="2"/>
              <c:layout>
                <c:manualLayout>
                  <c:x val="-2.3692729611679946E-4"/>
                  <c:y val="-9.570258941512916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8D5-43F9-8467-715C3BAA9ECE}"/>
                </c:ext>
              </c:extLst>
            </c:dLbl>
            <c:dLbl>
              <c:idx val="3"/>
              <c:layout>
                <c:manualLayout>
                  <c:x val="1.3888802499328567E-2"/>
                  <c:y val="2.7419203196615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8D5-43F9-8467-715C3BAA9ECE}"/>
                </c:ext>
              </c:extLst>
            </c:dLbl>
            <c:spPr>
              <a:noFill/>
              <a:ln>
                <a:noFill/>
              </a:ln>
              <a:effectLst/>
            </c:spPr>
            <c:txPr>
              <a:bodyPr rot="0" vert="horz"/>
              <a:lstStyle/>
              <a:p>
                <a:pP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2013г.</c:v>
                </c:pt>
                <c:pt idx="1">
                  <c:v>2014г.</c:v>
                </c:pt>
                <c:pt idx="2">
                  <c:v>2015г.</c:v>
                </c:pt>
                <c:pt idx="3">
                  <c:v>2016г.</c:v>
                </c:pt>
              </c:strCache>
            </c:strRef>
          </c:cat>
          <c:val>
            <c:numRef>
              <c:f>Лист1!$C$2:$C$5</c:f>
              <c:numCache>
                <c:formatCode>General</c:formatCode>
                <c:ptCount val="4"/>
                <c:pt idx="0">
                  <c:v>1641.4</c:v>
                </c:pt>
                <c:pt idx="1">
                  <c:v>2936.2</c:v>
                </c:pt>
                <c:pt idx="2">
                  <c:v>3851.2</c:v>
                </c:pt>
                <c:pt idx="3">
                  <c:v>4087.5</c:v>
                </c:pt>
              </c:numCache>
            </c:numRef>
          </c:val>
          <c:extLst>
            <c:ext xmlns:c16="http://schemas.microsoft.com/office/drawing/2014/chart" uri="{C3380CC4-5D6E-409C-BE32-E72D297353CC}">
              <c16:uniqueId val="{00000009-68D5-43F9-8467-715C3BAA9ECE}"/>
            </c:ext>
          </c:extLst>
        </c:ser>
        <c:dLbls>
          <c:showLegendKey val="0"/>
          <c:showVal val="0"/>
          <c:showCatName val="0"/>
          <c:showSerName val="0"/>
          <c:showPercent val="0"/>
          <c:showBubbleSize val="0"/>
        </c:dLbls>
        <c:gapWidth val="219"/>
        <c:axId val="170989440"/>
        <c:axId val="170990976"/>
      </c:barChart>
      <c:catAx>
        <c:axId val="170989440"/>
        <c:scaling>
          <c:orientation val="minMax"/>
        </c:scaling>
        <c:delete val="0"/>
        <c:axPos val="b"/>
        <c:numFmt formatCode="General" sourceLinked="1"/>
        <c:majorTickMark val="none"/>
        <c:minorTickMark val="none"/>
        <c:tickLblPos val="nextTo"/>
        <c:txPr>
          <a:bodyPr rot="-60000000" vert="horz"/>
          <a:lstStyle/>
          <a:p>
            <a:pPr>
              <a:defRPr/>
            </a:pPr>
            <a:endParaRPr lang="ru-RU"/>
          </a:p>
        </c:txPr>
        <c:crossAx val="170990976"/>
        <c:crosses val="autoZero"/>
        <c:auto val="1"/>
        <c:lblAlgn val="ctr"/>
        <c:lblOffset val="100"/>
        <c:noMultiLvlLbl val="0"/>
      </c:catAx>
      <c:valAx>
        <c:axId val="170990976"/>
        <c:scaling>
          <c:orientation val="minMax"/>
        </c:scaling>
        <c:delete val="0"/>
        <c:axPos val="l"/>
        <c:majorGridlines/>
        <c:numFmt formatCode="General" sourceLinked="1"/>
        <c:majorTickMark val="none"/>
        <c:minorTickMark val="none"/>
        <c:tickLblPos val="nextTo"/>
        <c:txPr>
          <a:bodyPr rot="-60000000" vert="horz"/>
          <a:lstStyle/>
          <a:p>
            <a:pPr>
              <a:defRPr/>
            </a:pPr>
            <a:endParaRPr lang="ru-RU"/>
          </a:p>
        </c:txPr>
        <c:crossAx val="170989440"/>
        <c:crosses val="autoZero"/>
        <c:crossBetween val="between"/>
      </c:valAx>
    </c:plotArea>
    <c:legend>
      <c:legendPos val="b"/>
      <c:overlay val="0"/>
      <c:txPr>
        <a:bodyPr rot="0" vert="horz"/>
        <a:lstStyle/>
        <a:p>
          <a:pPr>
            <a:defRPr/>
          </a:pPr>
          <a:endParaRPr lang="ru-RU"/>
        </a:p>
      </c:txPr>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216955723671802"/>
          <c:y val="3.1903792198388993E-2"/>
          <c:w val="0.78517060367454372"/>
          <c:h val="0.57709521223640614"/>
        </c:manualLayout>
      </c:layout>
      <c:barChart>
        <c:barDir val="col"/>
        <c:grouping val="clustered"/>
        <c:varyColors val="0"/>
        <c:ser>
          <c:idx val="0"/>
          <c:order val="0"/>
          <c:tx>
            <c:strRef>
              <c:f>'[Диаграмма в Microsoft Word]Лист1'!$B$1</c:f>
              <c:strCache>
                <c:ptCount val="1"/>
                <c:pt idx="0">
                  <c:v>Средневзвешенный срок кредитования по ИЖК в рублях</c:v>
                </c:pt>
              </c:strCache>
            </c:strRef>
          </c:tx>
          <c:invertIfNegative val="0"/>
          <c:cat>
            <c:strRef>
              <c:f>'[Диаграмма в Microsoft Word]Лист1'!$A$2:$A$5</c:f>
              <c:strCache>
                <c:ptCount val="4"/>
                <c:pt idx="0">
                  <c:v>2013г.</c:v>
                </c:pt>
                <c:pt idx="1">
                  <c:v>2014г.</c:v>
                </c:pt>
                <c:pt idx="2">
                  <c:v>2015г.</c:v>
                </c:pt>
                <c:pt idx="3">
                  <c:v>2016г.</c:v>
                </c:pt>
              </c:strCache>
            </c:strRef>
          </c:cat>
          <c:val>
            <c:numRef>
              <c:f>'[Диаграмма в Microsoft Word]Лист1'!$B$2:$B$5</c:f>
              <c:numCache>
                <c:formatCode>General</c:formatCode>
                <c:ptCount val="4"/>
                <c:pt idx="0">
                  <c:v>176</c:v>
                </c:pt>
                <c:pt idx="1">
                  <c:v>176</c:v>
                </c:pt>
                <c:pt idx="2">
                  <c:v>176</c:v>
                </c:pt>
                <c:pt idx="3">
                  <c:v>183</c:v>
                </c:pt>
              </c:numCache>
            </c:numRef>
          </c:val>
          <c:extLst>
            <c:ext xmlns:c16="http://schemas.microsoft.com/office/drawing/2014/chart" uri="{C3380CC4-5D6E-409C-BE32-E72D297353CC}">
              <c16:uniqueId val="{00000000-F261-4629-9073-0F8A0C8B1C09}"/>
            </c:ext>
          </c:extLst>
        </c:ser>
        <c:ser>
          <c:idx val="1"/>
          <c:order val="1"/>
          <c:tx>
            <c:strRef>
              <c:f>'[Диаграмма в Microsoft Word]Лист1'!$C$1</c:f>
              <c:strCache>
                <c:ptCount val="1"/>
                <c:pt idx="0">
                  <c:v>Средневзвешенный срок кредитования по ИЖК в иностранной валюте</c:v>
                </c:pt>
              </c:strCache>
            </c:strRef>
          </c:tx>
          <c:invertIfNegative val="0"/>
          <c:cat>
            <c:strRef>
              <c:f>'[Диаграмма в Microsoft Word]Лист1'!$A$2:$A$5</c:f>
              <c:strCache>
                <c:ptCount val="4"/>
                <c:pt idx="0">
                  <c:v>2013г.</c:v>
                </c:pt>
                <c:pt idx="1">
                  <c:v>2014г.</c:v>
                </c:pt>
                <c:pt idx="2">
                  <c:v>2015г.</c:v>
                </c:pt>
                <c:pt idx="3">
                  <c:v>2016г.</c:v>
                </c:pt>
              </c:strCache>
            </c:strRef>
          </c:cat>
          <c:val>
            <c:numRef>
              <c:f>'[Диаграмма в Microsoft Word]Лист1'!$C$2:$C$5</c:f>
              <c:numCache>
                <c:formatCode>General</c:formatCode>
                <c:ptCount val="4"/>
                <c:pt idx="0">
                  <c:v>152</c:v>
                </c:pt>
                <c:pt idx="1">
                  <c:v>146</c:v>
                </c:pt>
                <c:pt idx="2">
                  <c:v>47</c:v>
                </c:pt>
                <c:pt idx="3">
                  <c:v>41</c:v>
                </c:pt>
              </c:numCache>
            </c:numRef>
          </c:val>
          <c:extLst>
            <c:ext xmlns:c16="http://schemas.microsoft.com/office/drawing/2014/chart" uri="{C3380CC4-5D6E-409C-BE32-E72D297353CC}">
              <c16:uniqueId val="{00000001-F261-4629-9073-0F8A0C8B1C09}"/>
            </c:ext>
          </c:extLst>
        </c:ser>
        <c:dLbls>
          <c:showLegendKey val="0"/>
          <c:showVal val="0"/>
          <c:showCatName val="0"/>
          <c:showSerName val="0"/>
          <c:showPercent val="0"/>
          <c:showBubbleSize val="0"/>
        </c:dLbls>
        <c:gapWidth val="150"/>
        <c:axId val="171157760"/>
        <c:axId val="171249664"/>
      </c:barChart>
      <c:lineChart>
        <c:grouping val="standard"/>
        <c:varyColors val="0"/>
        <c:ser>
          <c:idx val="2"/>
          <c:order val="2"/>
          <c:tx>
            <c:strRef>
              <c:f>'[Диаграмма в Microsoft Word]Лист1'!$D$1</c:f>
              <c:strCache>
                <c:ptCount val="1"/>
                <c:pt idx="0">
                  <c:v>Средневзвешенная ставка по ИЖК в рублях</c:v>
                </c:pt>
              </c:strCache>
            </c:strRef>
          </c:tx>
          <c:cat>
            <c:strRef>
              <c:f>'[Диаграмма в Microsoft Word]Лист1'!$A$2:$A$5</c:f>
              <c:strCache>
                <c:ptCount val="4"/>
                <c:pt idx="0">
                  <c:v>2013г.</c:v>
                </c:pt>
                <c:pt idx="1">
                  <c:v>2014г.</c:v>
                </c:pt>
                <c:pt idx="2">
                  <c:v>2015г.</c:v>
                </c:pt>
                <c:pt idx="3">
                  <c:v>2016г.</c:v>
                </c:pt>
              </c:strCache>
            </c:strRef>
          </c:cat>
          <c:val>
            <c:numRef>
              <c:f>'[Диаграмма в Microsoft Word]Лист1'!$D$2:$D$5</c:f>
              <c:numCache>
                <c:formatCode>General</c:formatCode>
                <c:ptCount val="4"/>
                <c:pt idx="0">
                  <c:v>12.4</c:v>
                </c:pt>
                <c:pt idx="1">
                  <c:v>12.2</c:v>
                </c:pt>
                <c:pt idx="2">
                  <c:v>13.3</c:v>
                </c:pt>
                <c:pt idx="3">
                  <c:v>12.7</c:v>
                </c:pt>
              </c:numCache>
            </c:numRef>
          </c:val>
          <c:smooth val="0"/>
          <c:extLst>
            <c:ext xmlns:c16="http://schemas.microsoft.com/office/drawing/2014/chart" uri="{C3380CC4-5D6E-409C-BE32-E72D297353CC}">
              <c16:uniqueId val="{00000002-F261-4629-9073-0F8A0C8B1C09}"/>
            </c:ext>
          </c:extLst>
        </c:ser>
        <c:ser>
          <c:idx val="3"/>
          <c:order val="3"/>
          <c:tx>
            <c:strRef>
              <c:f>'[Диаграмма в Microsoft Word]Лист1'!$E$1</c:f>
              <c:strCache>
                <c:ptCount val="1"/>
                <c:pt idx="0">
                  <c:v>Средневзвешенная ставка по ИЖК в иностранной валюте</c:v>
                </c:pt>
              </c:strCache>
            </c:strRef>
          </c:tx>
          <c:cat>
            <c:strRef>
              <c:f>'[Диаграмма в Microsoft Word]Лист1'!$A$2:$A$5</c:f>
              <c:strCache>
                <c:ptCount val="4"/>
                <c:pt idx="0">
                  <c:v>2013г.</c:v>
                </c:pt>
                <c:pt idx="1">
                  <c:v>2014г.</c:v>
                </c:pt>
                <c:pt idx="2">
                  <c:v>2015г.</c:v>
                </c:pt>
                <c:pt idx="3">
                  <c:v>2016г.</c:v>
                </c:pt>
              </c:strCache>
            </c:strRef>
          </c:cat>
          <c:val>
            <c:numRef>
              <c:f>'[Диаграмма в Microsoft Word]Лист1'!$E$2:$E$5</c:f>
              <c:numCache>
                <c:formatCode>General</c:formatCode>
                <c:ptCount val="4"/>
                <c:pt idx="0">
                  <c:v>9.6</c:v>
                </c:pt>
                <c:pt idx="1">
                  <c:v>9.5</c:v>
                </c:pt>
                <c:pt idx="2">
                  <c:v>9.8000000000000007</c:v>
                </c:pt>
                <c:pt idx="3">
                  <c:v>8.2000000000000011</c:v>
                </c:pt>
              </c:numCache>
            </c:numRef>
          </c:val>
          <c:smooth val="0"/>
          <c:extLst>
            <c:ext xmlns:c16="http://schemas.microsoft.com/office/drawing/2014/chart" uri="{C3380CC4-5D6E-409C-BE32-E72D297353CC}">
              <c16:uniqueId val="{00000003-F261-4629-9073-0F8A0C8B1C09}"/>
            </c:ext>
          </c:extLst>
        </c:ser>
        <c:dLbls>
          <c:showLegendKey val="0"/>
          <c:showVal val="0"/>
          <c:showCatName val="0"/>
          <c:showSerName val="0"/>
          <c:showPercent val="0"/>
          <c:showBubbleSize val="0"/>
        </c:dLbls>
        <c:marker val="1"/>
        <c:smooth val="0"/>
        <c:axId val="171253760"/>
        <c:axId val="171251584"/>
      </c:lineChart>
      <c:catAx>
        <c:axId val="171157760"/>
        <c:scaling>
          <c:orientation val="minMax"/>
        </c:scaling>
        <c:delete val="0"/>
        <c:axPos val="b"/>
        <c:numFmt formatCode="General" sourceLinked="1"/>
        <c:majorTickMark val="none"/>
        <c:minorTickMark val="none"/>
        <c:tickLblPos val="nextTo"/>
        <c:txPr>
          <a:bodyPr rot="-60000000" vert="horz"/>
          <a:lstStyle/>
          <a:p>
            <a:pPr>
              <a:defRPr/>
            </a:pPr>
            <a:endParaRPr lang="ru-RU"/>
          </a:p>
        </c:txPr>
        <c:crossAx val="171249664"/>
        <c:crosses val="autoZero"/>
        <c:auto val="1"/>
        <c:lblAlgn val="ctr"/>
        <c:lblOffset val="100"/>
        <c:noMultiLvlLbl val="0"/>
      </c:catAx>
      <c:valAx>
        <c:axId val="171249664"/>
        <c:scaling>
          <c:orientation val="minMax"/>
        </c:scaling>
        <c:delete val="0"/>
        <c:axPos val="l"/>
        <c:majorGridlines/>
        <c:title>
          <c:tx>
            <c:rich>
              <a:bodyPr rot="-5400000" vert="horz"/>
              <a:lstStyle/>
              <a:p>
                <a:pPr>
                  <a:defRPr/>
                </a:pPr>
                <a:r>
                  <a:rPr lang="ru-RU"/>
                  <a:t>Месяцы</a:t>
                </a:r>
              </a:p>
            </c:rich>
          </c:tx>
          <c:overlay val="0"/>
        </c:title>
        <c:numFmt formatCode="General" sourceLinked="1"/>
        <c:majorTickMark val="none"/>
        <c:minorTickMark val="none"/>
        <c:tickLblPos val="nextTo"/>
        <c:txPr>
          <a:bodyPr rot="-60000000" vert="horz"/>
          <a:lstStyle/>
          <a:p>
            <a:pPr>
              <a:defRPr/>
            </a:pPr>
            <a:endParaRPr lang="ru-RU"/>
          </a:p>
        </c:txPr>
        <c:crossAx val="171157760"/>
        <c:crosses val="autoZero"/>
        <c:crossBetween val="between"/>
      </c:valAx>
      <c:valAx>
        <c:axId val="171251584"/>
        <c:scaling>
          <c:orientation val="minMax"/>
        </c:scaling>
        <c:delete val="0"/>
        <c:axPos val="r"/>
        <c:title>
          <c:tx>
            <c:rich>
              <a:bodyPr rot="-5400000" vert="horz"/>
              <a:lstStyle/>
              <a:p>
                <a:pPr>
                  <a:defRPr/>
                </a:pPr>
                <a:r>
                  <a:rPr lang="ru-RU"/>
                  <a:t>%</a:t>
                </a:r>
              </a:p>
            </c:rich>
          </c:tx>
          <c:overlay val="0"/>
        </c:title>
        <c:numFmt formatCode="General" sourceLinked="1"/>
        <c:majorTickMark val="out"/>
        <c:minorTickMark val="none"/>
        <c:tickLblPos val="nextTo"/>
        <c:txPr>
          <a:bodyPr rot="-60000000" vert="horz"/>
          <a:lstStyle/>
          <a:p>
            <a:pPr>
              <a:defRPr/>
            </a:pPr>
            <a:endParaRPr lang="ru-RU"/>
          </a:p>
        </c:txPr>
        <c:crossAx val="171253760"/>
        <c:crosses val="max"/>
        <c:crossBetween val="between"/>
      </c:valAx>
      <c:catAx>
        <c:axId val="171253760"/>
        <c:scaling>
          <c:orientation val="minMax"/>
        </c:scaling>
        <c:delete val="1"/>
        <c:axPos val="b"/>
        <c:numFmt formatCode="General" sourceLinked="1"/>
        <c:majorTickMark val="out"/>
        <c:minorTickMark val="none"/>
        <c:tickLblPos val="nextTo"/>
        <c:crossAx val="171251584"/>
        <c:crosses val="autoZero"/>
        <c:auto val="1"/>
        <c:lblAlgn val="ctr"/>
        <c:lblOffset val="100"/>
        <c:noMultiLvlLbl val="0"/>
      </c:catAx>
    </c:plotArea>
    <c:legend>
      <c:legendPos val="b"/>
      <c:layout>
        <c:manualLayout>
          <c:xMode val="edge"/>
          <c:yMode val="edge"/>
          <c:x val="8.0848300825141953E-2"/>
          <c:y val="0.6680409991854489"/>
          <c:w val="0.83394594594594551"/>
          <c:h val="0.28882772196579054"/>
        </c:manualLayout>
      </c:layout>
      <c:overlay val="0"/>
      <c:txPr>
        <a:bodyPr rot="0" vert="horz"/>
        <a:lstStyle/>
        <a:p>
          <a:pPr>
            <a:defRPr/>
          </a:pPr>
          <a:endParaRPr lang="ru-RU"/>
        </a:p>
      </c:txPr>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Объем предоставленных ИЖК</c:v>
                </c:pt>
              </c:strCache>
            </c:strRef>
          </c:tx>
          <c:invertIfNegative val="0"/>
          <c:dLbls>
            <c:dLbl>
              <c:idx val="0"/>
              <c:layout>
                <c:manualLayout>
                  <c:x val="-1.851851851851858E-2"/>
                  <c:y val="3.96825396825396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224-4D47-88A8-FA56D057426B}"/>
                </c:ext>
              </c:extLst>
            </c:dLbl>
            <c:dLbl>
              <c:idx val="1"/>
              <c:layout>
                <c:manualLayout>
                  <c:x val="3.4722222222222224E-2"/>
                  <c:y val="-3.6375241165772118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224-4D47-88A8-FA56D057426B}"/>
                </c:ext>
              </c:extLst>
            </c:dLbl>
            <c:dLbl>
              <c:idx val="3"/>
              <c:layout>
                <c:manualLayout>
                  <c:x val="3.4722222222222224E-2"/>
                  <c:y val="1.98412698412699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224-4D47-88A8-FA56D057426B}"/>
                </c:ext>
              </c:extLst>
            </c:dLbl>
            <c:spPr>
              <a:noFill/>
              <a:ln>
                <a:noFill/>
              </a:ln>
              <a:effectLst/>
            </c:spPr>
            <c:txPr>
              <a:bodyPr rot="0" vert="horz"/>
              <a:lstStyle/>
              <a:p>
                <a:pP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2013г.</c:v>
                </c:pt>
                <c:pt idx="1">
                  <c:v>2014г.</c:v>
                </c:pt>
                <c:pt idx="2">
                  <c:v>2015г.</c:v>
                </c:pt>
                <c:pt idx="3">
                  <c:v>2016г.</c:v>
                </c:pt>
              </c:strCache>
            </c:strRef>
          </c:cat>
          <c:val>
            <c:numRef>
              <c:f>Лист1!$B$2:$B$5</c:f>
              <c:numCache>
                <c:formatCode>General</c:formatCode>
                <c:ptCount val="4"/>
                <c:pt idx="0">
                  <c:v>1353.9</c:v>
                </c:pt>
                <c:pt idx="1">
                  <c:v>769.5</c:v>
                </c:pt>
                <c:pt idx="2">
                  <c:v>1161.7</c:v>
                </c:pt>
                <c:pt idx="3">
                  <c:v>664.6</c:v>
                </c:pt>
              </c:numCache>
            </c:numRef>
          </c:val>
          <c:extLst>
            <c:ext xmlns:c16="http://schemas.microsoft.com/office/drawing/2014/chart" uri="{C3380CC4-5D6E-409C-BE32-E72D297353CC}">
              <c16:uniqueId val="{00000003-8224-4D47-88A8-FA56D057426B}"/>
            </c:ext>
          </c:extLst>
        </c:ser>
        <c:ser>
          <c:idx val="1"/>
          <c:order val="1"/>
          <c:tx>
            <c:strRef>
              <c:f>Лист1!$C$1</c:f>
              <c:strCache>
                <c:ptCount val="1"/>
                <c:pt idx="0">
                  <c:v>Объем рефинансированных ИЖК путем продажи другим организациям</c:v>
                </c:pt>
              </c:strCache>
            </c:strRef>
          </c:tx>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224-4D47-88A8-FA56D057426B}"/>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224-4D47-88A8-FA56D057426B}"/>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224-4D47-88A8-FA56D057426B}"/>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224-4D47-88A8-FA56D057426B}"/>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2013г.</c:v>
                </c:pt>
                <c:pt idx="1">
                  <c:v>2014г.</c:v>
                </c:pt>
                <c:pt idx="2">
                  <c:v>2015г.</c:v>
                </c:pt>
                <c:pt idx="3">
                  <c:v>2016г.</c:v>
                </c:pt>
              </c:strCache>
            </c:strRef>
          </c:cat>
          <c:val>
            <c:numRef>
              <c:f>Лист1!$C$2:$C$5</c:f>
              <c:numCache>
                <c:formatCode>General</c:formatCode>
                <c:ptCount val="4"/>
                <c:pt idx="0">
                  <c:v>196.2</c:v>
                </c:pt>
                <c:pt idx="1">
                  <c:v>52.8</c:v>
                </c:pt>
                <c:pt idx="2">
                  <c:v>80.3</c:v>
                </c:pt>
                <c:pt idx="3">
                  <c:v>77.7</c:v>
                </c:pt>
              </c:numCache>
            </c:numRef>
          </c:val>
          <c:extLst>
            <c:ext xmlns:c16="http://schemas.microsoft.com/office/drawing/2014/chart" uri="{C3380CC4-5D6E-409C-BE32-E72D297353CC}">
              <c16:uniqueId val="{00000008-8224-4D47-88A8-FA56D057426B}"/>
            </c:ext>
          </c:extLst>
        </c:ser>
        <c:dLbls>
          <c:showLegendKey val="0"/>
          <c:showVal val="0"/>
          <c:showCatName val="0"/>
          <c:showSerName val="0"/>
          <c:showPercent val="0"/>
          <c:showBubbleSize val="0"/>
        </c:dLbls>
        <c:gapWidth val="219"/>
        <c:axId val="171276928"/>
        <c:axId val="171282816"/>
      </c:barChart>
      <c:lineChart>
        <c:grouping val="standard"/>
        <c:varyColors val="0"/>
        <c:ser>
          <c:idx val="2"/>
          <c:order val="2"/>
          <c:tx>
            <c:strRef>
              <c:f>Лист1!$D$1</c:f>
              <c:strCache>
                <c:ptCount val="1"/>
                <c:pt idx="0">
                  <c:v>Соотношение объемов рефинансированных ИЖК  и предоставленных ИЖК </c:v>
                </c:pt>
              </c:strCache>
            </c:strRef>
          </c:tx>
          <c:marker>
            <c:symbol val="none"/>
          </c:marker>
          <c:cat>
            <c:strRef>
              <c:f>Лист1!$A$2:$A$5</c:f>
              <c:strCache>
                <c:ptCount val="4"/>
                <c:pt idx="0">
                  <c:v>2013г.</c:v>
                </c:pt>
                <c:pt idx="1">
                  <c:v>2014г.</c:v>
                </c:pt>
                <c:pt idx="2">
                  <c:v>2015г.</c:v>
                </c:pt>
                <c:pt idx="3">
                  <c:v>2016г.</c:v>
                </c:pt>
              </c:strCache>
            </c:strRef>
          </c:cat>
          <c:val>
            <c:numRef>
              <c:f>Лист1!$D$2:$D$5</c:f>
              <c:numCache>
                <c:formatCode>General</c:formatCode>
                <c:ptCount val="4"/>
                <c:pt idx="0">
                  <c:v>14.5</c:v>
                </c:pt>
                <c:pt idx="1">
                  <c:v>6.9</c:v>
                </c:pt>
                <c:pt idx="2">
                  <c:v>6.9</c:v>
                </c:pt>
                <c:pt idx="3">
                  <c:v>7.7</c:v>
                </c:pt>
              </c:numCache>
            </c:numRef>
          </c:val>
          <c:smooth val="0"/>
          <c:extLst>
            <c:ext xmlns:c16="http://schemas.microsoft.com/office/drawing/2014/chart" uri="{C3380CC4-5D6E-409C-BE32-E72D297353CC}">
              <c16:uniqueId val="{00000009-8224-4D47-88A8-FA56D057426B}"/>
            </c:ext>
          </c:extLst>
        </c:ser>
        <c:dLbls>
          <c:showLegendKey val="0"/>
          <c:showVal val="0"/>
          <c:showCatName val="0"/>
          <c:showSerName val="0"/>
          <c:showPercent val="0"/>
          <c:showBubbleSize val="0"/>
        </c:dLbls>
        <c:marker val="1"/>
        <c:smooth val="0"/>
        <c:axId val="171286912"/>
        <c:axId val="171284736"/>
      </c:lineChart>
      <c:catAx>
        <c:axId val="171276928"/>
        <c:scaling>
          <c:orientation val="minMax"/>
        </c:scaling>
        <c:delete val="0"/>
        <c:axPos val="b"/>
        <c:numFmt formatCode="General" sourceLinked="1"/>
        <c:majorTickMark val="none"/>
        <c:minorTickMark val="none"/>
        <c:tickLblPos val="nextTo"/>
        <c:txPr>
          <a:bodyPr rot="-60000000" vert="horz"/>
          <a:lstStyle/>
          <a:p>
            <a:pPr>
              <a:defRPr/>
            </a:pPr>
            <a:endParaRPr lang="ru-RU"/>
          </a:p>
        </c:txPr>
        <c:crossAx val="171282816"/>
        <c:crosses val="autoZero"/>
        <c:auto val="1"/>
        <c:lblAlgn val="ctr"/>
        <c:lblOffset val="100"/>
        <c:noMultiLvlLbl val="0"/>
      </c:catAx>
      <c:valAx>
        <c:axId val="171282816"/>
        <c:scaling>
          <c:orientation val="minMax"/>
        </c:scaling>
        <c:delete val="0"/>
        <c:axPos val="l"/>
        <c:majorGridlines/>
        <c:title>
          <c:tx>
            <c:rich>
              <a:bodyPr rot="-5400000" vert="horz"/>
              <a:lstStyle/>
              <a:p>
                <a:pPr>
                  <a:defRPr/>
                </a:pPr>
                <a:r>
                  <a:rPr lang="ru-RU"/>
                  <a:t>млрд. руб.</a:t>
                </a:r>
              </a:p>
            </c:rich>
          </c:tx>
          <c:overlay val="0"/>
        </c:title>
        <c:numFmt formatCode="General" sourceLinked="1"/>
        <c:majorTickMark val="none"/>
        <c:minorTickMark val="none"/>
        <c:tickLblPos val="nextTo"/>
        <c:txPr>
          <a:bodyPr rot="-60000000" vert="horz"/>
          <a:lstStyle/>
          <a:p>
            <a:pPr>
              <a:defRPr/>
            </a:pPr>
            <a:endParaRPr lang="ru-RU"/>
          </a:p>
        </c:txPr>
        <c:crossAx val="171276928"/>
        <c:crosses val="autoZero"/>
        <c:crossBetween val="between"/>
      </c:valAx>
      <c:valAx>
        <c:axId val="171284736"/>
        <c:scaling>
          <c:orientation val="minMax"/>
        </c:scaling>
        <c:delete val="0"/>
        <c:axPos val="r"/>
        <c:title>
          <c:tx>
            <c:rich>
              <a:bodyPr rot="-5400000" vert="horz"/>
              <a:lstStyle/>
              <a:p>
                <a:pPr>
                  <a:defRPr/>
                </a:pPr>
                <a:r>
                  <a:rPr lang="ru-RU"/>
                  <a:t>%</a:t>
                </a:r>
              </a:p>
            </c:rich>
          </c:tx>
          <c:overlay val="0"/>
        </c:title>
        <c:numFmt formatCode="General" sourceLinked="1"/>
        <c:majorTickMark val="out"/>
        <c:minorTickMark val="none"/>
        <c:tickLblPos val="nextTo"/>
        <c:txPr>
          <a:bodyPr rot="-60000000" vert="horz"/>
          <a:lstStyle/>
          <a:p>
            <a:pPr>
              <a:defRPr/>
            </a:pPr>
            <a:endParaRPr lang="ru-RU"/>
          </a:p>
        </c:txPr>
        <c:crossAx val="171286912"/>
        <c:crosses val="max"/>
        <c:crossBetween val="between"/>
      </c:valAx>
      <c:catAx>
        <c:axId val="171286912"/>
        <c:scaling>
          <c:orientation val="minMax"/>
        </c:scaling>
        <c:delete val="1"/>
        <c:axPos val="b"/>
        <c:numFmt formatCode="General" sourceLinked="1"/>
        <c:majorTickMark val="out"/>
        <c:minorTickMark val="none"/>
        <c:tickLblPos val="nextTo"/>
        <c:crossAx val="171284736"/>
        <c:crosses val="autoZero"/>
        <c:auto val="1"/>
        <c:lblAlgn val="ctr"/>
        <c:lblOffset val="100"/>
        <c:noMultiLvlLbl val="0"/>
      </c:catAx>
    </c:plotArea>
    <c:legend>
      <c:legendPos val="b"/>
      <c:layout>
        <c:manualLayout>
          <c:xMode val="edge"/>
          <c:yMode val="edge"/>
          <c:x val="2.5872877001486053E-2"/>
          <c:y val="0.73960798759804403"/>
          <c:w val="0.94355094502075909"/>
          <c:h val="0.25649337692437568"/>
        </c:manualLayout>
      </c:layout>
      <c:overlay val="0"/>
      <c:txPr>
        <a:bodyPr rot="0" vert="horz"/>
        <a:lstStyle/>
        <a:p>
          <a:pPr>
            <a:defRPr/>
          </a:pPr>
          <a:endParaRPr lang="ru-RU"/>
        </a:p>
      </c:txPr>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TotalTime>
  <Pages>7</Pages>
  <Words>1913</Words>
  <Characters>10906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2017-12-02T11:42:00Z</dcterms:created>
  <dcterms:modified xsi:type="dcterms:W3CDTF">2017-12-02T11:43:00Z</dcterms:modified>
</cp:coreProperties>
</file>