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4804"/>
      </w:tblGrid>
      <w:tr w:rsidR="00193D52" w:rsidRPr="00193D52" w:rsidTr="00B2348C">
        <w:tc>
          <w:tcPr>
            <w:tcW w:w="9356" w:type="dxa"/>
            <w:gridSpan w:val="2"/>
            <w:hideMark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193D52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193D52">
              <w:rPr>
                <w:rFonts w:ascii="Times New Roman" w:hAnsi="Times New Roman"/>
                <w:b/>
                <w:bCs/>
                <w:sz w:val="28"/>
                <w:szCs w:val="28"/>
              </w:rPr>
              <w:t>338.1.330.341.1</w:t>
            </w:r>
          </w:p>
        </w:tc>
      </w:tr>
      <w:tr w:rsidR="00193D52" w:rsidRPr="00193D52" w:rsidTr="00B2348C">
        <w:tc>
          <w:tcPr>
            <w:tcW w:w="9356" w:type="dxa"/>
            <w:gridSpan w:val="2"/>
          </w:tcPr>
          <w:p w:rsidR="00193D52" w:rsidRPr="00193D52" w:rsidRDefault="00193D52" w:rsidP="00193D5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39"/>
            <w:bookmarkStart w:id="1" w:name="_Toc480537061"/>
            <w:r w:rsidRPr="00193D52">
              <w:rPr>
                <w:rFonts w:ascii="Times New Roman" w:hAnsi="Times New Roman"/>
                <w:b/>
                <w:bCs/>
                <w:sz w:val="28"/>
                <w:szCs w:val="28"/>
              </w:rPr>
              <w:t>КОНЦЕПЦИЯ РЕИНДУСТРИАЛИЗАЦИИ КАК ОСНОВА РАЗВИТИЯ ЭКОНОМИКИ</w:t>
            </w:r>
            <w:bookmarkEnd w:id="0"/>
            <w:bookmarkEnd w:id="1"/>
          </w:p>
        </w:tc>
      </w:tr>
      <w:tr w:rsidR="00193D52" w:rsidRPr="00193D52" w:rsidTr="00B2348C">
        <w:trPr>
          <w:trHeight w:val="179"/>
        </w:trPr>
        <w:tc>
          <w:tcPr>
            <w:tcW w:w="4478" w:type="dxa"/>
          </w:tcPr>
          <w:p w:rsidR="00193D52" w:rsidRPr="00193D52" w:rsidRDefault="00193D52" w:rsidP="00193D5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8" w:type="dxa"/>
          </w:tcPr>
          <w:p w:rsidR="00193D52" w:rsidRPr="00193D52" w:rsidRDefault="00193D52" w:rsidP="00193D5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D52" w:rsidRPr="00193D52" w:rsidTr="00B2348C">
        <w:tc>
          <w:tcPr>
            <w:tcW w:w="4478" w:type="dxa"/>
          </w:tcPr>
          <w:p w:rsidR="00193D52" w:rsidRPr="00193D52" w:rsidRDefault="00193D52" w:rsidP="00193D5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78" w:type="dxa"/>
          </w:tcPr>
          <w:p w:rsidR="00193D52" w:rsidRPr="00193D52" w:rsidRDefault="00193D52" w:rsidP="00193D52">
            <w:pPr>
              <w:widowControl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bookmarkStart w:id="2" w:name="_Toc480490840"/>
            <w:bookmarkStart w:id="3" w:name="_Toc480537062"/>
            <w:r w:rsidRPr="00193D52">
              <w:rPr>
                <w:rFonts w:ascii="Times New Roman" w:hAnsi="Times New Roman"/>
                <w:b/>
                <w:bCs/>
                <w:sz w:val="28"/>
                <w:szCs w:val="26"/>
              </w:rPr>
              <w:t>Н.Ф.Васильева,</w:t>
            </w:r>
            <w:bookmarkEnd w:id="2"/>
            <w:bookmarkEnd w:id="3"/>
            <w:r w:rsidRPr="00193D52">
              <w:rPr>
                <w:rFonts w:ascii="Times New Roman" w:hAnsi="Times New Roman"/>
                <w:bCs/>
                <w:i/>
                <w:sz w:val="28"/>
                <w:szCs w:val="28"/>
              </w:rPr>
              <w:t>к.э.н., ст. науч.сотр.,</w:t>
            </w:r>
          </w:p>
          <w:p w:rsidR="00193D52" w:rsidRPr="00193D52" w:rsidRDefault="00193D52" w:rsidP="00193D52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841"/>
            <w:bookmarkStart w:id="5" w:name="_Toc480537063"/>
            <w:r w:rsidRPr="00193D52">
              <w:rPr>
                <w:rFonts w:ascii="Times New Roman" w:hAnsi="Times New Roman"/>
                <w:b/>
                <w:bCs/>
                <w:sz w:val="28"/>
                <w:szCs w:val="26"/>
              </w:rPr>
              <w:t>В.Л. Кавура</w:t>
            </w:r>
            <w:bookmarkEnd w:id="4"/>
            <w:bookmarkEnd w:id="5"/>
          </w:p>
          <w:p w:rsidR="00193D52" w:rsidRPr="00193D52" w:rsidRDefault="00193D52" w:rsidP="00193D52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193D52">
              <w:rPr>
                <w:rFonts w:ascii="Times New Roman" w:hAnsi="Times New Roman"/>
                <w:i/>
                <w:sz w:val="28"/>
                <w:szCs w:val="28"/>
              </w:rPr>
              <w:t>«Институт Экономических Исследований»</w:t>
            </w:r>
          </w:p>
          <w:p w:rsidR="00193D52" w:rsidRPr="00193D52" w:rsidRDefault="00193D52" w:rsidP="00193D52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</w:rPr>
            </w:pPr>
            <w:r w:rsidRPr="00193D52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193D52" w:rsidRPr="00193D52" w:rsidRDefault="00193D52" w:rsidP="00193D5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к</w:t>
      </w:r>
      <w:r w:rsidRPr="00193D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лючевые понятия, характеризующие реиндустриализацию как основу развития экономики на современном этапе.</w:t>
      </w:r>
      <w:r w:rsidRPr="00193D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Разработаны предложения по выбору пути реализации концепции реиндустриализации экономики. 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индустриализация, неоиндустриализация, реиндустриализация, государственное регулирование, прорывные технологии,  инновации.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193D5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article considers the key concepts characterizing the reindustrialization as the basis of development of economy on the modern stage. Proposals for the choice of a way of implementing the concept of re-industrialization of the economy.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193D5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Keywords: industrialization, neoindustrialization, reindustrialization, government regulation, disruptive technologies, innovation. 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развитии мировой и национальной экономики наблюдается тенденция формирования курса на реиндустриализацию, что обеспечивает большинство изменений как на макроэкономическом уровне (преимущественно высокоразвитых стран), так и на международном. При этом уточняется и расширяется само понятие «реиндустриализация». Реиндустриализация как всеобъемлющий и всепоглощающий процесс, сегодня охватывает не только материальную сферу производства, но и сферу услуг, а также финансовую, социальную. Прошлая структура экономики себя изжила. Необходима другая модель развития экономики. Перед руководителями государства и бизнесом остро стоят вопросы диверсификации экономики и привлечения капитала в производственный сектор и инновационные венчурные проекты. 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Реиндустриализация и отказ от сырьевой модели экономики – это основа концепции устойчивого социально-экономического роста экономики страны. 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193D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актуальность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 обосновано тем, что понятия, характеризующие процесс реиндустриализации экономики, требуют уточнения, а влияние данного процесса на развитие экономики требует дальнейших исследований.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идеи 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неоиндустриализации лежит концепция «нового индустриального общества» Дж. Гэлбрейта [1] и его дальнейшее развитие в идеях «постиндустриального общества» Д. Белла [2], «сверхиндустриальной цивилизации» Э. Тоффлера [3] как закономерного шага эволюции производительных сил. 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вопросов перехода к неоиндустриализации (реиндустриализации) экономики отражено в работах таких зарубежных авторов, как: Дж. Рифкин [4], С. Хейлмен [6], Э. Бонабо [7], А. Малмберг[8], П. Марш [9] и др.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Д. Белла приблизительно соответствует концепция перехода к 6-му технологическому укладу С. Глазьева [10]. Неоиндустриализация (реиндустриализация) экономики как предмет исследования находит отражение в научных трудах российских и украинских ученых: А. Амоши [10], Ю. Бажала [11], О. Билоруса [12], С. Бодрунова [13], В. Вишневского [10], В. Гейца [14], Губанова [15], А. Збаразской [10], E. Котова [16], В. Ляшенко [16], В. Наймушина [17], Л. Федуловой [18] и другими экономистами в контексте развития национальной индустрии на новой технологической основе, фундаментального увеличения в ней роли государства. 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большинство авторов рассматривают проблему перехода к реиндустриальному развитию экономики в специфических условиях в первую очередь своей страны. Требует дальнейшего уточнения понятие «индустриализации», трансформирующееся с модернизацией технологической составляющей данного процесса. Остаётся ещё недостаточно исследованными возможные пути реализации концепции реиндустриализации, которая способствует развитию экономики.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– проанализировать сущность понятий, характеризующих процесс реиндустриализаци, исходя из прогрессивного обновления прорывных технологий, разработать предложения по выбору пути реализации концепции реиндустриализации экономики. 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Термины «реиндустриализация» как и «неоиндустриализация» являются производными от термина «индустриализация». В современной литературе они имеют многоплановый характер и в зависимости от контекста носят различный смысл. </w:t>
      </w:r>
    </w:p>
    <w:p w:rsidR="00193D52" w:rsidRPr="00193D52" w:rsidRDefault="00193D52" w:rsidP="00193D5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в табл.1 ключевые понятия, характеризующие процесс </w:t>
      </w:r>
      <w:r w:rsidRPr="00193D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неоиндустриализации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(реиндустриализации) экономики.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концепции информационного общества (СМАРТ-экономики), нами предлагается рассматривать понятие «реиндустриализация», прежде всего, как развитую индустрию информационных технологий, смарт-технологий, требующую высокого уровня информационной культуры, где большинство работающих заняты производством, хранением, переработкой и реализацией электронных информационных ресурсов и особенно высшей её формы – знаний.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93D52" w:rsidRPr="00193D52" w:rsidRDefault="00193D52" w:rsidP="00193D5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Таблица 1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lang w:eastAsia="ru-RU"/>
        </w:rPr>
        <w:t>Ключевые понятия, характеризующие процесс неоиндустриализации (реиндустриализации) экономики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690"/>
      </w:tblGrid>
      <w:tr w:rsidR="00193D52" w:rsidRPr="00193D52" w:rsidTr="00B2348C">
        <w:trPr>
          <w:trHeight w:val="394"/>
        </w:trPr>
        <w:tc>
          <w:tcPr>
            <w:tcW w:w="254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(автор)</w:t>
            </w:r>
          </w:p>
        </w:tc>
        <w:tc>
          <w:tcPr>
            <w:tcW w:w="719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193D52" w:rsidRPr="00193D52" w:rsidTr="00B2348C">
        <w:trPr>
          <w:trHeight w:val="323"/>
          <w:tblHeader/>
        </w:trPr>
        <w:tc>
          <w:tcPr>
            <w:tcW w:w="254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3D52" w:rsidRPr="00193D52" w:rsidTr="00B2348C">
        <w:trPr>
          <w:trHeight w:val="1218"/>
        </w:trPr>
        <w:tc>
          <w:tcPr>
            <w:tcW w:w="254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[19]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крупной, технически развитой промышленности, значительное увеличение доли промышленного производства в экономике, что является фактором изменений в политико-правовой, социальной, культурной и иных сферах жизни общества. </w:t>
            </w:r>
          </w:p>
        </w:tc>
      </w:tr>
      <w:tr w:rsidR="00193D52" w:rsidRPr="00193D52" w:rsidTr="00B2348C">
        <w:trPr>
          <w:trHeight w:val="701"/>
        </w:trPr>
        <w:tc>
          <w:tcPr>
            <w:tcW w:w="2548" w:type="dxa"/>
            <w:tcBorders>
              <w:bottom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Постиндустриализм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Белл)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[2]</w:t>
            </w:r>
          </w:p>
        </w:tc>
        <w:tc>
          <w:tcPr>
            <w:tcW w:w="7198" w:type="dxa"/>
            <w:tcBorders>
              <w:bottom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 строй, в котором доля сектора услуг доминирует над промышленным сектором.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Деиндустриализация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(А. Каирнкросс)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[20]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обратный индустриализации, характеризующийся последовательным снижением объёмов промышленного производства, которое не связано с цикличными кризисными явлениями в экономике.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D52" w:rsidRPr="00193D52" w:rsidTr="00B2348C">
        <w:trPr>
          <w:tblHeader/>
        </w:trPr>
        <w:tc>
          <w:tcPr>
            <w:tcW w:w="9746" w:type="dxa"/>
            <w:gridSpan w:val="2"/>
            <w:tcBorders>
              <w:top w:val="nil"/>
              <w:left w:val="nil"/>
              <w:right w:val="nil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Продолжение табл. 1</w:t>
            </w:r>
          </w:p>
        </w:tc>
      </w:tr>
      <w:tr w:rsidR="00193D52" w:rsidRPr="00193D52" w:rsidTr="00B2348C">
        <w:trPr>
          <w:tblHeader/>
        </w:trPr>
        <w:tc>
          <w:tcPr>
            <w:tcW w:w="254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8" w:type="dxa"/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(Е. Воробьёв, Т. Демченко)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[21]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 исторический процесс поступательного развития общества, связанный с никогда не прекращающимся его обновлением. Этот процесс, ускоряясь или замедляясь, привносит в жизнь людей новые общественные формы, изменения и усовершенствования в технике и технологии, науке и культуре, морали и праве.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промышленности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Медовников, А. Виньков и др.)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[22]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обновление в каждой сфере промышленности, которое должно привести к созданию нового мощного комплекса производителей высокотехнологичной и конкурентной промышленной продукции.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Неоиндустриализация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Губанов) 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[15]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 закономерный процесс развития производительных сил, который разворачивается после завершения в основном первой фазы индустриализации – электрификации. Он представляет собой вторую фазу индустриализации, т.е. автоматизацию и компьютеризацию производственного аппарата. Благодаря компьютеризации автоматизированной становится не только рабочая машина, но и управляющая, а производительные силы принимают форму технотронной триады: работник – ЭВМ – автоматизированные средства производства.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Неоиндустриализация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(А. Амоша, В. Вишневский, Л. Збаразская) 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[10]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наукоёмкому производству с использованием автоматизированных систем сбора и обработки информации, возможностей современного программного обеспечения и компьютерных сетей, переориентация на выпуск новых видов продукции с использованием передовых технологий.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Неоиндустриализация</w:t>
            </w:r>
          </w:p>
          <w:p w:rsidR="00193D52" w:rsidRPr="00193D52" w:rsidRDefault="00193D52" w:rsidP="00193D52">
            <w:pPr>
              <w:widowControl w:val="0"/>
              <w:tabs>
                <w:tab w:val="left" w:pos="6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(О. Н. Воронкова)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[23]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Ориентирована на усиление позиций отраслей V технологического уклада с наращиванием элементов VI технологического уклада, в том числе посредством формирования государственных вертикально-интегрированных корпораций в стратегически важных отраслях, ускорения спроса на инновации.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Реиндустриализация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(Н.В. Воронкова)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[23]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Базируется на восстановлении и модернизации национальной промышленности с учетом определения взаимосвязи </w:t>
            </w: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функционирования различных отраслей с экономическим ростом и изменения международной специализации страны как экспортноориентированной в рамках оптимального сочетания конвергентной и дивергентной стратегий технологического развития.</w:t>
            </w:r>
          </w:p>
        </w:tc>
      </w:tr>
      <w:tr w:rsidR="00193D52" w:rsidRPr="00193D52" w:rsidTr="00B2348C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Реиндустриализация</w:t>
            </w:r>
          </w:p>
          <w:p w:rsidR="00193D52" w:rsidRPr="00193D52" w:rsidRDefault="00193D52" w:rsidP="0019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(Ж-П. Бландиер) </w:t>
            </w:r>
            <w:r w:rsidRPr="00193D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[24]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52" w:rsidRPr="00193D52" w:rsidRDefault="00193D52" w:rsidP="00193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переход к системе гибкого производства, который базируется на снижении совокупных затрат вследствие модернизации и переоснащения производственных мощностей, а также перенесения их в страны с более дешевой рабочей силой.</w:t>
            </w:r>
          </w:p>
        </w:tc>
      </w:tr>
    </w:tbl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опыт развития рыночной экономики, существует много примеров путей реализации концепции реиндустриализации экономики, но все их можно свести к двум основным вариантам: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– догоняющая модернизация производства с использованием собственных, а чаще заимствованных достижений научно-технического прогресса;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– стратегия инновационного прорыва, которая предусматривает существенную активизацию информационных и инновационных процессов, интеллектуальное развитие человеческого капитала, переход к системной генерации идей, распространения и использования знаний.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90-х годов и, особенно, в начале ХХІ века в Украине была предпринята попытка реализации первого варианта. Это позволило несколько активизировать промышленное производство, увеличить ассортимент конкурентных товаров, расширить международное сотрудничество промышленных предприятий. Однако в связи с обострением политической ситуации и введением АТО желаемый результат не был достигнут.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 развитые страны, начиная с последней четверти прошлого века, стали активно использовать второй вариант стратегии.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ДНР, которая стремится достичь устойчивого экономического развития, повысить свою конкурентоспособность и войти в круг экономически развитых промышленных территорий, наиболее оптимальным решением проблемы может быть именно второй вариант –инновационного прорыва.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существующий потенциал академической, вузовской и отраслевой науки, промышленность ДНР должна более активно приобщиться к созданию новых поколений техники и технологий в таких направлениях как: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и системы связи;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специального назначения, освоение производства продукции гражданского и двойного использования;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и конструкционные материалы и изделия из них;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химико-фармацевтические технологии;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диагностические системы, профилактические и лечебные средства; 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энергоэффективных и ресурсосберегающих технологий, малоотходных, безотходных и экологически безопасных технологических процессов;</w:t>
      </w:r>
    </w:p>
    <w:p w:rsidR="00193D52" w:rsidRPr="00193D52" w:rsidRDefault="00193D52" w:rsidP="00193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биотехнологии.</w:t>
      </w:r>
    </w:p>
    <w:p w:rsidR="00193D52" w:rsidRPr="00193D52" w:rsidRDefault="00193D52" w:rsidP="00193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результаты проведенного исследования позволяют сделать следующие выводы:</w:t>
      </w:r>
    </w:p>
    <w:p w:rsidR="00193D52" w:rsidRPr="00193D52" w:rsidRDefault="00193D52" w:rsidP="00193D5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концепции информационного общества (СМАРТ-общества), понятие «реиндустриализация» можно рассматривать, прежде всего, как развитую индустрию информационных технологий, смарт-технологий, требующую высокого уровня информационной культуры, как общество, в котором большинство работающих заняты производством, хранением, переработкой и реализацией электронных информационных ресурсов и особенно высшей её формы – знаний, как основу экономического развития экономических систем, промышленных территорий.</w:t>
      </w:r>
    </w:p>
    <w:p w:rsidR="00193D52" w:rsidRPr="00193D52" w:rsidRDefault="00193D52" w:rsidP="00193D5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реиндустриализация, предполагающая использование инноваций в сочетании с интернет-технологиями, смарт-технологиями может привести не только к новому ренессансу промышленности, но и способствовать развитию экономики промышленных территорий, экономических систем, созданию смарт-общества;</w:t>
      </w:r>
    </w:p>
    <w:p w:rsidR="00193D52" w:rsidRPr="00193D52" w:rsidRDefault="00193D52" w:rsidP="00193D5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успешного осуществления реиндустриализации в современных условиях необходимо совершенствование методологического подхода к организации инновационной деятельности, способствующего переходу к непрерывным инновационным процессам, обеспечивающим развитие производственных систем в направлении нового технологического уклада (информационного общества, смарт-общества);</w:t>
      </w:r>
    </w:p>
    <w:p w:rsidR="00193D52" w:rsidRPr="00193D52" w:rsidRDefault="00193D52" w:rsidP="00193D5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устойчивого развития экономики ДНР необходимо возрождение собственной производственной базы на основе концепции реиндустриализации инновационного прорыва, которая предусматривает также подготовку производственных кадров по наиболее перспективным отраслям экономики, в которых республика может быть конкурентоспособна.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2"/>
        <w:gridCol w:w="4570"/>
      </w:tblGrid>
      <w:tr w:rsidR="00193D52" w:rsidRPr="00193D52" w:rsidTr="00B2348C">
        <w:tc>
          <w:tcPr>
            <w:tcW w:w="4819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D52" w:rsidRPr="00193D52" w:rsidTr="00B2348C">
        <w:trPr>
          <w:trHeight w:val="403"/>
        </w:trPr>
        <w:tc>
          <w:tcPr>
            <w:tcW w:w="9639" w:type="dxa"/>
            <w:gridSpan w:val="3"/>
          </w:tcPr>
          <w:p w:rsidR="00193D52" w:rsidRPr="00193D52" w:rsidRDefault="00193D52" w:rsidP="00193D5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D52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Гэлбрейт Дж. Новое индустриальное общество / Дж. Гэлбрейт. Пер. с англ. — М.: АСТ: Транзиткнига; СПб.: Terra Fantastica, 2004. — 602 с.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Белл Д. Грядущее постиндустриальное общество / Д. Белл. – М.: Академия, 1999. – 578 с.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Тоффлер Э. Третья волна: Пер. с англ. / Э Тоффлер. – М.: ООО «Издательство АСТ», 2001. – 776 с.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Рифкин Дж. Третья промышленная революция / Дж. Рифкин. – М.: Изд  Альпина Нон-фикшн, 2015.  –- 410 c.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>Heilmann S. Mao's Invisible Hand: The Political Foundations of Adaptive Governance in China / S. Heilmann, J. Perry. – Cambridge: Harvard University Press, 2011. – 320 p.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Bonabeau E. Decisions 2.0: The Power of Collective Intelligence / </w:t>
            </w:r>
            <w:r w:rsidRPr="00193D52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Bonabeau // MIT </w:t>
            </w: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Sloan Management Review. – 2009. – Vol. 50, No 2. – P. 45–52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Malmberg A. An evolutionary approach to localized learning and spatial clustering // The Handbook of Evolutionary Economic Geography / </w:t>
            </w:r>
            <w:r w:rsidRPr="00193D52">
              <w:rPr>
                <w:rFonts w:ascii="Times New Roman" w:hAnsi="Times New Roman"/>
                <w:sz w:val="24"/>
                <w:szCs w:val="24"/>
              </w:rPr>
              <w:t>А</w:t>
            </w: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Malmberg, </w:t>
            </w:r>
            <w:r w:rsidRPr="00193D52">
              <w:rPr>
                <w:rFonts w:ascii="Times New Roman" w:hAnsi="Times New Roman"/>
                <w:sz w:val="24"/>
                <w:szCs w:val="24"/>
              </w:rPr>
              <w:t>Р</w:t>
            </w: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>. Maskell // Ed. by R. Boschma and R. Martin – Cheltenham, UK, Northampton, MA, USA: Edward Elgar Publishing, Inc., 2010. – P. 391–405.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>Marsh P. The new industrial revolution: consumers, globalization and the end mass production / P. Marsh. – Yale University Press, 2012. – 320 p.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Глазьев С. Мировой экономический кризис как процесс смены технологических укладов /С. Глазьев // Вопросы экономики. – 2009. – № 3. – С. 26-32.</w:t>
            </w:r>
          </w:p>
        </w:tc>
      </w:tr>
      <w:tr w:rsidR="00193D52" w:rsidRPr="00193D52" w:rsidTr="00B2348C">
        <w:trPr>
          <w:trHeight w:val="935"/>
        </w:trPr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Амоша А.И. Неоиндустриализация и новая промышленная политика Украины /А.И. Амоша, В.П. Вишневский, Л.А. Збаразская // Экономика промышленности. – 2012. – № 1-2 (57-58). – С. 3-32.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uk-UA"/>
              </w:rPr>
              <w:t>Бажал Ю. Шумпетерська парадигма „статики” и „динаміки” економічної системи та її практичне значення /Ю. Бажал. // Вісник Київського національного університету ім. Т. Шевченка. – 2012. – Випуск 4 (145). – С.5-8.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uk-UA"/>
              </w:rPr>
              <w:t>Білоус О.Г. Проблеми глобальної модернізації та імперативи неоіндустріалізації транзитивних країн / О.Г. Білорус // Економічний часопис-ХХІ. – 2012. – № 9-10. – С. 3-6.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uk-UA"/>
              </w:rPr>
              <w:t>Бодрунов С.Д. Формирование стратегии реиндустриализации России./ Монография. / Изд. 2-ое, перераб. и доп. В двух частях. Часть первая. –СПб.: ИНИР, 2015. –551 с.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uk-UA"/>
              </w:rPr>
              <w:t>Геєць В.М . Інституаційна обумовленість інноваційних процесів  у промисловому розвитку України [Електронний ресурс] / В.М. Геєць // Економіка України. – 2014. – № 12. – С. 4-19.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Губанов С.С. Державный прорыв. Неоиндустриализация России и вертикальная интеграция. – М.: Книжный мир, 2012. – 224с.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Ляшенко В.І. Україна ХХІ: неоіндустріальна держава або „крах проекту”?: монографія / В.І. Ляшенко, ЄВ. Котов; НАН України, Ін-т економіки пром-сті; Полтавский ун-т економіки і торговлі. – Київ, 2015. – 196 с.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Наймушин В.Г. «Постиндустриальные» иллюзии либо системная неоиндустриализация: выбор современной РФ / В.Г. Наймушин // Экономист. – 2009. – № 4. – С. 47-52.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Федулова Л.І. Інноваційний вектор розвитку промисловості України / Л.І. Федулова // Економіка України. – 2013. – № 4. – С. 15-23.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Pr="00193D52">
                <w:rPr>
                  <w:rFonts w:ascii="Times New Roman" w:hAnsi="Times New Roman"/>
                  <w:sz w:val="24"/>
                  <w:szCs w:val="24"/>
                </w:rPr>
                <w:t>История мировых цивилизаций: Словарь обязательных терминов и понятий</w:t>
              </w:r>
            </w:hyperlink>
            <w:r w:rsidRPr="00193D52">
              <w:rPr>
                <w:rFonts w:ascii="Times New Roman" w:hAnsi="Times New Roman"/>
                <w:sz w:val="24"/>
                <w:szCs w:val="24"/>
              </w:rPr>
              <w:t xml:space="preserve"> [Электронный ресурс]. </w:t>
            </w:r>
            <w:r w:rsidRPr="00193D5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193D52">
              <w:rPr>
                <w:rFonts w:ascii="Times New Roman" w:hAnsi="Times New Roman"/>
                <w:sz w:val="24"/>
                <w:szCs w:val="24"/>
              </w:rPr>
              <w:t xml:space="preserve"> Режим доступа:</w:t>
            </w:r>
          </w:p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http://interpretive.ru/termin/industrializacija.html.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3D52">
              <w:rPr>
                <w:rFonts w:ascii="Times New Roman" w:hAnsi="Times New Roman"/>
                <w:sz w:val="24"/>
                <w:szCs w:val="24"/>
                <w:lang w:val="en-US"/>
              </w:rPr>
              <w:t>Cairncross A. What ia deindustrialisation? In: Bleckaby F. (Ed) Deindustrialisation. – London: Pergamon, 1982. – P. 6-17.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 xml:space="preserve">Воробьёв Е.М. Неоиндустриализация как форма экономической модернизации / </w:t>
            </w:r>
            <w:hyperlink r:id="rId6" w:history="1">
              <w:r w:rsidRPr="00193D52">
                <w:rPr>
                  <w:rFonts w:ascii="Times New Roman" w:hAnsi="Times New Roman"/>
                  <w:sz w:val="24"/>
                  <w:szCs w:val="24"/>
                </w:rPr>
                <w:t>Е.М. Воробьев</w:t>
              </w:r>
            </w:hyperlink>
            <w:r w:rsidRPr="00193D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Pr="00193D52">
                <w:rPr>
                  <w:rFonts w:ascii="Times New Roman" w:hAnsi="Times New Roman"/>
                  <w:sz w:val="24"/>
                  <w:szCs w:val="24"/>
                </w:rPr>
                <w:t>Т.И. Демченко</w:t>
              </w:r>
            </w:hyperlink>
            <w:r w:rsidRPr="00193D52">
              <w:rPr>
                <w:rFonts w:ascii="Times New Roman" w:hAnsi="Times New Roman"/>
                <w:sz w:val="24"/>
                <w:szCs w:val="24"/>
              </w:rPr>
              <w:t xml:space="preserve"> // Вісник Харківського національного університету ім.В.Н.Каразіна / </w:t>
            </w:r>
            <w:hyperlink r:id="rId8" w:history="1">
              <w:r w:rsidRPr="00193D52">
                <w:rPr>
                  <w:rFonts w:ascii="Times New Roman" w:hAnsi="Times New Roman"/>
                  <w:sz w:val="24"/>
                  <w:szCs w:val="24"/>
                </w:rPr>
                <w:t>Харківський національний університет ім. В.Н. Каразіна</w:t>
              </w:r>
            </w:hyperlink>
            <w:r w:rsidRPr="00193D52">
              <w:rPr>
                <w:rFonts w:ascii="Times New Roman" w:hAnsi="Times New Roman"/>
                <w:sz w:val="24"/>
                <w:szCs w:val="24"/>
              </w:rPr>
              <w:t>. – Харків: Видавництво ХНУ ім. В.Н. Каразіна, – Серія: Міжнародні відносини. Економіка. Країнознавство. Туризм. – Вип.1. – 2013 . – С.76-80.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Медовников Д.С. Технологическая модернизация промышленности России: отраслевой анализ /Д.С. Медовников, А.В. Виньков,  Э.М. Имамутдинов и др. // Модернизация России: условия, предпосылки, шансы: сборник статей и материалов. – М.: Центр исследований постиндустриального общества. – 2009. – Вып. № 1. – С.161-240.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 xml:space="preserve">Воронкова О.Н. Реиндустриализация &amp; Неоиндустриализация Концептуальные основы и возможности повышения конкурентоспособности страны в мировой экономике. /О.Н. Воронкова [Электронный ресурс] – Режим доступа: URL: </w:t>
            </w:r>
            <w:r w:rsidRPr="00193D52">
              <w:rPr>
                <w:rFonts w:ascii="Times New Roman" w:hAnsi="Times New Roman"/>
                <w:sz w:val="24"/>
                <w:szCs w:val="24"/>
              </w:rPr>
              <w:lastRenderedPageBreak/>
              <w:t>http://www. 127pdf.</w:t>
            </w:r>
          </w:p>
        </w:tc>
      </w:tr>
      <w:tr w:rsidR="00193D52" w:rsidRPr="00193D52" w:rsidTr="00B2348C">
        <w:tc>
          <w:tcPr>
            <w:tcW w:w="567" w:type="dxa"/>
          </w:tcPr>
          <w:p w:rsidR="00193D52" w:rsidRPr="00193D52" w:rsidRDefault="00193D52" w:rsidP="00193D5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93D52" w:rsidRPr="00193D52" w:rsidRDefault="00193D52" w:rsidP="00193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52">
              <w:rPr>
                <w:rFonts w:ascii="Times New Roman" w:hAnsi="Times New Roman"/>
                <w:sz w:val="24"/>
                <w:szCs w:val="24"/>
              </w:rPr>
              <w:t>Бландиер Ж.-П. Реиндустриализация России: насколько пригоден европейский опыт / Ж.-П. Бландиер // Экономист. – 2005. – № 5. –С.35-45.</w:t>
            </w:r>
          </w:p>
        </w:tc>
      </w:tr>
    </w:tbl>
    <w:p w:rsidR="000F42E3" w:rsidRDefault="000F42E3">
      <w:bookmarkStart w:id="6" w:name="_GoBack"/>
      <w:bookmarkEnd w:id="6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2F0"/>
    <w:multiLevelType w:val="hybridMultilevel"/>
    <w:tmpl w:val="0C14A904"/>
    <w:lvl w:ilvl="0" w:tplc="C67AC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730CE2"/>
    <w:multiLevelType w:val="hybridMultilevel"/>
    <w:tmpl w:val="7F26494E"/>
    <w:lvl w:ilvl="0" w:tplc="B140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52"/>
    <w:rsid w:val="000F42E3"/>
    <w:rsid w:val="001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557E-4B0C-4F84-9B84-FAF5247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D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niver.kharkov.ua/OpacUnicode/index.php?url=/auteurs/view/60498/source:defau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univer.kharkov.ua/OpacUnicode/index.php?url=/auteurs/view/332421/source: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univer.kharkov.ua/OpacUnicode/index.php?url=/auteurs/view/332420/source:default" TargetMode="External"/><Relationship Id="rId5" Type="http://schemas.openxmlformats.org/officeDocument/2006/relationships/hyperlink" Target="http://interpretive.ru/slovari/istorija-mirovyh-civilizacii-slovar-objazatelnyh-terminov-i-ponjat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2017-12-02T11:53:00Z</dcterms:created>
  <dcterms:modified xsi:type="dcterms:W3CDTF">2017-12-02T11:53:00Z</dcterms:modified>
</cp:coreProperties>
</file>