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93"/>
      </w:tblGrid>
      <w:tr w:rsidR="00266B4B" w:rsidRPr="00266B4B" w:rsidTr="00B2348C">
        <w:tc>
          <w:tcPr>
            <w:tcW w:w="9356" w:type="dxa"/>
            <w:gridSpan w:val="2"/>
            <w:hideMark/>
          </w:tcPr>
          <w:p w:rsidR="00266B4B" w:rsidRPr="00266B4B" w:rsidRDefault="00266B4B" w:rsidP="00266B4B">
            <w:pPr>
              <w:widowControl w:val="0"/>
              <w:jc w:val="both"/>
              <w:rPr>
                <w:rFonts w:ascii="Times New Roman" w:hAnsi="Times New Roman"/>
                <w:b/>
                <w:sz w:val="28"/>
              </w:rPr>
            </w:pPr>
            <w:r w:rsidRPr="00266B4B">
              <w:rPr>
                <w:rFonts w:ascii="Times New Roman" w:hAnsi="Times New Roman"/>
                <w:b/>
                <w:sz w:val="28"/>
              </w:rPr>
              <w:t>УДК 336.7</w:t>
            </w:r>
          </w:p>
        </w:tc>
      </w:tr>
      <w:tr w:rsidR="00266B4B" w:rsidRPr="00266B4B" w:rsidTr="00B2348C">
        <w:tc>
          <w:tcPr>
            <w:tcW w:w="9356" w:type="dxa"/>
            <w:gridSpan w:val="2"/>
          </w:tcPr>
          <w:p w:rsidR="00266B4B" w:rsidRPr="00266B4B" w:rsidRDefault="00266B4B" w:rsidP="00266B4B">
            <w:pPr>
              <w:widowControl w:val="0"/>
              <w:jc w:val="center"/>
              <w:outlineLvl w:val="0"/>
              <w:rPr>
                <w:rFonts w:ascii="Times New Roman" w:hAnsi="Times New Roman"/>
                <w:b/>
                <w:bCs/>
                <w:sz w:val="28"/>
                <w:szCs w:val="28"/>
                <w:lang w:val="uk-UA"/>
              </w:rPr>
            </w:pPr>
            <w:bookmarkStart w:id="0" w:name="_Toc480490845"/>
            <w:bookmarkStart w:id="1" w:name="_Toc480537067"/>
            <w:r w:rsidRPr="00266B4B">
              <w:rPr>
                <w:rFonts w:ascii="Times New Roman" w:hAnsi="Times New Roman"/>
                <w:b/>
                <w:bCs/>
                <w:sz w:val="28"/>
                <w:szCs w:val="28"/>
              </w:rPr>
              <w:t>ФИНАНСОВАЯ УСТОЙЧИВОСТЬ БАНКОВСКОГО СЕКТОРА КАК ОСНОВА ЕГО ФИНАНСОВОЙ СТАБИЛЬНОСТИ</w:t>
            </w:r>
            <w:bookmarkEnd w:id="0"/>
            <w:bookmarkEnd w:id="1"/>
          </w:p>
        </w:tc>
      </w:tr>
      <w:tr w:rsidR="00266B4B" w:rsidRPr="00266B4B" w:rsidTr="00B2348C">
        <w:tc>
          <w:tcPr>
            <w:tcW w:w="4677" w:type="dxa"/>
          </w:tcPr>
          <w:p w:rsidR="00266B4B" w:rsidRPr="00266B4B" w:rsidRDefault="00266B4B" w:rsidP="00266B4B">
            <w:pPr>
              <w:widowControl w:val="0"/>
              <w:jc w:val="right"/>
              <w:rPr>
                <w:rFonts w:ascii="Times New Roman" w:hAnsi="Times New Roman"/>
                <w:sz w:val="28"/>
                <w:szCs w:val="28"/>
              </w:rPr>
            </w:pPr>
          </w:p>
        </w:tc>
        <w:tc>
          <w:tcPr>
            <w:tcW w:w="4679" w:type="dxa"/>
          </w:tcPr>
          <w:p w:rsidR="00266B4B" w:rsidRPr="00266B4B" w:rsidRDefault="00266B4B" w:rsidP="00266B4B">
            <w:pPr>
              <w:widowControl w:val="0"/>
              <w:rPr>
                <w:rFonts w:ascii="Times New Roman" w:hAnsi="Times New Roman"/>
                <w:sz w:val="28"/>
                <w:szCs w:val="28"/>
              </w:rPr>
            </w:pPr>
          </w:p>
        </w:tc>
      </w:tr>
      <w:tr w:rsidR="00266B4B" w:rsidRPr="00266B4B" w:rsidTr="00B2348C">
        <w:tc>
          <w:tcPr>
            <w:tcW w:w="4677" w:type="dxa"/>
          </w:tcPr>
          <w:p w:rsidR="00266B4B" w:rsidRPr="00266B4B" w:rsidRDefault="00266B4B" w:rsidP="00266B4B">
            <w:pPr>
              <w:widowControl w:val="0"/>
              <w:jc w:val="center"/>
              <w:outlineLvl w:val="0"/>
              <w:rPr>
                <w:rFonts w:ascii="Times New Roman" w:hAnsi="Times New Roman"/>
                <w:b/>
                <w:bCs/>
                <w:sz w:val="28"/>
                <w:szCs w:val="28"/>
              </w:rPr>
            </w:pPr>
          </w:p>
        </w:tc>
        <w:tc>
          <w:tcPr>
            <w:tcW w:w="4679" w:type="dxa"/>
          </w:tcPr>
          <w:p w:rsidR="00266B4B" w:rsidRPr="00266B4B" w:rsidRDefault="00266B4B" w:rsidP="00266B4B">
            <w:pPr>
              <w:widowControl w:val="0"/>
              <w:outlineLvl w:val="1"/>
              <w:rPr>
                <w:rFonts w:ascii="Times New Roman" w:hAnsi="Times New Roman"/>
                <w:b/>
                <w:bCs/>
                <w:sz w:val="28"/>
                <w:szCs w:val="26"/>
                <w:lang w:val="uk-UA"/>
              </w:rPr>
            </w:pPr>
            <w:bookmarkStart w:id="2" w:name="_Toc480490846"/>
            <w:bookmarkStart w:id="3" w:name="_Toc480537068"/>
            <w:r w:rsidRPr="00266B4B">
              <w:rPr>
                <w:rFonts w:ascii="Times New Roman" w:hAnsi="Times New Roman"/>
                <w:b/>
                <w:bCs/>
                <w:sz w:val="28"/>
                <w:szCs w:val="26"/>
              </w:rPr>
              <w:t xml:space="preserve">А.В. </w:t>
            </w:r>
            <w:proofErr w:type="spellStart"/>
            <w:r w:rsidRPr="00266B4B">
              <w:rPr>
                <w:rFonts w:ascii="Times New Roman" w:hAnsi="Times New Roman"/>
                <w:b/>
                <w:bCs/>
                <w:sz w:val="28"/>
                <w:szCs w:val="26"/>
              </w:rPr>
              <w:t>Вериго</w:t>
            </w:r>
            <w:proofErr w:type="spellEnd"/>
            <w:r w:rsidRPr="00266B4B">
              <w:rPr>
                <w:rFonts w:ascii="Times New Roman" w:hAnsi="Times New Roman"/>
                <w:b/>
                <w:bCs/>
                <w:sz w:val="28"/>
                <w:szCs w:val="26"/>
              </w:rPr>
              <w:t xml:space="preserve">, А.В. </w:t>
            </w:r>
            <w:proofErr w:type="spellStart"/>
            <w:r w:rsidRPr="00266B4B">
              <w:rPr>
                <w:rFonts w:ascii="Times New Roman" w:hAnsi="Times New Roman"/>
                <w:b/>
                <w:bCs/>
                <w:sz w:val="28"/>
                <w:szCs w:val="26"/>
              </w:rPr>
              <w:t>Грибовская</w:t>
            </w:r>
            <w:bookmarkEnd w:id="2"/>
            <w:bookmarkEnd w:id="3"/>
            <w:proofErr w:type="spellEnd"/>
          </w:p>
          <w:p w:rsidR="00266B4B" w:rsidRPr="00266B4B" w:rsidRDefault="00266B4B" w:rsidP="00266B4B">
            <w:pPr>
              <w:widowControl w:val="0"/>
              <w:rPr>
                <w:rFonts w:ascii="Times New Roman" w:hAnsi="Times New Roman"/>
                <w:i/>
                <w:sz w:val="28"/>
                <w:lang w:eastAsia="en-GB"/>
              </w:rPr>
            </w:pPr>
            <w:r w:rsidRPr="00266B4B">
              <w:rPr>
                <w:rFonts w:ascii="Times New Roman" w:hAnsi="Times New Roman"/>
                <w:i/>
                <w:sz w:val="28"/>
                <w:lang w:eastAsia="en-GB"/>
              </w:rPr>
              <w:t>Полоцкий государственный университет</w:t>
            </w:r>
          </w:p>
          <w:p w:rsidR="00266B4B" w:rsidRPr="00266B4B" w:rsidRDefault="00266B4B" w:rsidP="00266B4B">
            <w:pPr>
              <w:widowControl w:val="0"/>
              <w:rPr>
                <w:rFonts w:ascii="Times New Roman" w:hAnsi="Times New Roman"/>
                <w:sz w:val="28"/>
                <w:lang w:val="uk-UA"/>
              </w:rPr>
            </w:pPr>
            <w:r w:rsidRPr="00266B4B">
              <w:rPr>
                <w:rFonts w:ascii="Times New Roman" w:hAnsi="Times New Roman"/>
                <w:i/>
                <w:sz w:val="28"/>
                <w:lang w:eastAsia="en-GB"/>
              </w:rPr>
              <w:t>г. Новополоцк, Республика Беларусь</w:t>
            </w:r>
          </w:p>
        </w:tc>
      </w:tr>
    </w:tbl>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6"/>
          <w:szCs w:val="26"/>
        </w:rPr>
      </w:pPr>
    </w:p>
    <w:p w:rsidR="00266B4B" w:rsidRPr="00266B4B" w:rsidRDefault="00266B4B" w:rsidP="00266B4B">
      <w:pPr>
        <w:widowControl w:val="0"/>
        <w:spacing w:after="0" w:line="240" w:lineRule="auto"/>
        <w:ind w:firstLine="709"/>
        <w:jc w:val="both"/>
        <w:rPr>
          <w:rFonts w:ascii="Times New Roman" w:eastAsia="Times New Roman" w:hAnsi="Times New Roman" w:cs="Times New Roman"/>
          <w:i/>
          <w:sz w:val="28"/>
          <w:szCs w:val="28"/>
          <w:lang w:eastAsia="ru-RU"/>
        </w:rPr>
      </w:pPr>
      <w:r w:rsidRPr="00266B4B">
        <w:rPr>
          <w:rFonts w:ascii="Times New Roman" w:eastAsia="Times New Roman" w:hAnsi="Times New Roman" w:cs="Times New Roman"/>
          <w:i/>
          <w:sz w:val="28"/>
          <w:szCs w:val="28"/>
          <w:lang w:eastAsia="ru-RU"/>
        </w:rPr>
        <w:t>Аннотация. В статье представлено содержание категорий «финансовая стабильность» и «финансовая устойчивость». Исследованы и систематизированы показатели оценки финансовой устойчивости банковского сектора.</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i/>
          <w:sz w:val="28"/>
          <w:szCs w:val="28"/>
          <w:lang w:eastAsia="ru-RU"/>
        </w:rPr>
      </w:pPr>
      <w:r w:rsidRPr="00266B4B">
        <w:rPr>
          <w:rFonts w:ascii="Times New Roman" w:eastAsia="Times New Roman" w:hAnsi="Times New Roman" w:cs="Times New Roman"/>
          <w:i/>
          <w:sz w:val="28"/>
          <w:szCs w:val="28"/>
          <w:lang w:eastAsia="ru-RU"/>
        </w:rPr>
        <w:t>Ключевые слова: финансовая стабильность, финансовая устойчивость, банковский сектор.</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i/>
          <w:sz w:val="28"/>
          <w:szCs w:val="20"/>
          <w:lang w:val="en-US" w:eastAsia="ru-RU"/>
        </w:rPr>
      </w:pPr>
      <w:r w:rsidRPr="00266B4B">
        <w:rPr>
          <w:rFonts w:ascii="Times New Roman" w:eastAsia="Times New Roman" w:hAnsi="Times New Roman" w:cs="Times New Roman"/>
          <w:i/>
          <w:sz w:val="28"/>
          <w:szCs w:val="20"/>
          <w:lang w:val="en-US" w:eastAsia="ru-RU"/>
        </w:rPr>
        <w:t>Summary. The article shows the contents of the categories "financial stability" and "financial soundness." Studied and systematized indicators assess the financial soundness of the banking sector.</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i/>
          <w:sz w:val="28"/>
          <w:szCs w:val="20"/>
          <w:lang w:val="en-US" w:eastAsia="ru-RU"/>
        </w:rPr>
      </w:pPr>
      <w:r w:rsidRPr="00266B4B">
        <w:rPr>
          <w:rFonts w:ascii="Times New Roman" w:eastAsia="Times New Roman" w:hAnsi="Times New Roman" w:cs="Times New Roman"/>
          <w:i/>
          <w:sz w:val="28"/>
          <w:szCs w:val="20"/>
          <w:lang w:val="en-US" w:eastAsia="ru-RU"/>
        </w:rPr>
        <w:t>Keywords: financial stability, financial soundness, banking sector</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b/>
          <w:sz w:val="28"/>
          <w:szCs w:val="28"/>
          <w:lang w:val="en-US" w:eastAsia="ru-RU"/>
        </w:rPr>
      </w:pPr>
    </w:p>
    <w:p w:rsidR="00266B4B" w:rsidRPr="00266B4B" w:rsidRDefault="00266B4B" w:rsidP="00266B4B">
      <w:pPr>
        <w:widowControl w:val="0"/>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266B4B">
        <w:rPr>
          <w:rFonts w:ascii="Times New Roman" w:eastAsia="Times New Roman" w:hAnsi="Times New Roman" w:cs="Times New Roman"/>
          <w:b/>
          <w:sz w:val="28"/>
          <w:szCs w:val="28"/>
          <w:lang w:eastAsia="ru-RU"/>
        </w:rPr>
        <w:t xml:space="preserve">Постановка проблемы. </w:t>
      </w:r>
      <w:r w:rsidRPr="00266B4B">
        <w:rPr>
          <w:rFonts w:ascii="Times New Roman" w:eastAsia="Times New Roman" w:hAnsi="Times New Roman" w:cs="Times New Roman"/>
          <w:sz w:val="28"/>
          <w:szCs w:val="28"/>
          <w:lang w:eastAsia="ru-RU"/>
        </w:rPr>
        <w:t>При оценке стабильности экономики страны немало внимания уделяется финансовой устойчивости банковского сектора, чья устойчивость тесно взаимосвязана со всеми секторами страны. Одними из самых важных проблем являются анализ финансовой устойчивости банковского сектора и принятие последующих конкретных способов решения сложившихся недостатков. В связи с этим, исследование особенностей финансовой устойчивости банковского сектора Республики Беларусь заслуживает особого внимания и является актуальным вопросом на сегодняшний день.</w:t>
      </w:r>
    </w:p>
    <w:p w:rsidR="00266B4B" w:rsidRPr="00266B4B" w:rsidRDefault="00266B4B" w:rsidP="00266B4B">
      <w:pPr>
        <w:widowControl w:val="0"/>
        <w:spacing w:after="0" w:line="240" w:lineRule="auto"/>
        <w:ind w:firstLine="709"/>
        <w:jc w:val="both"/>
        <w:rPr>
          <w:rFonts w:ascii="Times New Roman" w:eastAsia="TimesNewRomanPSMT" w:hAnsi="Times New Roman" w:cs="Times New Roman"/>
          <w:sz w:val="28"/>
          <w:szCs w:val="28"/>
          <w:lang w:eastAsia="ru-RU"/>
        </w:rPr>
      </w:pPr>
      <w:r w:rsidRPr="00266B4B">
        <w:rPr>
          <w:rFonts w:ascii="Times New Roman" w:eastAsia="Times New Roman" w:hAnsi="Times New Roman" w:cs="Times New Roman"/>
          <w:b/>
          <w:sz w:val="28"/>
          <w:szCs w:val="28"/>
          <w:lang w:eastAsia="ru-RU"/>
        </w:rPr>
        <w:t xml:space="preserve">Анализ предыдущих исследований и публикаций.  </w:t>
      </w:r>
      <w:r w:rsidRPr="00266B4B">
        <w:rPr>
          <w:rFonts w:ascii="Times New Roman" w:eastAsia="Times New Roman" w:hAnsi="Times New Roman" w:cs="Times New Roman"/>
          <w:sz w:val="28"/>
          <w:szCs w:val="28"/>
          <w:lang w:eastAsia="ru-RU"/>
        </w:rPr>
        <w:t xml:space="preserve">Проблема анализа финансовой устойчивости исследовалась в работах </w:t>
      </w:r>
      <w:r w:rsidRPr="00266B4B">
        <w:rPr>
          <w:rFonts w:ascii="Times New Roman" w:eastAsia="TimesNewRomanPSMT" w:hAnsi="Times New Roman" w:cs="Times New Roman"/>
          <w:sz w:val="28"/>
          <w:szCs w:val="28"/>
          <w:lang w:eastAsia="ru-RU"/>
        </w:rPr>
        <w:t>Марковой О.М., Арнаут</w:t>
      </w:r>
      <w:r w:rsidRPr="00266B4B">
        <w:rPr>
          <w:rFonts w:ascii="Times New Roman" w:eastAsia="TimesNewRomanPSMT" w:hAnsi="Times New Roman" w:cs="Times New Roman"/>
          <w:sz w:val="28"/>
          <w:szCs w:val="28"/>
          <w:lang w:val="uk-UA" w:eastAsia="ru-RU"/>
        </w:rPr>
        <w:t> </w:t>
      </w:r>
      <w:r w:rsidRPr="00266B4B">
        <w:rPr>
          <w:rFonts w:ascii="Times New Roman" w:eastAsia="TimesNewRomanPSMT" w:hAnsi="Times New Roman" w:cs="Times New Roman"/>
          <w:sz w:val="28"/>
          <w:szCs w:val="28"/>
          <w:lang w:eastAsia="ru-RU"/>
        </w:rPr>
        <w:t xml:space="preserve">И.И., Рамазанова А.В., Борискиной Ю.А., </w:t>
      </w:r>
      <w:proofErr w:type="spellStart"/>
      <w:r w:rsidRPr="00266B4B">
        <w:rPr>
          <w:rFonts w:ascii="Times New Roman" w:eastAsia="TimesNewRomanPSMT" w:hAnsi="Times New Roman" w:cs="Times New Roman"/>
          <w:sz w:val="28"/>
          <w:szCs w:val="28"/>
          <w:lang w:eastAsia="ru-RU"/>
        </w:rPr>
        <w:t>Шмарловской</w:t>
      </w:r>
      <w:proofErr w:type="spellEnd"/>
      <w:r w:rsidRPr="00266B4B">
        <w:rPr>
          <w:rFonts w:ascii="Times New Roman" w:eastAsia="TimesNewRomanPSMT" w:hAnsi="Times New Roman" w:cs="Times New Roman"/>
          <w:sz w:val="28"/>
          <w:szCs w:val="28"/>
          <w:lang w:eastAsia="ru-RU"/>
        </w:rPr>
        <w:t xml:space="preserve"> </w:t>
      </w:r>
      <w:proofErr w:type="spellStart"/>
      <w:proofErr w:type="gramStart"/>
      <w:r w:rsidRPr="00266B4B">
        <w:rPr>
          <w:rFonts w:ascii="Times New Roman" w:eastAsia="TimesNewRomanPSMT" w:hAnsi="Times New Roman" w:cs="Times New Roman"/>
          <w:sz w:val="28"/>
          <w:szCs w:val="28"/>
          <w:lang w:eastAsia="ru-RU"/>
        </w:rPr>
        <w:t>С.С.,Татариновой</w:t>
      </w:r>
      <w:proofErr w:type="spellEnd"/>
      <w:proofErr w:type="gramEnd"/>
      <w:r w:rsidRPr="00266B4B">
        <w:rPr>
          <w:rFonts w:ascii="Times New Roman" w:eastAsia="TimesNewRomanPSMT" w:hAnsi="Times New Roman" w:cs="Times New Roman"/>
          <w:sz w:val="28"/>
          <w:szCs w:val="28"/>
          <w:lang w:eastAsia="ru-RU"/>
        </w:rPr>
        <w:t xml:space="preserve"> Л.В.</w:t>
      </w:r>
      <w:r w:rsidRPr="00266B4B">
        <w:rPr>
          <w:rFonts w:ascii="Times New Roman" w:eastAsia="TimesNewRomanPSMT" w:hAnsi="Times New Roman" w:cs="Times New Roman"/>
          <w:bCs/>
          <w:sz w:val="28"/>
          <w:szCs w:val="28"/>
          <w:lang w:eastAsia="ru-RU"/>
        </w:rPr>
        <w:t xml:space="preserve">, </w:t>
      </w:r>
      <w:proofErr w:type="spellStart"/>
      <w:r w:rsidRPr="00266B4B">
        <w:rPr>
          <w:rFonts w:ascii="Times New Roman" w:eastAsia="TimesNewRomanPSMT" w:hAnsi="Times New Roman" w:cs="Times New Roman"/>
          <w:sz w:val="28"/>
          <w:szCs w:val="28"/>
          <w:lang w:eastAsia="ru-RU"/>
        </w:rPr>
        <w:t>Благодатских</w:t>
      </w:r>
      <w:proofErr w:type="spellEnd"/>
      <w:r w:rsidRPr="00266B4B">
        <w:rPr>
          <w:rFonts w:ascii="Times New Roman" w:eastAsia="TimesNewRomanPSMT" w:hAnsi="Times New Roman" w:cs="Times New Roman"/>
          <w:sz w:val="28"/>
          <w:szCs w:val="28"/>
          <w:lang w:eastAsia="ru-RU"/>
        </w:rPr>
        <w:t xml:space="preserve"> И.В.,</w:t>
      </w:r>
      <w:proofErr w:type="spellStart"/>
      <w:r w:rsidRPr="00266B4B">
        <w:rPr>
          <w:rFonts w:ascii="Times New Roman" w:eastAsia="TimesNewRomanPSMT" w:hAnsi="Times New Roman" w:cs="Times New Roman"/>
          <w:sz w:val="28"/>
          <w:szCs w:val="28"/>
          <w:lang w:eastAsia="ru-RU"/>
        </w:rPr>
        <w:t>Вотинцевой</w:t>
      </w:r>
      <w:proofErr w:type="spellEnd"/>
      <w:r w:rsidRPr="00266B4B">
        <w:rPr>
          <w:rFonts w:ascii="Times New Roman" w:eastAsia="TimesNewRomanPSMT" w:hAnsi="Times New Roman" w:cs="Times New Roman"/>
          <w:sz w:val="28"/>
          <w:szCs w:val="28"/>
          <w:lang w:eastAsia="ru-RU"/>
        </w:rPr>
        <w:t xml:space="preserve"> Р.С..</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b/>
          <w:sz w:val="28"/>
          <w:szCs w:val="28"/>
          <w:lang w:eastAsia="ru-RU"/>
        </w:rPr>
        <w:t xml:space="preserve">Целью исследования является </w:t>
      </w:r>
      <w:r w:rsidRPr="00266B4B">
        <w:rPr>
          <w:rFonts w:ascii="Times New Roman" w:eastAsia="Times New Roman" w:hAnsi="Times New Roman" w:cs="Times New Roman"/>
          <w:sz w:val="28"/>
          <w:szCs w:val="28"/>
          <w:lang w:eastAsia="ru-RU"/>
        </w:rPr>
        <w:t>определение содержания понятия «финансовая устойчивость» в контексте финансовой стабильности банковского сектора.</w:t>
      </w:r>
    </w:p>
    <w:p w:rsidR="00266B4B" w:rsidRPr="00266B4B" w:rsidRDefault="00266B4B" w:rsidP="00266B4B">
      <w:pPr>
        <w:widowControl w:val="0"/>
        <w:shd w:val="clear" w:color="auto" w:fill="FFFFFF"/>
        <w:tabs>
          <w:tab w:val="left" w:pos="851"/>
        </w:tabs>
        <w:spacing w:after="0" w:line="240" w:lineRule="auto"/>
        <w:ind w:firstLine="709"/>
        <w:jc w:val="both"/>
        <w:rPr>
          <w:rFonts w:ascii="Times New Roman" w:eastAsia="Times New Roman" w:hAnsi="Times New Roman" w:cs="Times New Roman"/>
          <w:bCs/>
          <w:sz w:val="28"/>
          <w:szCs w:val="28"/>
          <w:lang w:eastAsia="ru-RU"/>
        </w:rPr>
      </w:pPr>
      <w:r w:rsidRPr="00266B4B">
        <w:rPr>
          <w:rFonts w:ascii="Times New Roman" w:eastAsia="Times New Roman" w:hAnsi="Times New Roman" w:cs="Times New Roman"/>
          <w:b/>
          <w:sz w:val="28"/>
          <w:szCs w:val="28"/>
          <w:lang w:eastAsia="ru-RU"/>
        </w:rPr>
        <w:t>Основные результаты исследования</w:t>
      </w:r>
      <w:r w:rsidRPr="00266B4B">
        <w:rPr>
          <w:rFonts w:ascii="Times New Roman" w:eastAsia="Times New Roman" w:hAnsi="Times New Roman" w:cs="Times New Roman"/>
          <w:sz w:val="28"/>
          <w:szCs w:val="28"/>
          <w:lang w:eastAsia="ru-RU"/>
        </w:rPr>
        <w:t xml:space="preserve">. </w:t>
      </w:r>
      <w:r w:rsidRPr="00266B4B">
        <w:rPr>
          <w:rFonts w:ascii="Times New Roman" w:eastAsia="Times New Roman" w:hAnsi="Times New Roman" w:cs="Times New Roman"/>
          <w:bCs/>
          <w:sz w:val="28"/>
          <w:szCs w:val="28"/>
          <w:lang w:eastAsia="ru-RU"/>
        </w:rPr>
        <w:t>Совершенствование системы оценки деятельности коммерческих банков и их финансовой устойчивости способствует повышению стабильности как отдельно взятого банка, так и банковского сектора Беларуси в целом. Такая система позволит выявить проблемные банки на более ранней стадии посредством их мониторинга, учитывающего достаточность капитала, уровень управляемости ликвидностью, качество активов, оптимальность структуры пассивов и результаты финансовой деятельности.</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В современных трудах учёных часто используются понятия </w:t>
      </w:r>
      <w:r w:rsidRPr="00266B4B">
        <w:rPr>
          <w:rFonts w:ascii="Times New Roman" w:eastAsia="Times New Roman" w:hAnsi="Times New Roman" w:cs="Times New Roman"/>
          <w:sz w:val="28"/>
          <w:szCs w:val="28"/>
          <w:lang w:eastAsia="ru-RU"/>
        </w:rPr>
        <w:lastRenderedPageBreak/>
        <w:t xml:space="preserve">экономической безопасности, стабильности, надежности, которые используются в различных значениях. Точные различия этих терминов до сих пор нам не известны, при том, что сами авторы понимают, что их определения не синонимичны. Причиной такого положения является </w:t>
      </w:r>
      <w:proofErr w:type="spellStart"/>
      <w:r w:rsidRPr="00266B4B">
        <w:rPr>
          <w:rFonts w:ascii="Times New Roman" w:eastAsia="Times New Roman" w:hAnsi="Times New Roman" w:cs="Times New Roman"/>
          <w:sz w:val="28"/>
          <w:szCs w:val="28"/>
          <w:lang w:eastAsia="ru-RU"/>
        </w:rPr>
        <w:t>взаимоналожение</w:t>
      </w:r>
      <w:proofErr w:type="spellEnd"/>
      <w:r w:rsidRPr="00266B4B">
        <w:rPr>
          <w:rFonts w:ascii="Times New Roman" w:eastAsia="Times New Roman" w:hAnsi="Times New Roman" w:cs="Times New Roman"/>
          <w:sz w:val="28"/>
          <w:szCs w:val="28"/>
          <w:lang w:eastAsia="ru-RU"/>
        </w:rPr>
        <w:t xml:space="preserve"> понятий из различных теоретических моделей анализируемых систем: общей теории систем, теории организаций, экономической теории, общей теории управления, теории управления финансами и пр. Кроме этого, у этих различий есть историческая зависимость от профессиональной принадлежности и решаемых исследовательских задач (экономических, финансовых, управленческих, бухгалтерских, аудиторских и т.д.). </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Всё это и приводит к определенной путанице при описании тех или иных состояний и оценок деятельности хозяйствующих субъектов, что в итоге отражается на анализе сложных экономических систем, а главное, на обосновании методов и осуществлении управления эффективностью любого хозяйствующего субъекта, в том числе коммерческого банка. </w:t>
      </w:r>
    </w:p>
    <w:p w:rsidR="00266B4B" w:rsidRPr="00266B4B" w:rsidRDefault="00266B4B" w:rsidP="00266B4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Мы придерживаемся той точки зрения, что финансовая стабильность наряду с ценовой стабильностью и стабильностью платежного баланса является составной частью макроэкономической стабильности государства.</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Финансовая стабильность – это состояние финансовой системы, при котором банки и небанковские кредитно-финансовые организации, иные финансовые посредники, финансовый рынок и платежная система надлежащим образом осуществляют свойственную им деятельность и имеют способность продолжать осуществлять такую деятельность в случае нарушающих стабильность воздействий внутренних и внешних факторов [1].</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В целом, стабильность можно определить через устойчивость в отдельные отрезки времени при взаимодействии с внешней средой и обеспечении способности отражать действия возмущений. Что, в конечном итоге, значит поддерживать сохранение структурной целостности, безопасности системы, стабильности структуры внешних и внутренних связей, способности реализовать свои функции одним из самых эффективных образов на протяжении всего времени функционирования компании.</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В определениях “устойчивость”, “стабильность” не наблюдается единства в раскрытии содержания понятий. В некоторых случаях английский термин «</w:t>
      </w:r>
      <w:proofErr w:type="spellStart"/>
      <w:r w:rsidRPr="00266B4B">
        <w:rPr>
          <w:rFonts w:ascii="Times New Roman" w:eastAsia="Times New Roman" w:hAnsi="Times New Roman" w:cs="Times New Roman"/>
          <w:sz w:val="28"/>
          <w:szCs w:val="28"/>
          <w:lang w:eastAsia="ru-RU"/>
        </w:rPr>
        <w:t>financial</w:t>
      </w:r>
      <w:proofErr w:type="spellEnd"/>
      <w:r w:rsidRPr="00266B4B">
        <w:rPr>
          <w:rFonts w:ascii="Times New Roman" w:eastAsia="Times New Roman" w:hAnsi="Times New Roman" w:cs="Times New Roman"/>
          <w:sz w:val="28"/>
          <w:szCs w:val="28"/>
          <w:lang w:eastAsia="ru-RU"/>
        </w:rPr>
        <w:t xml:space="preserve"> </w:t>
      </w:r>
      <w:proofErr w:type="spellStart"/>
      <w:r w:rsidRPr="00266B4B">
        <w:rPr>
          <w:rFonts w:ascii="Times New Roman" w:eastAsia="Times New Roman" w:hAnsi="Times New Roman" w:cs="Times New Roman"/>
          <w:sz w:val="28"/>
          <w:szCs w:val="28"/>
          <w:lang w:eastAsia="ru-RU"/>
        </w:rPr>
        <w:t>stability</w:t>
      </w:r>
      <w:proofErr w:type="spellEnd"/>
      <w:r w:rsidRPr="00266B4B">
        <w:rPr>
          <w:rFonts w:ascii="Times New Roman" w:eastAsia="Times New Roman" w:hAnsi="Times New Roman" w:cs="Times New Roman"/>
          <w:sz w:val="28"/>
          <w:szCs w:val="28"/>
          <w:lang w:eastAsia="ru-RU"/>
        </w:rPr>
        <w:t xml:space="preserve">» на русский язык переводится как финансовая устойчивость. Однако, по нашему мнению, финансовая стабильность и финансовая устойчивость – это не синонимичные понятия. Значение «финансовой стабильности» является более широким и означает, что финансовая система действует в состоянии равновесия, сохраняя неизменной свою структуру. Финансовая устойчивость представляется сбалансированным состоянием, которое отражает способность кредитной организации ее поддерживать при изменении условий внутренней и внешней сред. В то же время под финансовой устойчивостью понимают свойство финансовой системы возвращаться к равновесному состоянию после прекращения воздействия, которое вывело ее из этого состояния. Следовательно, финансовая стабильность предполагает равновесие финансовой системы, </w:t>
      </w:r>
      <w:r w:rsidRPr="00266B4B">
        <w:rPr>
          <w:rFonts w:ascii="Times New Roman" w:eastAsia="Times New Roman" w:hAnsi="Times New Roman" w:cs="Times New Roman"/>
          <w:sz w:val="28"/>
          <w:szCs w:val="28"/>
          <w:lang w:eastAsia="ru-RU"/>
        </w:rPr>
        <w:lastRenderedPageBreak/>
        <w:t>финансовая устойчивость – только стремление к равновесию, а его достижение возможно лишь при отсутствии отрицательных воздействий.</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Если говорить о финансовой стабильности конкретно для Беларуси, то она представляет собой стабильность нефинансового, финансового секторов, финансовых рынков, платёжной системы и устойчивость перед внешними и внутренними макроэкономическими рисками. Финансовая стабильность банковского сектора Беларуси характеризуется рядом индикаторов: индикаторами экономической безопасности; уровнем государственного долга; дефицитом бюджета; трансграничными потоками капитала; обменным курсом; степенью либерализации экономики; темпами экономического роста; дефицитом платежного баланса; уровнем и темпами процентных ставок; показателями финансовой устойчивости банковского сектора и др.</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6B4B">
        <w:rPr>
          <w:rFonts w:ascii="Times New Roman" w:eastAsia="Times New Roman" w:hAnsi="Times New Roman" w:cs="Times New Roman"/>
          <w:sz w:val="28"/>
          <w:szCs w:val="28"/>
          <w:lang w:eastAsia="ru-RU"/>
        </w:rPr>
        <w:t xml:space="preserve">Безусловно, финансовая устойчивость банковского сектора является одним из ключевых элементов финансовой стабильности банковского </w:t>
      </w:r>
      <w:proofErr w:type="spellStart"/>
      <w:proofErr w:type="gramStart"/>
      <w:r w:rsidRPr="00266B4B">
        <w:rPr>
          <w:rFonts w:ascii="Times New Roman" w:eastAsia="Times New Roman" w:hAnsi="Times New Roman" w:cs="Times New Roman"/>
          <w:sz w:val="28"/>
          <w:szCs w:val="28"/>
          <w:lang w:eastAsia="ru-RU"/>
        </w:rPr>
        <w:t>сектора.</w:t>
      </w:r>
      <w:bookmarkStart w:id="4" w:name="282"/>
      <w:r w:rsidRPr="00266B4B">
        <w:rPr>
          <w:rFonts w:ascii="Times New Roman" w:eastAsia="Times New Roman" w:hAnsi="Times New Roman" w:cs="Times New Roman"/>
          <w:sz w:val="28"/>
          <w:szCs w:val="28"/>
          <w:shd w:val="clear" w:color="auto" w:fill="FFFFFF"/>
          <w:lang w:eastAsia="ru-RU"/>
        </w:rPr>
        <w:t>В</w:t>
      </w:r>
      <w:proofErr w:type="spellEnd"/>
      <w:proofErr w:type="gramEnd"/>
      <w:r w:rsidRPr="00266B4B">
        <w:rPr>
          <w:rFonts w:ascii="Times New Roman" w:eastAsia="Times New Roman" w:hAnsi="Times New Roman" w:cs="Times New Roman"/>
          <w:sz w:val="28"/>
          <w:szCs w:val="28"/>
          <w:shd w:val="clear" w:color="auto" w:fill="FFFFFF"/>
          <w:lang w:eastAsia="ru-RU"/>
        </w:rPr>
        <w:t xml:space="preserve"> белорусских экономических изданиях финансовая устойчивость банковского сектора также достаточно мало изучена, однако в последнее время все больше и больше внимания уделяется данной теме, поскольку увеличиваются риски возникновения кризисов в мире, глобализации экономики и воздействия шоков на банковский сектор.</w:t>
      </w:r>
      <w:bookmarkEnd w:id="4"/>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Minion Pro"/>
          <w:sz w:val="28"/>
          <w:szCs w:val="28"/>
          <w:lang w:eastAsia="ru-RU"/>
        </w:rPr>
        <w:t xml:space="preserve">Допуск на финансовый рынок финансово-устойчивых кредитных организаций является необходимым условием стабильного функционирования банковской системы. </w:t>
      </w:r>
      <w:r w:rsidRPr="00266B4B">
        <w:rPr>
          <w:rFonts w:ascii="Times New Roman" w:eastAsia="TimesNewRomanPSMT" w:hAnsi="Times New Roman" w:cs="Times New Roman"/>
          <w:sz w:val="28"/>
          <w:szCs w:val="28"/>
          <w:lang w:eastAsia="ru-RU"/>
        </w:rPr>
        <w:t xml:space="preserve">Совершенствование системы оценки деятельности коммерческих банков и их финансовой устойчивости способствует </w:t>
      </w:r>
      <w:proofErr w:type="spellStart"/>
      <w:r w:rsidRPr="00266B4B">
        <w:rPr>
          <w:rFonts w:ascii="Times New Roman" w:eastAsia="TimesNewRomanPSMT" w:hAnsi="Times New Roman" w:cs="Times New Roman"/>
          <w:sz w:val="28"/>
          <w:szCs w:val="28"/>
          <w:lang w:eastAsia="ru-RU"/>
        </w:rPr>
        <w:t>повышениюстабильности</w:t>
      </w:r>
      <w:proofErr w:type="spellEnd"/>
      <w:r w:rsidRPr="00266B4B">
        <w:rPr>
          <w:rFonts w:ascii="Times New Roman" w:eastAsia="TimesNewRomanPSMT" w:hAnsi="Times New Roman" w:cs="Times New Roman"/>
          <w:sz w:val="28"/>
          <w:szCs w:val="28"/>
          <w:lang w:eastAsia="ru-RU"/>
        </w:rPr>
        <w:t xml:space="preserve"> как отдельно взятого банка, таки банковского сектора страны в целом. Данная систем</w:t>
      </w:r>
      <w:r w:rsidRPr="00266B4B">
        <w:rPr>
          <w:rFonts w:ascii="Times New Roman" w:eastAsia="TimesNewRomanPSMT" w:hAnsi="Times New Roman" w:cs="Times New Roman"/>
          <w:sz w:val="28"/>
          <w:szCs w:val="28"/>
          <w:lang w:val="uk-UA" w:eastAsia="ru-RU"/>
        </w:rPr>
        <w:t>а</w:t>
      </w:r>
      <w:r w:rsidRPr="00266B4B">
        <w:rPr>
          <w:rFonts w:ascii="Times New Roman" w:eastAsia="TimesNewRomanPSMT" w:hAnsi="Times New Roman" w:cs="Times New Roman"/>
          <w:sz w:val="28"/>
          <w:szCs w:val="28"/>
          <w:lang w:eastAsia="ru-RU"/>
        </w:rPr>
        <w:t xml:space="preserve"> даст возможность выявить проблемные банки на ранних стадиях с помощью их мониторинга, который учитывает достаточность капитала, качество активов, уровень управляемости ликвидностью, оптимальность структуры пассивов и результаты финансовой деятельности.</w:t>
      </w:r>
    </w:p>
    <w:p w:rsidR="00266B4B" w:rsidRPr="00266B4B" w:rsidRDefault="00266B4B" w:rsidP="00266B4B">
      <w:pPr>
        <w:widowControl w:val="0"/>
        <w:spacing w:after="0" w:line="240" w:lineRule="auto"/>
        <w:ind w:firstLine="709"/>
        <w:jc w:val="both"/>
        <w:rPr>
          <w:rFonts w:ascii="Times New Roman" w:eastAsia="TimesNewRoman" w:hAnsi="Times New Roman" w:cs="Times New Roman"/>
          <w:sz w:val="28"/>
          <w:szCs w:val="28"/>
          <w:lang w:eastAsia="ru-RU"/>
        </w:rPr>
      </w:pPr>
      <w:r w:rsidRPr="00266B4B">
        <w:rPr>
          <w:rFonts w:ascii="Times New Roman" w:eastAsia="TimesNewRoman" w:hAnsi="Times New Roman" w:cs="Times New Roman"/>
          <w:sz w:val="28"/>
          <w:szCs w:val="28"/>
          <w:lang w:eastAsia="ru-RU"/>
        </w:rPr>
        <w:t>Исследуем и систематизируем показатели оценки финансовой устойчивости банковского сектора.</w:t>
      </w:r>
    </w:p>
    <w:p w:rsidR="00266B4B" w:rsidRPr="00266B4B" w:rsidRDefault="00266B4B" w:rsidP="00266B4B">
      <w:pPr>
        <w:widowControl w:val="0"/>
        <w:spacing w:after="0" w:line="240" w:lineRule="auto"/>
        <w:ind w:firstLine="709"/>
        <w:jc w:val="both"/>
        <w:rPr>
          <w:rFonts w:ascii="Times New Roman" w:eastAsia="TimesNewRomanPSMT" w:hAnsi="Times New Roman" w:cs="Times New Roman"/>
          <w:sz w:val="28"/>
          <w:szCs w:val="28"/>
          <w:lang w:eastAsia="ru-RU"/>
        </w:rPr>
      </w:pPr>
      <w:r w:rsidRPr="00266B4B">
        <w:rPr>
          <w:rFonts w:ascii="Times New Roman" w:eastAsia="TimesNewRoman" w:hAnsi="Times New Roman" w:cs="Times New Roman"/>
          <w:sz w:val="28"/>
          <w:szCs w:val="28"/>
          <w:lang w:eastAsia="ru-RU"/>
        </w:rPr>
        <w:t xml:space="preserve">В связи с тем, что банковский сектор тесно взаимосвязан с другими звеньями финансовой системы государства, необходимо было создание ряда показателей. Для сопоставимости индикативных показателей на международном уровне Международный </w:t>
      </w:r>
      <w:proofErr w:type="spellStart"/>
      <w:r w:rsidRPr="00266B4B">
        <w:rPr>
          <w:rFonts w:ascii="Times New Roman" w:eastAsia="TimesNewRoman" w:hAnsi="Times New Roman" w:cs="Times New Roman"/>
          <w:sz w:val="28"/>
          <w:szCs w:val="28"/>
          <w:lang w:eastAsia="ru-RU"/>
        </w:rPr>
        <w:t>валютныйфонд</w:t>
      </w:r>
      <w:proofErr w:type="spellEnd"/>
      <w:r w:rsidRPr="00266B4B">
        <w:rPr>
          <w:rFonts w:ascii="Times New Roman" w:eastAsia="TimesNewRoman" w:hAnsi="Times New Roman" w:cs="Times New Roman"/>
          <w:sz w:val="28"/>
          <w:szCs w:val="28"/>
          <w:lang w:eastAsia="ru-RU"/>
        </w:rPr>
        <w:t xml:space="preserve"> вместе с монетарными властями стран мира разработал «Руководство по составлению показателей финансовой устойчивости», в котором было использовано 39 индикаторов. Данные показатели разделены на две группы:</w:t>
      </w:r>
    </w:p>
    <w:p w:rsidR="00266B4B" w:rsidRPr="00266B4B" w:rsidRDefault="00266B4B" w:rsidP="00266B4B">
      <w:pPr>
        <w:widowControl w:val="0"/>
        <w:spacing w:after="0" w:line="240" w:lineRule="auto"/>
        <w:ind w:firstLine="709"/>
        <w:jc w:val="both"/>
        <w:rPr>
          <w:rFonts w:ascii="Times New Roman" w:eastAsia="TimesNewRomanPSMT" w:hAnsi="Times New Roman" w:cs="Times New Roman"/>
          <w:sz w:val="28"/>
          <w:szCs w:val="28"/>
          <w:lang w:eastAsia="ru-RU"/>
        </w:rPr>
      </w:pPr>
      <w:r w:rsidRPr="00266B4B">
        <w:rPr>
          <w:rFonts w:ascii="Times New Roman" w:eastAsia="TimesNewRoman" w:hAnsi="Times New Roman" w:cs="Times New Roman"/>
          <w:sz w:val="28"/>
          <w:szCs w:val="28"/>
          <w:lang w:eastAsia="ru-RU"/>
        </w:rPr>
        <w:t xml:space="preserve">– базовый набор (12 индикаторов), отражающий состояние </w:t>
      </w:r>
      <w:proofErr w:type="spellStart"/>
      <w:r w:rsidRPr="00266B4B">
        <w:rPr>
          <w:rFonts w:ascii="Times New Roman" w:eastAsia="TimesNewRoman" w:hAnsi="Times New Roman" w:cs="Times New Roman"/>
          <w:sz w:val="28"/>
          <w:szCs w:val="28"/>
          <w:lang w:eastAsia="ru-RU"/>
        </w:rPr>
        <w:t>иустойчивость</w:t>
      </w:r>
      <w:proofErr w:type="spellEnd"/>
      <w:r w:rsidRPr="00266B4B">
        <w:rPr>
          <w:rFonts w:ascii="Times New Roman" w:eastAsia="TimesNewRoman" w:hAnsi="Times New Roman" w:cs="Times New Roman"/>
          <w:sz w:val="28"/>
          <w:szCs w:val="28"/>
          <w:lang w:eastAsia="ru-RU"/>
        </w:rPr>
        <w:t xml:space="preserve"> банковского сектора;</w:t>
      </w:r>
    </w:p>
    <w:p w:rsidR="00266B4B" w:rsidRPr="00266B4B" w:rsidRDefault="00266B4B" w:rsidP="00266B4B">
      <w:pPr>
        <w:widowControl w:val="0"/>
        <w:spacing w:after="0" w:line="240" w:lineRule="auto"/>
        <w:ind w:firstLine="709"/>
        <w:jc w:val="both"/>
        <w:rPr>
          <w:rFonts w:ascii="Times New Roman" w:eastAsia="TimesNewRoman" w:hAnsi="Times New Roman" w:cs="Times New Roman"/>
          <w:sz w:val="28"/>
          <w:szCs w:val="28"/>
          <w:lang w:eastAsia="ru-RU"/>
        </w:rPr>
      </w:pPr>
      <w:r w:rsidRPr="00266B4B">
        <w:rPr>
          <w:rFonts w:ascii="Times New Roman" w:eastAsia="TimesNewRoman" w:hAnsi="Times New Roman" w:cs="Times New Roman"/>
          <w:sz w:val="28"/>
          <w:szCs w:val="28"/>
          <w:lang w:eastAsia="ru-RU"/>
        </w:rPr>
        <w:t xml:space="preserve">– рекомендуемый набор (27 индикаторов), который включает </w:t>
      </w:r>
      <w:proofErr w:type="spellStart"/>
      <w:r w:rsidRPr="00266B4B">
        <w:rPr>
          <w:rFonts w:ascii="Times New Roman" w:eastAsia="TimesNewRoman" w:hAnsi="Times New Roman" w:cs="Times New Roman"/>
          <w:sz w:val="28"/>
          <w:szCs w:val="28"/>
          <w:lang w:eastAsia="ru-RU"/>
        </w:rPr>
        <w:t>показателифинансового</w:t>
      </w:r>
      <w:proofErr w:type="spellEnd"/>
      <w:r w:rsidRPr="00266B4B">
        <w:rPr>
          <w:rFonts w:ascii="Times New Roman" w:eastAsia="TimesNewRoman" w:hAnsi="Times New Roman" w:cs="Times New Roman"/>
          <w:sz w:val="28"/>
          <w:szCs w:val="28"/>
          <w:lang w:eastAsia="ru-RU"/>
        </w:rPr>
        <w:t xml:space="preserve"> сектора (в том числе банковский сектор), сектора домашних хозяйств, финансового рынка и рынка недвижимости. </w:t>
      </w:r>
    </w:p>
    <w:p w:rsidR="00266B4B" w:rsidRPr="00266B4B" w:rsidRDefault="00266B4B" w:rsidP="00266B4B">
      <w:pPr>
        <w:widowControl w:val="0"/>
        <w:spacing w:after="0" w:line="240" w:lineRule="auto"/>
        <w:ind w:firstLine="709"/>
        <w:jc w:val="both"/>
        <w:rPr>
          <w:rFonts w:ascii="Times New Roman" w:eastAsia="TimesNewRoman" w:hAnsi="Times New Roman" w:cs="Times New Roman"/>
          <w:sz w:val="28"/>
          <w:szCs w:val="28"/>
          <w:lang w:eastAsia="ru-RU"/>
        </w:rPr>
      </w:pPr>
      <w:r w:rsidRPr="00266B4B">
        <w:rPr>
          <w:rFonts w:ascii="Times New Roman" w:eastAsia="TimesNewRoman" w:hAnsi="Times New Roman" w:cs="Times New Roman"/>
          <w:sz w:val="28"/>
          <w:szCs w:val="28"/>
          <w:lang w:eastAsia="ru-RU"/>
        </w:rPr>
        <w:t xml:space="preserve">Добавление показателей, которые не относятся к банковскому сектору, показывает взаимосвязь секторов экономики, например, неблагоприятные </w:t>
      </w:r>
      <w:r w:rsidRPr="00266B4B">
        <w:rPr>
          <w:rFonts w:ascii="Times New Roman" w:eastAsia="TimesNewRoman" w:hAnsi="Times New Roman" w:cs="Times New Roman"/>
          <w:sz w:val="28"/>
          <w:szCs w:val="28"/>
          <w:lang w:eastAsia="ru-RU"/>
        </w:rPr>
        <w:lastRenderedPageBreak/>
        <w:t xml:space="preserve">события </w:t>
      </w:r>
      <w:proofErr w:type="spellStart"/>
      <w:r w:rsidRPr="00266B4B">
        <w:rPr>
          <w:rFonts w:ascii="Times New Roman" w:eastAsia="TimesNewRoman" w:hAnsi="Times New Roman" w:cs="Times New Roman"/>
          <w:sz w:val="28"/>
          <w:szCs w:val="28"/>
          <w:lang w:eastAsia="ru-RU"/>
        </w:rPr>
        <w:t>вреальном</w:t>
      </w:r>
      <w:proofErr w:type="spellEnd"/>
      <w:r w:rsidRPr="00266B4B">
        <w:rPr>
          <w:rFonts w:ascii="Times New Roman" w:eastAsia="TimesNewRoman" w:hAnsi="Times New Roman" w:cs="Times New Roman"/>
          <w:sz w:val="28"/>
          <w:szCs w:val="28"/>
          <w:lang w:eastAsia="ru-RU"/>
        </w:rPr>
        <w:t xml:space="preserve"> секторе могут привести к снижению качественных показателей кредитного портфеля банков и тем самым отрицательно повлиять на финансовую устойчивость банковской системы.</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NewRoman" w:hAnsi="Times New Roman" w:cs="Times New Roman"/>
          <w:sz w:val="28"/>
          <w:szCs w:val="28"/>
          <w:lang w:eastAsia="ru-RU"/>
        </w:rPr>
        <w:t xml:space="preserve">Представим характеристику некоторых показателей </w:t>
      </w:r>
      <w:r w:rsidRPr="00266B4B">
        <w:rPr>
          <w:rFonts w:ascii="Times New Roman" w:eastAsia="Times New Roman" w:hAnsi="Times New Roman" w:cs="Times New Roman"/>
          <w:sz w:val="28"/>
          <w:szCs w:val="28"/>
          <w:lang w:eastAsia="ru-RU"/>
        </w:rPr>
        <w:t>в соответствии с методикой, изложенной в издании Международного валютного фонда "Показатели финансовой устойчивости. Руководство по составлению" (МВФ, 2007) [2].</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Отношение нормативного капитала к активам, взвешенным по риску, рассчитывается как деление величины нормативного капитала на величину активов и </w:t>
      </w:r>
      <w:proofErr w:type="spellStart"/>
      <w:r w:rsidRPr="00266B4B">
        <w:rPr>
          <w:rFonts w:ascii="Times New Roman" w:eastAsia="Times New Roman" w:hAnsi="Times New Roman" w:cs="Times New Roman"/>
          <w:sz w:val="28"/>
          <w:szCs w:val="28"/>
          <w:lang w:eastAsia="ru-RU"/>
        </w:rPr>
        <w:t>внебалансовых</w:t>
      </w:r>
      <w:proofErr w:type="spellEnd"/>
      <w:r w:rsidRPr="00266B4B">
        <w:rPr>
          <w:rFonts w:ascii="Times New Roman" w:eastAsia="Times New Roman" w:hAnsi="Times New Roman" w:cs="Times New Roman"/>
          <w:sz w:val="28"/>
          <w:szCs w:val="28"/>
          <w:lang w:eastAsia="ru-RU"/>
        </w:rPr>
        <w:t xml:space="preserve"> обязательств, которые оценены по уровню риска.</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Отношение нормативного капитала первого уровня к активам, взвешенным по риску, рассчитывается как деление величины основного капитала на величину активов и </w:t>
      </w:r>
      <w:proofErr w:type="spellStart"/>
      <w:r w:rsidRPr="00266B4B">
        <w:rPr>
          <w:rFonts w:ascii="Times New Roman" w:eastAsia="Times New Roman" w:hAnsi="Times New Roman" w:cs="Times New Roman"/>
          <w:sz w:val="28"/>
          <w:szCs w:val="28"/>
          <w:lang w:eastAsia="ru-RU"/>
        </w:rPr>
        <w:t>внебалансовых</w:t>
      </w:r>
      <w:proofErr w:type="spellEnd"/>
      <w:r w:rsidRPr="00266B4B">
        <w:rPr>
          <w:rFonts w:ascii="Times New Roman" w:eastAsia="Times New Roman" w:hAnsi="Times New Roman" w:cs="Times New Roman"/>
          <w:sz w:val="28"/>
          <w:szCs w:val="28"/>
          <w:lang w:eastAsia="ru-RU"/>
        </w:rPr>
        <w:t xml:space="preserve"> обязательств, которые оценены по уровню риска.</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Отношение распределения кредитов и займов по секторам к совокупным кредитам и займам рассчитывается как деление суммы задолженности по кредитам, которые предоставлены банками соответствующему сектору экономики, на совокупную величину задолженности по кредитам, которые предоставлены банками клиентам – резидентам и нерезидентам.</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Норма прибыли на собственный капитал рассчитывается как деление суммы прибыли за 12 месяцев, предшествующих отчетной дате, до вычета налога на прибыль, на среднюю хронологическую величину капитала за 12 месяцев, предшествующих отчетной дате. Капитал рассчитывается как разность между совокупными активами и обязательствами.</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Отношение ликвидных активов к совокупным активам рассчитывается как деление величины ликвидных активов на величину совокупных активов. Ликвидные активы включают: наличные денежные средства, включая драгоценные металлы и драгоценные камни; средства в Национальном банке (включая средства, депонированные сверх суммы фиксированной части резервных требований); ценные бумаги, легко обращаемые в наличность; финансовые активы со сроком до востребования и до 90 дней. </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Отношение капитала к активам рассчитывается как деление величины капитала на величину совокупных активов. Капитал рассчитывается как разность между совокупными активами и обязательствами. </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Спред между максимальной и минимальной межбанковскими ставками рассчитывается как разность между максимальным и минимальным уровнем процентной ставки по привлечению средств на межбанковском рынке в течение квартала, предшествующего отчетной дате, выраженная в базисных пунктах.</w:t>
      </w:r>
    </w:p>
    <w:p w:rsidR="00266B4B" w:rsidRPr="00266B4B" w:rsidRDefault="00266B4B" w:rsidP="00266B4B">
      <w:pPr>
        <w:widowControl w:val="0"/>
        <w:spacing w:after="0" w:line="240" w:lineRule="auto"/>
        <w:ind w:firstLine="709"/>
        <w:jc w:val="both"/>
        <w:rPr>
          <w:rFonts w:ascii="Times New Roman" w:eastAsia="TimesNew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Отношение валютных кредитов и займов к совокупным кредитам и займам рассчитывается как деление суммы задолженности по кредитам в иностранной валюте на совокупную величину задолженности по кредитам, которые предоставлены банками клиентам. </w:t>
      </w:r>
    </w:p>
    <w:p w:rsidR="00266B4B" w:rsidRPr="00266B4B" w:rsidRDefault="00266B4B" w:rsidP="00266B4B">
      <w:pPr>
        <w:widowControl w:val="0"/>
        <w:spacing w:after="0" w:line="240" w:lineRule="auto"/>
        <w:ind w:firstLine="709"/>
        <w:jc w:val="both"/>
        <w:rPr>
          <w:rFonts w:ascii="Times New Roman" w:eastAsia="TimesNewRoman" w:hAnsi="Times New Roman" w:cs="Times New Roman"/>
          <w:sz w:val="28"/>
          <w:szCs w:val="28"/>
          <w:lang w:eastAsia="ru-RU"/>
        </w:rPr>
      </w:pPr>
      <w:r w:rsidRPr="00266B4B">
        <w:rPr>
          <w:rFonts w:ascii="Times New Roman" w:eastAsia="TimesNewRoman" w:hAnsi="Times New Roman" w:cs="Times New Roman"/>
          <w:sz w:val="28"/>
          <w:szCs w:val="28"/>
          <w:lang w:eastAsia="ru-RU"/>
        </w:rPr>
        <w:t xml:space="preserve">Помимо представленных групп показателей для оценки финансовой устойчивости банковского сектора республики также исследуются </w:t>
      </w:r>
      <w:r w:rsidRPr="00266B4B">
        <w:rPr>
          <w:rFonts w:ascii="Times New Roman" w:eastAsia="TimesNewRoman" w:hAnsi="Times New Roman" w:cs="Times New Roman"/>
          <w:sz w:val="28"/>
          <w:szCs w:val="28"/>
          <w:lang w:eastAsia="ru-RU"/>
        </w:rPr>
        <w:lastRenderedPageBreak/>
        <w:t xml:space="preserve">обобщенные показатели достаточности капитала, показатели кредитного, процентного, валютного рисков, а также риска ликвидности в целом по банковскому сектору. Данные показатели рассчитываются агрегировано на основании бухгалтерской и статистической отчетности банков страны. </w:t>
      </w:r>
    </w:p>
    <w:p w:rsidR="00266B4B" w:rsidRPr="00266B4B" w:rsidRDefault="00266B4B" w:rsidP="00266B4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6B4B">
        <w:rPr>
          <w:rFonts w:ascii="Times New Roman" w:eastAsia="Times New Roman" w:hAnsi="Times New Roman" w:cs="Times New Roman"/>
          <w:bCs/>
          <w:sz w:val="28"/>
          <w:szCs w:val="28"/>
          <w:lang w:eastAsia="ru-RU"/>
        </w:rPr>
        <w:t xml:space="preserve">Для оценки финансовой устойчивости банковского сектора Республики Беларусь рассмотрим показатели финансовой устойчивости согласно методике Международного валютного фонда в динамике за 2014-2016 гг. на 01.01. </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NewRoman" w:hAnsi="Times New Roman" w:cs="Times New Roman"/>
          <w:sz w:val="28"/>
          <w:szCs w:val="28"/>
          <w:lang w:eastAsia="ru-RU"/>
        </w:rPr>
        <w:t>Рассмотрим базовые показатели финансовой устойчивости банковского сектора в динамике 2012-2016 гг. на 1 января соответствующего года</w:t>
      </w:r>
      <w:r w:rsidRPr="00266B4B">
        <w:rPr>
          <w:rFonts w:ascii="Times New Roman" w:eastAsia="Times New Roman" w:hAnsi="Times New Roman" w:cs="Times New Roman"/>
          <w:sz w:val="28"/>
          <w:szCs w:val="28"/>
          <w:lang w:eastAsia="ru-RU"/>
        </w:rPr>
        <w:t>, которые рассчитаны в соответствии с методикой, изложенной в издании Международного валютного фонда "Показатели финансовой устойчивости. Руководство по составлению" (МВФ, 2007) (таблица 1).</w:t>
      </w:r>
    </w:p>
    <w:p w:rsidR="00266B4B" w:rsidRPr="00266B4B" w:rsidRDefault="00266B4B" w:rsidP="00266B4B">
      <w:pPr>
        <w:widowControl w:val="0"/>
        <w:spacing w:after="0" w:line="240" w:lineRule="auto"/>
        <w:ind w:firstLine="567"/>
        <w:jc w:val="right"/>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Таблица 1</w:t>
      </w:r>
    </w:p>
    <w:p w:rsidR="00266B4B" w:rsidRPr="00266B4B" w:rsidRDefault="00266B4B" w:rsidP="00266B4B">
      <w:pPr>
        <w:widowControl w:val="0"/>
        <w:spacing w:after="0" w:line="240" w:lineRule="auto"/>
        <w:ind w:firstLine="567"/>
        <w:jc w:val="center"/>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Динамика базовых показателей финансовой устойчивости банковского сектора согласно </w:t>
      </w:r>
      <w:proofErr w:type="gramStart"/>
      <w:r w:rsidRPr="00266B4B">
        <w:rPr>
          <w:rFonts w:ascii="Times New Roman" w:eastAsia="Times New Roman" w:hAnsi="Times New Roman" w:cs="Times New Roman"/>
          <w:sz w:val="28"/>
          <w:szCs w:val="28"/>
          <w:lang w:eastAsia="ru-RU"/>
        </w:rPr>
        <w:t>методике МВФ</w:t>
      </w:r>
      <w:proofErr w:type="gramEnd"/>
      <w:r w:rsidRPr="00266B4B">
        <w:rPr>
          <w:rFonts w:ascii="Times New Roman" w:eastAsia="Times New Roman" w:hAnsi="Times New Roman" w:cs="Times New Roman"/>
          <w:sz w:val="28"/>
          <w:szCs w:val="28"/>
          <w:lang w:eastAsia="ru-RU"/>
        </w:rPr>
        <w:t xml:space="preserve"> на 01.01</w:t>
      </w:r>
    </w:p>
    <w:tbl>
      <w:tblPr>
        <w:tblStyle w:val="a3"/>
        <w:tblW w:w="9639" w:type="dxa"/>
        <w:tblInd w:w="108" w:type="dxa"/>
        <w:tblLook w:val="04A0" w:firstRow="1" w:lastRow="0" w:firstColumn="1" w:lastColumn="0" w:noHBand="0" w:noVBand="1"/>
      </w:tblPr>
      <w:tblGrid>
        <w:gridCol w:w="4111"/>
        <w:gridCol w:w="992"/>
        <w:gridCol w:w="993"/>
        <w:gridCol w:w="1025"/>
        <w:gridCol w:w="1243"/>
        <w:gridCol w:w="1275"/>
      </w:tblGrid>
      <w:tr w:rsidR="00266B4B" w:rsidRPr="00266B4B" w:rsidTr="00B2348C">
        <w:trPr>
          <w:trHeight w:val="335"/>
        </w:trPr>
        <w:tc>
          <w:tcPr>
            <w:tcW w:w="4111" w:type="dxa"/>
            <w:noWrap/>
            <w:vAlign w:val="center"/>
            <w:hideMark/>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Показатель</w:t>
            </w:r>
          </w:p>
        </w:tc>
        <w:tc>
          <w:tcPr>
            <w:tcW w:w="992" w:type="dxa"/>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2014 г.</w:t>
            </w:r>
          </w:p>
        </w:tc>
        <w:tc>
          <w:tcPr>
            <w:tcW w:w="993" w:type="dxa"/>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2015 г.</w:t>
            </w:r>
          </w:p>
        </w:tc>
        <w:tc>
          <w:tcPr>
            <w:tcW w:w="1025" w:type="dxa"/>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2016 г.</w:t>
            </w:r>
          </w:p>
        </w:tc>
        <w:tc>
          <w:tcPr>
            <w:tcW w:w="1243" w:type="dxa"/>
            <w:noWrap/>
            <w:vAlign w:val="center"/>
          </w:tcPr>
          <w:p w:rsidR="00266B4B" w:rsidRPr="00266B4B" w:rsidRDefault="00266B4B" w:rsidP="00266B4B">
            <w:pPr>
              <w:widowControl w:val="0"/>
              <w:jc w:val="center"/>
              <w:rPr>
                <w:rFonts w:ascii="Times New Roman" w:hAnsi="Times New Roman"/>
                <w:sz w:val="24"/>
                <w:szCs w:val="24"/>
              </w:rPr>
            </w:pPr>
            <w:proofErr w:type="spellStart"/>
            <w:r w:rsidRPr="00266B4B">
              <w:rPr>
                <w:rFonts w:ascii="Times New Roman" w:hAnsi="Times New Roman"/>
                <w:sz w:val="24"/>
                <w:szCs w:val="24"/>
              </w:rPr>
              <w:t>Абс</w:t>
            </w:r>
            <w:proofErr w:type="spellEnd"/>
            <w:r w:rsidRPr="00266B4B">
              <w:rPr>
                <w:rFonts w:ascii="Times New Roman" w:hAnsi="Times New Roman"/>
                <w:sz w:val="24"/>
                <w:szCs w:val="24"/>
              </w:rPr>
              <w:t>. прирост</w:t>
            </w:r>
          </w:p>
          <w:p w:rsidR="00266B4B" w:rsidRPr="00266B4B" w:rsidRDefault="00266B4B" w:rsidP="00266B4B">
            <w:pPr>
              <w:widowControl w:val="0"/>
              <w:jc w:val="center"/>
              <w:rPr>
                <w:rFonts w:ascii="Times New Roman" w:hAnsi="Times New Roman"/>
                <w:sz w:val="24"/>
                <w:szCs w:val="24"/>
                <w:lang w:val="en-US"/>
              </w:rPr>
            </w:pPr>
            <w:r w:rsidRPr="00266B4B">
              <w:rPr>
                <w:rFonts w:ascii="Times New Roman" w:hAnsi="Times New Roman"/>
                <w:sz w:val="24"/>
                <w:szCs w:val="24"/>
              </w:rPr>
              <w:t>201</w:t>
            </w:r>
            <w:r w:rsidRPr="00266B4B">
              <w:rPr>
                <w:rFonts w:ascii="Times New Roman" w:hAnsi="Times New Roman"/>
                <w:sz w:val="24"/>
                <w:szCs w:val="24"/>
                <w:lang w:val="en-US"/>
              </w:rPr>
              <w:t>4/2013</w:t>
            </w:r>
          </w:p>
        </w:tc>
        <w:tc>
          <w:tcPr>
            <w:tcW w:w="1275" w:type="dxa"/>
            <w:noWrap/>
            <w:vAlign w:val="center"/>
          </w:tcPr>
          <w:p w:rsidR="00266B4B" w:rsidRPr="00266B4B" w:rsidRDefault="00266B4B" w:rsidP="00266B4B">
            <w:pPr>
              <w:widowControl w:val="0"/>
              <w:jc w:val="center"/>
              <w:rPr>
                <w:rFonts w:ascii="Times New Roman" w:hAnsi="Times New Roman"/>
                <w:sz w:val="24"/>
                <w:szCs w:val="24"/>
              </w:rPr>
            </w:pPr>
            <w:proofErr w:type="spellStart"/>
            <w:r w:rsidRPr="00266B4B">
              <w:rPr>
                <w:rFonts w:ascii="Times New Roman" w:hAnsi="Times New Roman"/>
                <w:sz w:val="24"/>
                <w:szCs w:val="24"/>
              </w:rPr>
              <w:t>Абс</w:t>
            </w:r>
            <w:proofErr w:type="spellEnd"/>
            <w:r w:rsidRPr="00266B4B">
              <w:rPr>
                <w:rFonts w:ascii="Times New Roman" w:hAnsi="Times New Roman"/>
                <w:sz w:val="24"/>
                <w:szCs w:val="24"/>
              </w:rPr>
              <w:t>. прирост</w:t>
            </w:r>
          </w:p>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w:t>
            </w:r>
            <w:r w:rsidRPr="00266B4B">
              <w:rPr>
                <w:rFonts w:ascii="Times New Roman" w:hAnsi="Times New Roman"/>
                <w:sz w:val="24"/>
                <w:szCs w:val="24"/>
                <w:lang w:val="en-US"/>
              </w:rPr>
              <w:t>5/2014</w:t>
            </w:r>
          </w:p>
        </w:tc>
      </w:tr>
      <w:tr w:rsidR="00266B4B" w:rsidRPr="00266B4B" w:rsidTr="00B2348C">
        <w:trPr>
          <w:trHeight w:val="437"/>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нормативного капитала к активам, взвешенным по риску</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15,5</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17,4</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18,7</w:t>
            </w:r>
          </w:p>
        </w:tc>
        <w:tc>
          <w:tcPr>
            <w:tcW w:w="1243" w:type="dxa"/>
            <w:noWrap/>
            <w:vAlign w:val="center"/>
          </w:tcPr>
          <w:p w:rsidR="00266B4B" w:rsidRPr="00266B4B" w:rsidRDefault="00266B4B" w:rsidP="00266B4B">
            <w:pPr>
              <w:widowControl w:val="0"/>
              <w:jc w:val="right"/>
              <w:rPr>
                <w:rFonts w:ascii="Times New Roman" w:hAnsi="Times New Roman"/>
                <w:sz w:val="24"/>
                <w:szCs w:val="24"/>
                <w:lang w:val="en-US"/>
              </w:rPr>
            </w:pPr>
            <w:r w:rsidRPr="00266B4B">
              <w:rPr>
                <w:rFonts w:ascii="Times New Roman" w:hAnsi="Times New Roman"/>
                <w:sz w:val="24"/>
                <w:szCs w:val="24"/>
              </w:rPr>
              <w:t>+</w:t>
            </w:r>
            <w:r w:rsidRPr="00266B4B">
              <w:rPr>
                <w:rFonts w:ascii="Times New Roman" w:hAnsi="Times New Roman"/>
                <w:sz w:val="24"/>
                <w:szCs w:val="24"/>
                <w:lang w:val="en-US"/>
              </w:rPr>
              <w:t>1</w:t>
            </w:r>
            <w:r w:rsidRPr="00266B4B">
              <w:rPr>
                <w:rFonts w:ascii="Times New Roman" w:hAnsi="Times New Roman"/>
                <w:sz w:val="24"/>
                <w:szCs w:val="24"/>
              </w:rPr>
              <w:t>,</w:t>
            </w:r>
            <w:r w:rsidRPr="00266B4B">
              <w:rPr>
                <w:rFonts w:ascii="Times New Roman" w:hAnsi="Times New Roman"/>
                <w:sz w:val="24"/>
                <w:szCs w:val="24"/>
                <w:lang w:val="en-US"/>
              </w:rPr>
              <w:t>9</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+1,3</w:t>
            </w:r>
          </w:p>
        </w:tc>
      </w:tr>
      <w:tr w:rsidR="00266B4B" w:rsidRPr="00266B4B" w:rsidTr="00B2348C">
        <w:trPr>
          <w:trHeight w:val="415"/>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нормативного капитала первого уровня к активам, взвешенным по риску</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11,5</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12,9</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14,7</w:t>
            </w:r>
          </w:p>
        </w:tc>
        <w:tc>
          <w:tcPr>
            <w:tcW w:w="1243"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+1,8</w:t>
            </w:r>
          </w:p>
        </w:tc>
      </w:tr>
      <w:tr w:rsidR="00266B4B" w:rsidRPr="00266B4B" w:rsidTr="00B2348C">
        <w:trPr>
          <w:trHeight w:val="549"/>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необслуживаемых кредитов и займов за вычетом созданных резервов к капиталу</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14,0</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14,6</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21,2</w:t>
            </w:r>
          </w:p>
        </w:tc>
        <w:tc>
          <w:tcPr>
            <w:tcW w:w="1243"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+0,6</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+6,6</w:t>
            </w:r>
          </w:p>
        </w:tc>
      </w:tr>
      <w:tr w:rsidR="00266B4B" w:rsidRPr="00266B4B" w:rsidTr="00B2348C">
        <w:trPr>
          <w:trHeight w:val="421"/>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 xml:space="preserve">Отношение распределения кредитов по секторам к совокупным кредитам и займам: резиденты, </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100,0</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99,6</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99,5</w:t>
            </w:r>
          </w:p>
        </w:tc>
        <w:tc>
          <w:tcPr>
            <w:tcW w:w="1243"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-0,4</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-0,1</w:t>
            </w:r>
          </w:p>
        </w:tc>
      </w:tr>
      <w:tr w:rsidR="00266B4B" w:rsidRPr="00266B4B" w:rsidTr="00B2348C">
        <w:trPr>
          <w:trHeight w:val="277"/>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Норма прибыли на активы</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2,3</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2,1</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1,3</w:t>
            </w:r>
          </w:p>
        </w:tc>
        <w:tc>
          <w:tcPr>
            <w:tcW w:w="1243"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-0,2</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-0,8</w:t>
            </w:r>
          </w:p>
        </w:tc>
      </w:tr>
      <w:tr w:rsidR="00266B4B" w:rsidRPr="00266B4B" w:rsidTr="00B2348C">
        <w:trPr>
          <w:trHeight w:val="268"/>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Норма прибыли на собственный капитал</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16,2</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15,3</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10,4</w:t>
            </w:r>
          </w:p>
        </w:tc>
        <w:tc>
          <w:tcPr>
            <w:tcW w:w="1243"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-0,9</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-4,9</w:t>
            </w:r>
          </w:p>
        </w:tc>
      </w:tr>
      <w:tr w:rsidR="00266B4B" w:rsidRPr="00266B4B" w:rsidTr="00B2348C">
        <w:trPr>
          <w:trHeight w:val="421"/>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ликвидных активов к совокупным активам (коэффициент ликвидных активов)</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30,0</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29,7</w:t>
            </w:r>
          </w:p>
        </w:tc>
        <w:tc>
          <w:tcPr>
            <w:tcW w:w="1025"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26,0</w:t>
            </w:r>
          </w:p>
        </w:tc>
        <w:tc>
          <w:tcPr>
            <w:tcW w:w="1243"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-0,3</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-3,7</w:t>
            </w:r>
          </w:p>
        </w:tc>
      </w:tr>
      <w:tr w:rsidR="00266B4B" w:rsidRPr="00266B4B" w:rsidTr="00B2348C">
        <w:trPr>
          <w:trHeight w:val="272"/>
        </w:trPr>
        <w:tc>
          <w:tcPr>
            <w:tcW w:w="4111" w:type="dxa"/>
            <w:tcBorders>
              <w:bottom w:val="single" w:sz="4" w:space="0" w:color="auto"/>
            </w:tcBorders>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ликвидных активов к краткосрочным обязательствам</w:t>
            </w:r>
          </w:p>
        </w:tc>
        <w:tc>
          <w:tcPr>
            <w:tcW w:w="992" w:type="dxa"/>
            <w:tcBorders>
              <w:bottom w:val="single" w:sz="4" w:space="0" w:color="auto"/>
            </w:tcBorders>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89,6</w:t>
            </w:r>
          </w:p>
        </w:tc>
        <w:tc>
          <w:tcPr>
            <w:tcW w:w="993" w:type="dxa"/>
            <w:tcBorders>
              <w:bottom w:val="single" w:sz="4" w:space="0" w:color="auto"/>
            </w:tcBorders>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89,9</w:t>
            </w:r>
          </w:p>
        </w:tc>
        <w:tc>
          <w:tcPr>
            <w:tcW w:w="1025" w:type="dxa"/>
            <w:tcBorders>
              <w:bottom w:val="single" w:sz="4" w:space="0" w:color="auto"/>
            </w:tcBorders>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75,8</w:t>
            </w:r>
          </w:p>
        </w:tc>
        <w:tc>
          <w:tcPr>
            <w:tcW w:w="1243" w:type="dxa"/>
            <w:tcBorders>
              <w:bottom w:val="single" w:sz="4" w:space="0" w:color="auto"/>
            </w:tcBorders>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+0,3</w:t>
            </w:r>
          </w:p>
        </w:tc>
        <w:tc>
          <w:tcPr>
            <w:tcW w:w="1275" w:type="dxa"/>
            <w:tcBorders>
              <w:bottom w:val="single" w:sz="4" w:space="0" w:color="auto"/>
            </w:tcBorders>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-14,1</w:t>
            </w:r>
          </w:p>
        </w:tc>
      </w:tr>
      <w:tr w:rsidR="00266B4B" w:rsidRPr="00266B4B" w:rsidTr="00B2348C">
        <w:trPr>
          <w:trHeight w:val="278"/>
        </w:trPr>
        <w:tc>
          <w:tcPr>
            <w:tcW w:w="4111" w:type="dxa"/>
            <w:tcBorders>
              <w:bottom w:val="single" w:sz="4" w:space="0" w:color="auto"/>
            </w:tcBorders>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чистой открытой валютной позиции к капиталу</w:t>
            </w:r>
          </w:p>
        </w:tc>
        <w:tc>
          <w:tcPr>
            <w:tcW w:w="992" w:type="dxa"/>
            <w:tcBorders>
              <w:bottom w:val="single" w:sz="4" w:space="0" w:color="auto"/>
            </w:tcBorders>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11,3</w:t>
            </w:r>
          </w:p>
        </w:tc>
        <w:tc>
          <w:tcPr>
            <w:tcW w:w="993" w:type="dxa"/>
            <w:tcBorders>
              <w:bottom w:val="single" w:sz="4" w:space="0" w:color="auto"/>
            </w:tcBorders>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9,1</w:t>
            </w:r>
          </w:p>
        </w:tc>
        <w:tc>
          <w:tcPr>
            <w:tcW w:w="1025" w:type="dxa"/>
            <w:tcBorders>
              <w:bottom w:val="single" w:sz="4" w:space="0" w:color="auto"/>
            </w:tcBorders>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4,4</w:t>
            </w:r>
          </w:p>
        </w:tc>
        <w:tc>
          <w:tcPr>
            <w:tcW w:w="1243" w:type="dxa"/>
            <w:tcBorders>
              <w:bottom w:val="single" w:sz="4" w:space="0" w:color="auto"/>
            </w:tcBorders>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-2,2</w:t>
            </w:r>
          </w:p>
        </w:tc>
        <w:tc>
          <w:tcPr>
            <w:tcW w:w="1275" w:type="dxa"/>
            <w:tcBorders>
              <w:bottom w:val="single" w:sz="4" w:space="0" w:color="auto"/>
            </w:tcBorders>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-4,7</w:t>
            </w:r>
          </w:p>
        </w:tc>
      </w:tr>
    </w:tbl>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6B4B">
        <w:rPr>
          <w:rFonts w:ascii="Times New Roman" w:eastAsia="Times New Roman" w:hAnsi="Times New Roman" w:cs="Times New Roman"/>
          <w:sz w:val="28"/>
          <w:szCs w:val="28"/>
          <w:shd w:val="clear" w:color="auto" w:fill="FFFFFF"/>
          <w:lang w:eastAsia="ru-RU"/>
        </w:rPr>
        <w:t>Источник: собственная разработка на основе данных [2]</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6B4B">
        <w:rPr>
          <w:rFonts w:ascii="Times New Roman" w:eastAsia="Times New Roman" w:hAnsi="Times New Roman" w:cs="Times New Roman"/>
          <w:sz w:val="28"/>
          <w:szCs w:val="28"/>
          <w:lang w:eastAsia="ru-RU"/>
        </w:rPr>
        <w:t xml:space="preserve">Первый показатель в таблице 1 представляет собой коэффициент достаточности собственного капитала, и он является главным элементом </w:t>
      </w:r>
      <w:proofErr w:type="spellStart"/>
      <w:r w:rsidRPr="00266B4B">
        <w:rPr>
          <w:rFonts w:ascii="Times New Roman" w:eastAsia="Times New Roman" w:hAnsi="Times New Roman" w:cs="Times New Roman"/>
          <w:sz w:val="28"/>
          <w:szCs w:val="28"/>
          <w:lang w:eastAsia="ru-RU"/>
        </w:rPr>
        <w:t>Базельского</w:t>
      </w:r>
      <w:proofErr w:type="spellEnd"/>
      <w:r w:rsidRPr="00266B4B">
        <w:rPr>
          <w:rFonts w:ascii="Times New Roman" w:eastAsia="Times New Roman" w:hAnsi="Times New Roman" w:cs="Times New Roman"/>
          <w:sz w:val="28"/>
          <w:szCs w:val="28"/>
          <w:lang w:eastAsia="ru-RU"/>
        </w:rPr>
        <w:t xml:space="preserve"> соглашения о норме собственного капитала. Данный показатель увеличивается в рассмотренном промежутке, что является хорошей тенденцией, поскольку показывает прочность капитала. </w:t>
      </w:r>
      <w:r w:rsidRPr="00266B4B">
        <w:rPr>
          <w:rFonts w:ascii="Times New Roman" w:eastAsia="Times New Roman" w:hAnsi="Times New Roman" w:cs="Times New Roman"/>
          <w:sz w:val="28"/>
          <w:szCs w:val="28"/>
          <w:shd w:val="clear" w:color="auto" w:fill="FFFFFF"/>
          <w:lang w:eastAsia="ru-RU"/>
        </w:rPr>
        <w:t xml:space="preserve">Отношение необслуживаемых кредитов к капиталу позволяет выявить возможность </w:t>
      </w:r>
      <w:r w:rsidRPr="00266B4B">
        <w:rPr>
          <w:rFonts w:ascii="Times New Roman" w:eastAsia="Times New Roman" w:hAnsi="Times New Roman" w:cs="Times New Roman"/>
          <w:sz w:val="28"/>
          <w:szCs w:val="28"/>
          <w:shd w:val="clear" w:color="auto" w:fill="FFFFFF"/>
          <w:lang w:eastAsia="ru-RU"/>
        </w:rPr>
        <w:lastRenderedPageBreak/>
        <w:t xml:space="preserve">покрытия банком убытков, прежде чем сектор окажется в состоянии технической неплатежеспособности, показатель увеличивается, что расценивается как хороший результат. Доля распределения кредитов по секторам в общем объеме кредитов дает возможность выявить степень концентрации кредитов, выданных тому или иному сектору. В нашем случае показатель достаточно высок, но имеет тенденцию к понижению, однако не стоит допускать слишком высокого уровня данного показателя, потому что это приведет к росту зависимости банка от ситуации в данной отрасли экономики: экономической активности, ценовой политики, рентабельности, зависимости от внешних рынков </w:t>
      </w:r>
      <w:proofErr w:type="gramStart"/>
      <w:r w:rsidRPr="00266B4B">
        <w:rPr>
          <w:rFonts w:ascii="Times New Roman" w:eastAsia="Times New Roman" w:hAnsi="Times New Roman" w:cs="Times New Roman"/>
          <w:sz w:val="28"/>
          <w:szCs w:val="28"/>
          <w:shd w:val="clear" w:color="auto" w:fill="FFFFFF"/>
          <w:lang w:eastAsia="ru-RU"/>
        </w:rPr>
        <w:t>и  т.д.</w:t>
      </w:r>
      <w:proofErr w:type="gramEnd"/>
      <w:r w:rsidRPr="00266B4B">
        <w:rPr>
          <w:rFonts w:ascii="Times New Roman" w:eastAsia="Times New Roman" w:hAnsi="Times New Roman" w:cs="Times New Roman"/>
          <w:sz w:val="28"/>
          <w:szCs w:val="28"/>
          <w:shd w:val="clear" w:color="auto" w:fill="FFFFFF"/>
          <w:lang w:eastAsia="ru-RU"/>
        </w:rPr>
        <w:t xml:space="preserve"> </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6B4B">
        <w:rPr>
          <w:rFonts w:ascii="Times New Roman" w:eastAsia="Times New Roman" w:hAnsi="Times New Roman" w:cs="Times New Roman"/>
          <w:sz w:val="28"/>
          <w:szCs w:val="28"/>
          <w:shd w:val="clear" w:color="auto" w:fill="FFFFFF"/>
          <w:lang w:eastAsia="ru-RU"/>
        </w:rPr>
        <w:t xml:space="preserve">Норма прибыли на активы и собственный капитал в рассмотренном промежутке понижается, что не говорит об улучшении качества работы банковского сектора и повышении его финансовой устойчивости. Что касается отношения чистой открытой валютной позиции к капиталу, то здесь наблюдается тенденция к понижению, что расценивается как хорошая динамика данного показателя, потому что данный показатель показывает степень зависимости банков от динамики обменного курса, то есть подверженность валютному риску. </w:t>
      </w:r>
    </w:p>
    <w:p w:rsidR="00266B4B" w:rsidRPr="00266B4B" w:rsidRDefault="00266B4B" w:rsidP="00266B4B">
      <w:pPr>
        <w:widowControl w:val="0"/>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Далее рассмотрим динамику рекомендованных показателей в соответствии с методикой МВФ (таблица 2). Пропуски отражают динамику внедрения новых показателей для оценки финансовой устойчивости банковского сектора страны.</w:t>
      </w:r>
    </w:p>
    <w:p w:rsidR="00266B4B" w:rsidRPr="00266B4B" w:rsidRDefault="00266B4B" w:rsidP="00266B4B">
      <w:pPr>
        <w:widowControl w:val="0"/>
        <w:spacing w:after="0" w:line="240" w:lineRule="auto"/>
        <w:ind w:firstLine="567"/>
        <w:jc w:val="right"/>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Таблица 2</w:t>
      </w:r>
    </w:p>
    <w:p w:rsidR="00266B4B" w:rsidRPr="00266B4B" w:rsidRDefault="00266B4B" w:rsidP="00266B4B">
      <w:pPr>
        <w:widowControl w:val="0"/>
        <w:spacing w:after="0" w:line="240" w:lineRule="auto"/>
        <w:ind w:firstLine="567"/>
        <w:jc w:val="center"/>
        <w:rPr>
          <w:rFonts w:ascii="Times New Roman" w:eastAsia="Times New Roman" w:hAnsi="Times New Roman" w:cs="Times New Roman"/>
          <w:sz w:val="28"/>
          <w:szCs w:val="28"/>
          <w:lang w:eastAsia="ru-RU"/>
        </w:rPr>
      </w:pPr>
      <w:r w:rsidRPr="00266B4B">
        <w:rPr>
          <w:rFonts w:ascii="Times New Roman" w:eastAsia="Times New Roman" w:hAnsi="Times New Roman" w:cs="Times New Roman"/>
          <w:sz w:val="28"/>
          <w:szCs w:val="28"/>
          <w:lang w:eastAsia="ru-RU"/>
        </w:rPr>
        <w:t xml:space="preserve">Динамика рекомендованных показателей финансовой устойчивости банковского сектора согласно </w:t>
      </w:r>
      <w:proofErr w:type="gramStart"/>
      <w:r w:rsidRPr="00266B4B">
        <w:rPr>
          <w:rFonts w:ascii="Times New Roman" w:eastAsia="Times New Roman" w:hAnsi="Times New Roman" w:cs="Times New Roman"/>
          <w:sz w:val="28"/>
          <w:szCs w:val="28"/>
          <w:lang w:eastAsia="ru-RU"/>
        </w:rPr>
        <w:t>методике МВФ</w:t>
      </w:r>
      <w:proofErr w:type="gramEnd"/>
      <w:r w:rsidRPr="00266B4B">
        <w:rPr>
          <w:rFonts w:ascii="Times New Roman" w:eastAsia="Times New Roman" w:hAnsi="Times New Roman" w:cs="Times New Roman"/>
          <w:sz w:val="28"/>
          <w:szCs w:val="28"/>
          <w:lang w:eastAsia="ru-RU"/>
        </w:rPr>
        <w:t xml:space="preserve"> на 01.01</w:t>
      </w:r>
    </w:p>
    <w:tbl>
      <w:tblPr>
        <w:tblStyle w:val="a3"/>
        <w:tblW w:w="9639" w:type="dxa"/>
        <w:tblInd w:w="108" w:type="dxa"/>
        <w:tblLayout w:type="fixed"/>
        <w:tblLook w:val="04A0" w:firstRow="1" w:lastRow="0" w:firstColumn="1" w:lastColumn="0" w:noHBand="0" w:noVBand="1"/>
      </w:tblPr>
      <w:tblGrid>
        <w:gridCol w:w="4111"/>
        <w:gridCol w:w="992"/>
        <w:gridCol w:w="993"/>
        <w:gridCol w:w="992"/>
        <w:gridCol w:w="1276"/>
        <w:gridCol w:w="1275"/>
      </w:tblGrid>
      <w:tr w:rsidR="00266B4B" w:rsidRPr="00266B4B" w:rsidTr="00B2348C">
        <w:trPr>
          <w:trHeight w:val="377"/>
        </w:trPr>
        <w:tc>
          <w:tcPr>
            <w:tcW w:w="4111" w:type="dxa"/>
            <w:noWrap/>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Показатель</w:t>
            </w:r>
          </w:p>
        </w:tc>
        <w:tc>
          <w:tcPr>
            <w:tcW w:w="992" w:type="dxa"/>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2014 г.</w:t>
            </w:r>
          </w:p>
        </w:tc>
        <w:tc>
          <w:tcPr>
            <w:tcW w:w="993" w:type="dxa"/>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2015 г.</w:t>
            </w:r>
          </w:p>
        </w:tc>
        <w:tc>
          <w:tcPr>
            <w:tcW w:w="992" w:type="dxa"/>
            <w:vAlign w:val="center"/>
          </w:tcPr>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2015 г.</w:t>
            </w:r>
          </w:p>
        </w:tc>
        <w:tc>
          <w:tcPr>
            <w:tcW w:w="1276" w:type="dxa"/>
            <w:vAlign w:val="center"/>
          </w:tcPr>
          <w:p w:rsidR="00266B4B" w:rsidRPr="00266B4B" w:rsidRDefault="00266B4B" w:rsidP="00266B4B">
            <w:pPr>
              <w:widowControl w:val="0"/>
              <w:jc w:val="center"/>
              <w:rPr>
                <w:rFonts w:ascii="Times New Roman" w:hAnsi="Times New Roman"/>
                <w:sz w:val="24"/>
                <w:szCs w:val="24"/>
              </w:rPr>
            </w:pPr>
            <w:proofErr w:type="spellStart"/>
            <w:r w:rsidRPr="00266B4B">
              <w:rPr>
                <w:rFonts w:ascii="Times New Roman" w:hAnsi="Times New Roman"/>
                <w:sz w:val="24"/>
                <w:szCs w:val="24"/>
              </w:rPr>
              <w:t>Абс</w:t>
            </w:r>
            <w:proofErr w:type="spellEnd"/>
            <w:r w:rsidRPr="00266B4B">
              <w:rPr>
                <w:rFonts w:ascii="Times New Roman" w:hAnsi="Times New Roman"/>
                <w:sz w:val="24"/>
                <w:szCs w:val="24"/>
              </w:rPr>
              <w:t>. прирост</w:t>
            </w:r>
          </w:p>
          <w:p w:rsidR="00266B4B" w:rsidRPr="00266B4B" w:rsidRDefault="00266B4B" w:rsidP="00266B4B">
            <w:pPr>
              <w:widowControl w:val="0"/>
              <w:jc w:val="center"/>
              <w:rPr>
                <w:rFonts w:ascii="Times New Roman" w:hAnsi="Times New Roman"/>
                <w:sz w:val="24"/>
                <w:szCs w:val="24"/>
                <w:lang w:val="en-US"/>
              </w:rPr>
            </w:pPr>
            <w:r w:rsidRPr="00266B4B">
              <w:rPr>
                <w:rFonts w:ascii="Times New Roman" w:hAnsi="Times New Roman"/>
                <w:sz w:val="24"/>
                <w:szCs w:val="24"/>
              </w:rPr>
              <w:t>201</w:t>
            </w:r>
            <w:r w:rsidRPr="00266B4B">
              <w:rPr>
                <w:rFonts w:ascii="Times New Roman" w:hAnsi="Times New Roman"/>
                <w:sz w:val="24"/>
                <w:szCs w:val="24"/>
                <w:lang w:val="en-US"/>
              </w:rPr>
              <w:t>4/2013</w:t>
            </w:r>
          </w:p>
        </w:tc>
        <w:tc>
          <w:tcPr>
            <w:tcW w:w="1275" w:type="dxa"/>
            <w:vAlign w:val="center"/>
          </w:tcPr>
          <w:p w:rsidR="00266B4B" w:rsidRPr="00266B4B" w:rsidRDefault="00266B4B" w:rsidP="00266B4B">
            <w:pPr>
              <w:widowControl w:val="0"/>
              <w:jc w:val="center"/>
              <w:rPr>
                <w:rFonts w:ascii="Times New Roman" w:hAnsi="Times New Roman"/>
                <w:sz w:val="24"/>
                <w:szCs w:val="24"/>
              </w:rPr>
            </w:pPr>
            <w:proofErr w:type="spellStart"/>
            <w:r w:rsidRPr="00266B4B">
              <w:rPr>
                <w:rFonts w:ascii="Times New Roman" w:hAnsi="Times New Roman"/>
                <w:sz w:val="24"/>
                <w:szCs w:val="24"/>
              </w:rPr>
              <w:t>Абс</w:t>
            </w:r>
            <w:proofErr w:type="spellEnd"/>
            <w:r w:rsidRPr="00266B4B">
              <w:rPr>
                <w:rFonts w:ascii="Times New Roman" w:hAnsi="Times New Roman"/>
                <w:sz w:val="24"/>
                <w:szCs w:val="24"/>
              </w:rPr>
              <w:t>. прирост</w:t>
            </w:r>
          </w:p>
          <w:p w:rsidR="00266B4B" w:rsidRPr="00266B4B" w:rsidRDefault="00266B4B" w:rsidP="00266B4B">
            <w:pPr>
              <w:widowControl w:val="0"/>
              <w:jc w:val="center"/>
              <w:rPr>
                <w:rFonts w:ascii="Times New Roman" w:hAnsi="Times New Roman"/>
                <w:sz w:val="24"/>
                <w:szCs w:val="24"/>
              </w:rPr>
            </w:pPr>
            <w:r w:rsidRPr="00266B4B">
              <w:rPr>
                <w:rFonts w:ascii="Times New Roman" w:hAnsi="Times New Roman"/>
                <w:sz w:val="24"/>
                <w:szCs w:val="24"/>
              </w:rPr>
              <w:t>201</w:t>
            </w:r>
            <w:r w:rsidRPr="00266B4B">
              <w:rPr>
                <w:rFonts w:ascii="Times New Roman" w:hAnsi="Times New Roman"/>
                <w:sz w:val="24"/>
                <w:szCs w:val="24"/>
                <w:lang w:val="en-US"/>
              </w:rPr>
              <w:t>5/2014</w:t>
            </w:r>
          </w:p>
        </w:tc>
      </w:tr>
      <w:tr w:rsidR="00266B4B" w:rsidRPr="00266B4B" w:rsidTr="00B2348C">
        <w:trPr>
          <w:trHeight w:val="273"/>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капитала к активам</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14,0</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13,3</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12,8</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-0,7</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-0,5</w:t>
            </w:r>
          </w:p>
        </w:tc>
      </w:tr>
      <w:tr w:rsidR="00266B4B" w:rsidRPr="00266B4B" w:rsidTr="00B2348C">
        <w:trPr>
          <w:trHeight w:val="392"/>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крупных открытых позиций к капиталу</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127,6</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140,7</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193,8</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+13,1</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+53,1</w:t>
            </w:r>
          </w:p>
        </w:tc>
      </w:tr>
      <w:tr w:rsidR="00266B4B" w:rsidRPr="00266B4B" w:rsidTr="00B2348C">
        <w:trPr>
          <w:trHeight w:val="419"/>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расходов на персонал к непроцентным расходам</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6,1</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5,4</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-0,7</w:t>
            </w:r>
          </w:p>
        </w:tc>
      </w:tr>
      <w:tr w:rsidR="00266B4B" w:rsidRPr="00266B4B" w:rsidTr="00B2348C">
        <w:trPr>
          <w:trHeight w:val="395"/>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Спред между максимальной и минимальной межбанковскими ставками, базисных пунктов</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4 050,0</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1 170,0</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-2 880</w:t>
            </w:r>
          </w:p>
        </w:tc>
      </w:tr>
      <w:tr w:rsidR="00266B4B" w:rsidRPr="00266B4B" w:rsidTr="00B2348C">
        <w:trPr>
          <w:trHeight w:val="404"/>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депозитов клиентов к совокупным кредитам и займам (без межбанковских)</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81,1</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87,6</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+6,5</w:t>
            </w:r>
          </w:p>
        </w:tc>
      </w:tr>
      <w:tr w:rsidR="00266B4B" w:rsidRPr="00266B4B" w:rsidTr="00B2348C">
        <w:trPr>
          <w:trHeight w:val="426"/>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валютных кредитов и займов к совокупным кредитам и займам</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51,3</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52,3</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58,1</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+1,0</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+5,8</w:t>
            </w:r>
          </w:p>
        </w:tc>
      </w:tr>
      <w:tr w:rsidR="00266B4B" w:rsidRPr="00266B4B" w:rsidTr="00B2348C">
        <w:trPr>
          <w:trHeight w:val="401"/>
        </w:trPr>
        <w:tc>
          <w:tcPr>
            <w:tcW w:w="4111" w:type="dxa"/>
            <w:hideMark/>
          </w:tcPr>
          <w:p w:rsidR="00266B4B" w:rsidRPr="00266B4B" w:rsidRDefault="00266B4B" w:rsidP="00266B4B">
            <w:pPr>
              <w:widowControl w:val="0"/>
              <w:rPr>
                <w:rFonts w:ascii="Times New Roman" w:hAnsi="Times New Roman"/>
                <w:sz w:val="24"/>
                <w:szCs w:val="24"/>
              </w:rPr>
            </w:pPr>
            <w:r w:rsidRPr="00266B4B">
              <w:rPr>
                <w:rFonts w:ascii="Times New Roman" w:hAnsi="Times New Roman"/>
                <w:sz w:val="24"/>
                <w:szCs w:val="24"/>
              </w:rPr>
              <w:t>Отношение валютных обязательств к совокупным обязательствам</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63,5</w:t>
            </w:r>
          </w:p>
        </w:tc>
        <w:tc>
          <w:tcPr>
            <w:tcW w:w="993"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63,3</w:t>
            </w:r>
          </w:p>
        </w:tc>
        <w:tc>
          <w:tcPr>
            <w:tcW w:w="992" w:type="dxa"/>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74,1</w:t>
            </w:r>
          </w:p>
        </w:tc>
        <w:tc>
          <w:tcPr>
            <w:tcW w:w="1276"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-0,2</w:t>
            </w:r>
          </w:p>
        </w:tc>
        <w:tc>
          <w:tcPr>
            <w:tcW w:w="1275" w:type="dxa"/>
            <w:noWrap/>
            <w:vAlign w:val="center"/>
          </w:tcPr>
          <w:p w:rsidR="00266B4B" w:rsidRPr="00266B4B" w:rsidRDefault="00266B4B" w:rsidP="00266B4B">
            <w:pPr>
              <w:widowControl w:val="0"/>
              <w:jc w:val="right"/>
              <w:rPr>
                <w:rFonts w:ascii="Times New Roman" w:hAnsi="Times New Roman"/>
                <w:sz w:val="24"/>
                <w:szCs w:val="24"/>
              </w:rPr>
            </w:pPr>
            <w:r w:rsidRPr="00266B4B">
              <w:rPr>
                <w:rFonts w:ascii="Times New Roman" w:hAnsi="Times New Roman"/>
                <w:sz w:val="24"/>
                <w:szCs w:val="24"/>
              </w:rPr>
              <w:t>+10,8</w:t>
            </w:r>
          </w:p>
        </w:tc>
      </w:tr>
    </w:tbl>
    <w:p w:rsidR="00266B4B" w:rsidRPr="00266B4B" w:rsidRDefault="00266B4B" w:rsidP="00266B4B">
      <w:pPr>
        <w:widowControl w:val="0"/>
        <w:tabs>
          <w:tab w:val="left" w:pos="709"/>
        </w:tabs>
        <w:spacing w:after="0" w:line="240" w:lineRule="auto"/>
        <w:ind w:firstLine="709"/>
        <w:jc w:val="both"/>
        <w:rPr>
          <w:rFonts w:ascii="Times New Roman" w:eastAsia="Times New Roman" w:hAnsi="Times New Roman" w:cs="Times New Roman"/>
          <w:sz w:val="16"/>
          <w:szCs w:val="16"/>
          <w:shd w:val="clear" w:color="auto" w:fill="FFFFFF"/>
          <w:lang w:eastAsia="ru-RU"/>
        </w:rPr>
      </w:pPr>
    </w:p>
    <w:p w:rsidR="00266B4B" w:rsidRPr="00266B4B" w:rsidRDefault="00266B4B" w:rsidP="00266B4B">
      <w:pPr>
        <w:widowControl w:val="0"/>
        <w:tabs>
          <w:tab w:val="left" w:pos="709"/>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6B4B">
        <w:rPr>
          <w:rFonts w:ascii="Times New Roman" w:eastAsia="Times New Roman" w:hAnsi="Times New Roman" w:cs="Times New Roman"/>
          <w:sz w:val="28"/>
          <w:szCs w:val="28"/>
          <w:shd w:val="clear" w:color="auto" w:fill="FFFFFF"/>
          <w:lang w:eastAsia="ru-RU"/>
        </w:rPr>
        <w:t>Источник: собственная разработка на основе данных [2]</w:t>
      </w:r>
    </w:p>
    <w:p w:rsidR="00266B4B" w:rsidRPr="00266B4B" w:rsidRDefault="00266B4B" w:rsidP="00266B4B">
      <w:pPr>
        <w:widowControl w:val="0"/>
        <w:tabs>
          <w:tab w:val="left" w:pos="709"/>
        </w:tabs>
        <w:spacing w:after="0" w:line="240" w:lineRule="auto"/>
        <w:ind w:firstLine="709"/>
        <w:jc w:val="both"/>
        <w:rPr>
          <w:rFonts w:ascii="Times New Roman" w:eastAsia="Times New Roman" w:hAnsi="Times New Roman" w:cs="Times New Roman"/>
          <w:sz w:val="16"/>
          <w:szCs w:val="16"/>
          <w:shd w:val="clear" w:color="auto" w:fill="FFFFFF"/>
          <w:lang w:eastAsia="ru-RU"/>
        </w:rPr>
      </w:pPr>
    </w:p>
    <w:p w:rsidR="00266B4B" w:rsidRPr="00266B4B" w:rsidRDefault="00266B4B" w:rsidP="00266B4B">
      <w:pPr>
        <w:widowControl w:val="0"/>
        <w:tabs>
          <w:tab w:val="left" w:pos="709"/>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6B4B">
        <w:rPr>
          <w:rFonts w:ascii="Times New Roman" w:eastAsia="Times New Roman" w:hAnsi="Times New Roman" w:cs="Times New Roman"/>
          <w:sz w:val="28"/>
          <w:szCs w:val="28"/>
          <w:shd w:val="clear" w:color="auto" w:fill="FFFFFF"/>
          <w:lang w:eastAsia="ru-RU"/>
        </w:rPr>
        <w:t xml:space="preserve">По данным таблицы 2 можно сделать следующие выводы. Отношение </w:t>
      </w:r>
      <w:r w:rsidRPr="00266B4B">
        <w:rPr>
          <w:rFonts w:ascii="Times New Roman" w:eastAsia="Times New Roman" w:hAnsi="Times New Roman" w:cs="Times New Roman"/>
          <w:sz w:val="28"/>
          <w:szCs w:val="28"/>
          <w:shd w:val="clear" w:color="auto" w:fill="FFFFFF"/>
          <w:lang w:eastAsia="ru-RU"/>
        </w:rPr>
        <w:lastRenderedPageBreak/>
        <w:t xml:space="preserve">капитала к активам снижается, что является хорошей тенденцией. Отношение расходов на персонал к непроцентным расходам также снижается, что снова является хорошим признаком для банковского сектора. </w:t>
      </w:r>
      <w:r w:rsidRPr="00266B4B">
        <w:rPr>
          <w:rFonts w:ascii="Times New Roman" w:eastAsia="Times New Roman" w:hAnsi="Times New Roman" w:cs="Times New Roman"/>
          <w:sz w:val="28"/>
          <w:szCs w:val="28"/>
          <w:lang w:eastAsia="ru-RU"/>
        </w:rPr>
        <w:t xml:space="preserve">Спред между максимальной и минимальной межбанковскими ставками снижается, и это характеризуется как положительная направленность данного </w:t>
      </w:r>
      <w:proofErr w:type="spellStart"/>
      <w:proofErr w:type="gramStart"/>
      <w:r w:rsidRPr="00266B4B">
        <w:rPr>
          <w:rFonts w:ascii="Times New Roman" w:eastAsia="Times New Roman" w:hAnsi="Times New Roman" w:cs="Times New Roman"/>
          <w:sz w:val="28"/>
          <w:szCs w:val="28"/>
          <w:lang w:eastAsia="ru-RU"/>
        </w:rPr>
        <w:t>показателя.Как</w:t>
      </w:r>
      <w:proofErr w:type="spellEnd"/>
      <w:proofErr w:type="gramEnd"/>
      <w:r w:rsidRPr="00266B4B">
        <w:rPr>
          <w:rFonts w:ascii="Times New Roman" w:eastAsia="Times New Roman" w:hAnsi="Times New Roman" w:cs="Times New Roman"/>
          <w:sz w:val="28"/>
          <w:szCs w:val="28"/>
          <w:lang w:eastAsia="ru-RU"/>
        </w:rPr>
        <w:t xml:space="preserve"> видно из таблицы 2 в последние три года было добавлено значительное количество новых показателей. На наш взгляд, это связано с возникшей заинтересованностью высших органов власти по данным позициям в рамках современных тенденций развития банковской системы страны. </w:t>
      </w:r>
    </w:p>
    <w:p w:rsidR="00266B4B" w:rsidRPr="00266B4B" w:rsidRDefault="00266B4B" w:rsidP="00266B4B">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266B4B">
        <w:rPr>
          <w:rFonts w:ascii="Times New Roman" w:eastAsia="Times New Roman" w:hAnsi="Times New Roman" w:cs="Times New Roman"/>
          <w:b/>
          <w:sz w:val="28"/>
          <w:szCs w:val="28"/>
          <w:lang w:eastAsia="ru-RU"/>
        </w:rPr>
        <w:t>Выводы</w:t>
      </w:r>
      <w:r w:rsidRPr="00266B4B">
        <w:rPr>
          <w:rFonts w:ascii="Times New Roman" w:eastAsia="Times New Roman" w:hAnsi="Times New Roman" w:cs="Times New Roman"/>
          <w:sz w:val="28"/>
          <w:szCs w:val="28"/>
          <w:lang w:eastAsia="ru-RU"/>
        </w:rPr>
        <w:t>. В заключении отметим, что, несмотря на определенный прогресс в формировании системы анализа финансовой устойчивости банковского сектора, используемой Национальным банком Республики Беларусь, инструментарий нуждается в дальнейшем совершенствовании и развитии. В целом Национальный банк Республики Беларусь проводит последовательную работу, направленную на формирование эффективной системы обеспечения устойчивости банковского сектора, привнося тем самым вклад в поддержание финансовой стабильности в экономике Беларуси. Необходимо использовать зарубежный опыт, безусловно, адаптируя его по национальное законодательство и особенности экономического развития.</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4141"/>
        <w:gridCol w:w="4553"/>
      </w:tblGrid>
      <w:tr w:rsidR="00266B4B" w:rsidRPr="00266B4B" w:rsidTr="00B2348C">
        <w:tc>
          <w:tcPr>
            <w:tcW w:w="4819" w:type="dxa"/>
            <w:gridSpan w:val="2"/>
          </w:tcPr>
          <w:p w:rsidR="00266B4B" w:rsidRPr="00266B4B" w:rsidRDefault="00266B4B" w:rsidP="00266B4B">
            <w:pPr>
              <w:widowControl w:val="0"/>
              <w:jc w:val="both"/>
              <w:rPr>
                <w:rFonts w:ascii="Times New Roman" w:hAnsi="Times New Roman"/>
                <w:sz w:val="28"/>
                <w:szCs w:val="28"/>
              </w:rPr>
            </w:pPr>
          </w:p>
        </w:tc>
        <w:tc>
          <w:tcPr>
            <w:tcW w:w="4820" w:type="dxa"/>
          </w:tcPr>
          <w:p w:rsidR="00266B4B" w:rsidRPr="00266B4B" w:rsidRDefault="00266B4B" w:rsidP="00266B4B">
            <w:pPr>
              <w:widowControl w:val="0"/>
              <w:jc w:val="both"/>
              <w:rPr>
                <w:rFonts w:ascii="Times New Roman" w:hAnsi="Times New Roman"/>
                <w:sz w:val="28"/>
                <w:szCs w:val="28"/>
              </w:rPr>
            </w:pPr>
          </w:p>
        </w:tc>
      </w:tr>
      <w:tr w:rsidR="00266B4B" w:rsidRPr="00266B4B" w:rsidTr="00B2348C">
        <w:tc>
          <w:tcPr>
            <w:tcW w:w="9639" w:type="dxa"/>
            <w:gridSpan w:val="3"/>
          </w:tcPr>
          <w:p w:rsidR="00266B4B" w:rsidRPr="00266B4B" w:rsidRDefault="00266B4B" w:rsidP="00266B4B">
            <w:pPr>
              <w:widowControl w:val="0"/>
              <w:jc w:val="center"/>
              <w:rPr>
                <w:rFonts w:ascii="Times New Roman" w:hAnsi="Times New Roman"/>
                <w:sz w:val="28"/>
                <w:szCs w:val="28"/>
              </w:rPr>
            </w:pPr>
            <w:r w:rsidRPr="00266B4B">
              <w:rPr>
                <w:rFonts w:ascii="Times New Roman" w:hAnsi="Times New Roman"/>
                <w:b/>
                <w:sz w:val="28"/>
                <w:szCs w:val="28"/>
              </w:rPr>
              <w:t>Список литературы</w:t>
            </w:r>
          </w:p>
        </w:tc>
      </w:tr>
      <w:tr w:rsidR="00266B4B" w:rsidRPr="00266B4B" w:rsidTr="00B2348C">
        <w:tc>
          <w:tcPr>
            <w:tcW w:w="567" w:type="dxa"/>
          </w:tcPr>
          <w:p w:rsidR="00266B4B" w:rsidRPr="00266B4B" w:rsidRDefault="00266B4B" w:rsidP="00266B4B">
            <w:pPr>
              <w:widowControl w:val="0"/>
              <w:numPr>
                <w:ilvl w:val="0"/>
                <w:numId w:val="1"/>
              </w:numPr>
              <w:contextualSpacing/>
              <w:jc w:val="both"/>
              <w:rPr>
                <w:rFonts w:ascii="Times New Roman" w:hAnsi="Times New Roman"/>
                <w:sz w:val="24"/>
                <w:szCs w:val="24"/>
              </w:rPr>
            </w:pPr>
          </w:p>
        </w:tc>
        <w:tc>
          <w:tcPr>
            <w:tcW w:w="9072" w:type="dxa"/>
            <w:gridSpan w:val="2"/>
          </w:tcPr>
          <w:p w:rsidR="00266B4B" w:rsidRPr="00266B4B" w:rsidRDefault="00266B4B" w:rsidP="00266B4B">
            <w:pPr>
              <w:widowControl w:val="0"/>
              <w:jc w:val="both"/>
              <w:rPr>
                <w:rFonts w:ascii="Times New Roman" w:hAnsi="Times New Roman"/>
                <w:sz w:val="24"/>
                <w:szCs w:val="24"/>
              </w:rPr>
            </w:pPr>
            <w:r w:rsidRPr="00266B4B">
              <w:rPr>
                <w:rFonts w:ascii="Times New Roman" w:hAnsi="Times New Roman" w:cs="Minion Pro"/>
                <w:sz w:val="24"/>
                <w:szCs w:val="24"/>
              </w:rPr>
              <w:t xml:space="preserve">Финансовая стабильность. Общие сведения </w:t>
            </w:r>
            <w:r w:rsidRPr="00266B4B">
              <w:rPr>
                <w:rFonts w:ascii="Times New Roman" w:hAnsi="Times New Roman"/>
                <w:sz w:val="24"/>
                <w:szCs w:val="24"/>
              </w:rPr>
              <w:t>/</w:t>
            </w:r>
            <w:r w:rsidRPr="00266B4B">
              <w:rPr>
                <w:rFonts w:ascii="Times New Roman" w:eastAsia="DejaVu Sans" w:hAnsi="Times New Roman"/>
                <w:kern w:val="2"/>
                <w:sz w:val="24"/>
                <w:szCs w:val="24"/>
              </w:rPr>
              <w:t xml:space="preserve">/ Сайт Национального банка Республики Беларусь [Электронный ресурс]. – Минск, 2017. – Режим </w:t>
            </w:r>
            <w:proofErr w:type="gramStart"/>
            <w:r w:rsidRPr="00266B4B">
              <w:rPr>
                <w:rFonts w:ascii="Times New Roman" w:eastAsia="DejaVu Sans" w:hAnsi="Times New Roman"/>
                <w:kern w:val="2"/>
                <w:sz w:val="24"/>
                <w:szCs w:val="24"/>
              </w:rPr>
              <w:t>доступа</w:t>
            </w:r>
            <w:r w:rsidRPr="00266B4B">
              <w:rPr>
                <w:rFonts w:ascii="Times New Roman" w:eastAsia="DejaVu Sans" w:hAnsi="Times New Roman"/>
                <w:kern w:val="2"/>
                <w:sz w:val="24"/>
                <w:szCs w:val="24"/>
                <w:lang w:val="uk-UA"/>
              </w:rPr>
              <w:t> </w:t>
            </w:r>
            <w:r w:rsidRPr="00266B4B">
              <w:rPr>
                <w:rFonts w:ascii="Times New Roman" w:eastAsia="DejaVu Sans" w:hAnsi="Times New Roman"/>
                <w:kern w:val="2"/>
                <w:sz w:val="24"/>
                <w:szCs w:val="24"/>
              </w:rPr>
              <w:t>:</w:t>
            </w:r>
            <w:proofErr w:type="gramEnd"/>
            <w:r w:rsidRPr="00266B4B">
              <w:rPr>
                <w:rFonts w:ascii="Times New Roman" w:eastAsia="DejaVu Sans" w:hAnsi="Times New Roman"/>
                <w:kern w:val="2"/>
                <w:sz w:val="24"/>
                <w:szCs w:val="24"/>
              </w:rPr>
              <w:t xml:space="preserve"> https://www.nbrb.by/finsector/FinancialStability/GenInfo. – Дата доступа : 14.03.2017.</w:t>
            </w:r>
          </w:p>
        </w:tc>
      </w:tr>
      <w:tr w:rsidR="00266B4B" w:rsidRPr="00266B4B" w:rsidTr="00B2348C">
        <w:tc>
          <w:tcPr>
            <w:tcW w:w="567" w:type="dxa"/>
          </w:tcPr>
          <w:p w:rsidR="00266B4B" w:rsidRPr="00266B4B" w:rsidRDefault="00266B4B" w:rsidP="00266B4B">
            <w:pPr>
              <w:widowControl w:val="0"/>
              <w:numPr>
                <w:ilvl w:val="0"/>
                <w:numId w:val="1"/>
              </w:numPr>
              <w:contextualSpacing/>
              <w:jc w:val="both"/>
              <w:rPr>
                <w:rFonts w:ascii="Times New Roman" w:hAnsi="Times New Roman"/>
                <w:sz w:val="24"/>
                <w:szCs w:val="24"/>
              </w:rPr>
            </w:pPr>
          </w:p>
        </w:tc>
        <w:tc>
          <w:tcPr>
            <w:tcW w:w="9072" w:type="dxa"/>
            <w:gridSpan w:val="2"/>
          </w:tcPr>
          <w:p w:rsidR="00266B4B" w:rsidRPr="00266B4B" w:rsidRDefault="00266B4B" w:rsidP="00266B4B">
            <w:pPr>
              <w:widowControl w:val="0"/>
              <w:tabs>
                <w:tab w:val="left" w:pos="993"/>
              </w:tabs>
              <w:jc w:val="both"/>
              <w:rPr>
                <w:rFonts w:ascii="Times New Roman" w:hAnsi="Times New Roman"/>
                <w:sz w:val="24"/>
                <w:szCs w:val="24"/>
              </w:rPr>
            </w:pPr>
            <w:r w:rsidRPr="00266B4B">
              <w:rPr>
                <w:rFonts w:ascii="Times New Roman" w:hAnsi="Times New Roman" w:cs="Minion Pro"/>
                <w:sz w:val="24"/>
                <w:szCs w:val="24"/>
              </w:rPr>
              <w:t xml:space="preserve">Показатели финансовой устойчивости </w:t>
            </w:r>
            <w:r w:rsidRPr="00266B4B">
              <w:rPr>
                <w:rFonts w:ascii="Times New Roman" w:hAnsi="Times New Roman"/>
                <w:sz w:val="24"/>
                <w:szCs w:val="24"/>
              </w:rPr>
              <w:t>/</w:t>
            </w:r>
            <w:r w:rsidRPr="00266B4B">
              <w:rPr>
                <w:rFonts w:ascii="Times New Roman" w:eastAsia="DejaVu Sans" w:hAnsi="Times New Roman"/>
                <w:kern w:val="2"/>
                <w:sz w:val="24"/>
                <w:szCs w:val="24"/>
              </w:rPr>
              <w:t xml:space="preserve">/ Сайт Национального банка Республики Беларусь [Электронный ресурс]. – Минск, 2017. – Режим </w:t>
            </w:r>
            <w:proofErr w:type="gramStart"/>
            <w:r w:rsidRPr="00266B4B">
              <w:rPr>
                <w:rFonts w:ascii="Times New Roman" w:eastAsia="DejaVu Sans" w:hAnsi="Times New Roman"/>
                <w:kern w:val="2"/>
                <w:sz w:val="24"/>
                <w:szCs w:val="24"/>
              </w:rPr>
              <w:t>доступа</w:t>
            </w:r>
            <w:r w:rsidRPr="00266B4B">
              <w:rPr>
                <w:rFonts w:ascii="Times New Roman" w:eastAsia="DejaVu Sans" w:hAnsi="Times New Roman"/>
                <w:kern w:val="2"/>
                <w:sz w:val="24"/>
                <w:szCs w:val="24"/>
                <w:lang w:val="uk-UA"/>
              </w:rPr>
              <w:t> </w:t>
            </w:r>
            <w:r w:rsidRPr="00266B4B">
              <w:rPr>
                <w:rFonts w:ascii="Times New Roman" w:eastAsia="DejaVu Sans" w:hAnsi="Times New Roman"/>
                <w:kern w:val="2"/>
                <w:sz w:val="24"/>
                <w:szCs w:val="24"/>
              </w:rPr>
              <w:t>:</w:t>
            </w:r>
            <w:proofErr w:type="gramEnd"/>
            <w:r w:rsidRPr="00266B4B">
              <w:rPr>
                <w:rFonts w:ascii="Times New Roman" w:eastAsia="DejaVu Sans" w:hAnsi="Times New Roman"/>
                <w:kern w:val="2"/>
                <w:sz w:val="24"/>
                <w:szCs w:val="24"/>
              </w:rPr>
              <w:t xml:space="preserve"> https://www.nbrb.by/statistics/FinancialCapability/. – Дата доступа : 14.03.2017.</w:t>
            </w:r>
          </w:p>
        </w:tc>
      </w:tr>
    </w:tbl>
    <w:p w:rsidR="000F42E3" w:rsidRDefault="000F42E3">
      <w:bookmarkStart w:id="5" w:name="_GoBack"/>
      <w:bookmarkEnd w:id="5"/>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 Pro">
    <w:altName w:val="Minion Pro"/>
    <w:panose1 w:val="02040503050306020203"/>
    <w:charset w:val="00"/>
    <w:family w:val="roman"/>
    <w:notTrueType/>
    <w:pitch w:val="variable"/>
    <w:sig w:usb0="60000287" w:usb1="00000001" w:usb2="00000000" w:usb3="00000000" w:csb0="0000019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DejaVu Sans">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A74E4"/>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4B"/>
    <w:rsid w:val="000F42E3"/>
    <w:rsid w:val="0026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CAE63-9B36-49D3-8EB8-E48197A1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6B4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2017-12-02T11:55:00Z</dcterms:created>
  <dcterms:modified xsi:type="dcterms:W3CDTF">2017-12-02T11:56:00Z</dcterms:modified>
</cp:coreProperties>
</file>