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657"/>
      </w:tblGrid>
      <w:tr w:rsidR="00A55512" w:rsidRPr="00A55512" w:rsidTr="001543A5">
        <w:tc>
          <w:tcPr>
            <w:tcW w:w="9570" w:type="dxa"/>
            <w:gridSpan w:val="2"/>
            <w:hideMark/>
          </w:tcPr>
          <w:p w:rsidR="00A55512" w:rsidRPr="00A55512" w:rsidRDefault="00A55512" w:rsidP="00A55512">
            <w:pPr>
              <w:widowControl w:val="0"/>
              <w:jc w:val="both"/>
              <w:rPr>
                <w:rFonts w:ascii="Times New Roman" w:hAnsi="Times New Roman"/>
                <w:b/>
                <w:sz w:val="28"/>
                <w:szCs w:val="28"/>
              </w:rPr>
            </w:pPr>
            <w:r w:rsidRPr="00A55512">
              <w:rPr>
                <w:rFonts w:ascii="Times New Roman" w:hAnsi="Times New Roman"/>
                <w:b/>
                <w:sz w:val="28"/>
              </w:rPr>
              <w:t xml:space="preserve">УДК </w:t>
            </w:r>
            <w:r w:rsidRPr="00A55512">
              <w:rPr>
                <w:rFonts w:ascii="Times New Roman" w:hAnsi="Times New Roman"/>
                <w:b/>
                <w:sz w:val="28"/>
                <w:szCs w:val="28"/>
              </w:rPr>
              <w:t>658.009.12</w:t>
            </w:r>
          </w:p>
        </w:tc>
      </w:tr>
      <w:tr w:rsidR="00A55512" w:rsidRPr="00A55512" w:rsidTr="001543A5">
        <w:tc>
          <w:tcPr>
            <w:tcW w:w="9570" w:type="dxa"/>
            <w:gridSpan w:val="2"/>
          </w:tcPr>
          <w:p w:rsidR="00A55512" w:rsidRPr="00A55512" w:rsidRDefault="00A55512" w:rsidP="00A55512">
            <w:pPr>
              <w:widowControl w:val="0"/>
              <w:jc w:val="center"/>
              <w:outlineLvl w:val="0"/>
              <w:rPr>
                <w:rFonts w:ascii="Times New Roman" w:hAnsi="Times New Roman"/>
                <w:b/>
                <w:bCs/>
                <w:sz w:val="28"/>
                <w:szCs w:val="28"/>
              </w:rPr>
            </w:pPr>
            <w:bookmarkStart w:id="0" w:name="_Toc480490873"/>
            <w:bookmarkStart w:id="1" w:name="_Toc480537095"/>
            <w:r w:rsidRPr="00A55512">
              <w:rPr>
                <w:rFonts w:ascii="Times New Roman" w:hAnsi="Times New Roman"/>
                <w:b/>
                <w:bCs/>
                <w:sz w:val="28"/>
                <w:szCs w:val="28"/>
              </w:rPr>
              <w:t>ОСОБЕННОСТИ УПРАВЛЕНИЯ КОНКУРЕНТОСПОСОБНОСТЬЮ ПРЕДПРИЯТИЯ</w:t>
            </w:r>
            <w:bookmarkEnd w:id="0"/>
            <w:bookmarkEnd w:id="1"/>
          </w:p>
        </w:tc>
      </w:tr>
      <w:tr w:rsidR="00A55512" w:rsidRPr="00A55512" w:rsidTr="001543A5">
        <w:tc>
          <w:tcPr>
            <w:tcW w:w="4819" w:type="dxa"/>
          </w:tcPr>
          <w:p w:rsidR="00A55512" w:rsidRPr="00A55512" w:rsidRDefault="00A55512" w:rsidP="00A55512">
            <w:pPr>
              <w:widowControl w:val="0"/>
              <w:jc w:val="right"/>
              <w:rPr>
                <w:rFonts w:ascii="Times New Roman" w:hAnsi="Times New Roman"/>
                <w:sz w:val="28"/>
                <w:szCs w:val="28"/>
              </w:rPr>
            </w:pPr>
          </w:p>
        </w:tc>
        <w:tc>
          <w:tcPr>
            <w:tcW w:w="4751" w:type="dxa"/>
          </w:tcPr>
          <w:p w:rsidR="00A55512" w:rsidRPr="00A55512" w:rsidRDefault="00A55512" w:rsidP="00A55512">
            <w:pPr>
              <w:widowControl w:val="0"/>
              <w:jc w:val="right"/>
              <w:rPr>
                <w:rFonts w:ascii="Times New Roman" w:hAnsi="Times New Roman"/>
                <w:sz w:val="28"/>
                <w:szCs w:val="28"/>
              </w:rPr>
            </w:pPr>
          </w:p>
        </w:tc>
      </w:tr>
      <w:tr w:rsidR="00A55512" w:rsidRPr="00A55512" w:rsidTr="001543A5">
        <w:tc>
          <w:tcPr>
            <w:tcW w:w="4819" w:type="dxa"/>
          </w:tcPr>
          <w:p w:rsidR="00A55512" w:rsidRPr="00A55512" w:rsidRDefault="00A55512" w:rsidP="00A55512">
            <w:pPr>
              <w:widowControl w:val="0"/>
              <w:jc w:val="center"/>
              <w:outlineLvl w:val="0"/>
              <w:rPr>
                <w:rFonts w:ascii="Times New Roman" w:hAnsi="Times New Roman"/>
                <w:b/>
                <w:bCs/>
                <w:sz w:val="28"/>
                <w:szCs w:val="28"/>
              </w:rPr>
            </w:pPr>
          </w:p>
        </w:tc>
        <w:tc>
          <w:tcPr>
            <w:tcW w:w="4751" w:type="dxa"/>
          </w:tcPr>
          <w:p w:rsidR="00A55512" w:rsidRPr="00A55512" w:rsidRDefault="00A55512" w:rsidP="00A55512">
            <w:pPr>
              <w:widowControl w:val="0"/>
              <w:rPr>
                <w:rFonts w:ascii="Times New Roman" w:hAnsi="Times New Roman"/>
                <w:i/>
                <w:sz w:val="28"/>
                <w:szCs w:val="28"/>
              </w:rPr>
            </w:pPr>
            <w:bookmarkStart w:id="2" w:name="_Toc480490874"/>
            <w:bookmarkStart w:id="3" w:name="_Toc480537096"/>
            <w:r w:rsidRPr="00A55512">
              <w:rPr>
                <w:rFonts w:ascii="Times New Roman" w:hAnsi="Times New Roman"/>
                <w:b/>
                <w:bCs/>
                <w:sz w:val="28"/>
                <w:szCs w:val="26"/>
              </w:rPr>
              <w:t xml:space="preserve">В. </w:t>
            </w:r>
            <w:proofErr w:type="spellStart"/>
            <w:r w:rsidRPr="00A55512">
              <w:rPr>
                <w:rFonts w:ascii="Times New Roman" w:hAnsi="Times New Roman"/>
                <w:b/>
                <w:bCs/>
                <w:sz w:val="28"/>
                <w:szCs w:val="26"/>
              </w:rPr>
              <w:t>В.Жильченкова</w:t>
            </w:r>
            <w:proofErr w:type="spellEnd"/>
            <w:r w:rsidRPr="00A55512">
              <w:rPr>
                <w:rFonts w:ascii="Times New Roman" w:hAnsi="Times New Roman"/>
                <w:b/>
                <w:bCs/>
                <w:sz w:val="28"/>
                <w:szCs w:val="26"/>
              </w:rPr>
              <w:t>,</w:t>
            </w:r>
            <w:bookmarkEnd w:id="2"/>
            <w:bookmarkEnd w:id="3"/>
            <w:r w:rsidRPr="00A55512">
              <w:rPr>
                <w:rFonts w:ascii="Times New Roman" w:hAnsi="Times New Roman"/>
                <w:b/>
                <w:bCs/>
                <w:sz w:val="28"/>
                <w:szCs w:val="26"/>
              </w:rPr>
              <w:t xml:space="preserve"> </w:t>
            </w:r>
            <w:r w:rsidRPr="00A55512">
              <w:rPr>
                <w:rFonts w:ascii="Times New Roman" w:hAnsi="Times New Roman"/>
                <w:i/>
                <w:sz w:val="28"/>
                <w:szCs w:val="28"/>
              </w:rPr>
              <w:t>к.э.н., доц.</w:t>
            </w:r>
          </w:p>
          <w:p w:rsidR="00A55512" w:rsidRPr="00A55512" w:rsidRDefault="00A55512" w:rsidP="00A55512">
            <w:pPr>
              <w:widowControl w:val="0"/>
              <w:outlineLvl w:val="1"/>
              <w:rPr>
                <w:rFonts w:ascii="Times New Roman" w:hAnsi="Times New Roman"/>
                <w:b/>
                <w:bCs/>
                <w:sz w:val="28"/>
                <w:szCs w:val="26"/>
              </w:rPr>
            </w:pPr>
            <w:bookmarkStart w:id="4" w:name="_Toc480490875"/>
            <w:bookmarkStart w:id="5" w:name="_Toc480537097"/>
            <w:r w:rsidRPr="00A55512">
              <w:rPr>
                <w:rFonts w:ascii="Times New Roman" w:hAnsi="Times New Roman"/>
                <w:b/>
                <w:bCs/>
                <w:sz w:val="28"/>
                <w:szCs w:val="26"/>
              </w:rPr>
              <w:t>О.А. Гущина</w:t>
            </w:r>
            <w:bookmarkEnd w:id="4"/>
            <w:bookmarkEnd w:id="5"/>
          </w:p>
          <w:p w:rsidR="00A55512" w:rsidRPr="00A55512" w:rsidRDefault="00A55512" w:rsidP="00A55512">
            <w:pPr>
              <w:widowControl w:val="0"/>
              <w:rPr>
                <w:rFonts w:ascii="Times New Roman" w:hAnsi="Times New Roman"/>
                <w:i/>
                <w:sz w:val="28"/>
                <w:szCs w:val="28"/>
              </w:rPr>
            </w:pPr>
            <w:r w:rsidRPr="00A55512">
              <w:rPr>
                <w:rFonts w:ascii="Times New Roman" w:hAnsi="Times New Roman"/>
                <w:i/>
                <w:sz w:val="28"/>
                <w:szCs w:val="28"/>
              </w:rPr>
              <w:t>ГОУ ВПО «Донецкий национальный технический университет»</w:t>
            </w:r>
          </w:p>
          <w:p w:rsidR="00A55512" w:rsidRPr="00A55512" w:rsidRDefault="00A55512" w:rsidP="00A55512">
            <w:pPr>
              <w:widowControl w:val="0"/>
              <w:rPr>
                <w:rFonts w:ascii="Times New Roman" w:hAnsi="Times New Roman"/>
                <w:i/>
                <w:sz w:val="28"/>
                <w:szCs w:val="28"/>
              </w:rPr>
            </w:pPr>
            <w:r w:rsidRPr="00A55512">
              <w:rPr>
                <w:rFonts w:ascii="Times New Roman" w:hAnsi="Times New Roman"/>
                <w:i/>
                <w:sz w:val="28"/>
                <w:szCs w:val="28"/>
              </w:rPr>
              <w:t>Донецк, Донецкая Народная Республика</w:t>
            </w:r>
          </w:p>
          <w:p w:rsidR="00A55512" w:rsidRPr="00A55512" w:rsidRDefault="00A55512" w:rsidP="00A55512">
            <w:pPr>
              <w:widowControl w:val="0"/>
              <w:outlineLvl w:val="1"/>
              <w:rPr>
                <w:rFonts w:ascii="Times New Roman" w:hAnsi="Times New Roman"/>
                <w:b/>
                <w:bCs/>
                <w:sz w:val="28"/>
                <w:szCs w:val="26"/>
              </w:rPr>
            </w:pPr>
            <w:bookmarkStart w:id="6" w:name="_Toc480490876"/>
            <w:bookmarkStart w:id="7" w:name="_Toc480537098"/>
            <w:r w:rsidRPr="00A55512">
              <w:rPr>
                <w:rFonts w:ascii="Times New Roman" w:hAnsi="Times New Roman"/>
                <w:b/>
                <w:bCs/>
                <w:sz w:val="28"/>
                <w:szCs w:val="26"/>
              </w:rPr>
              <w:t xml:space="preserve">К.Д. </w:t>
            </w:r>
            <w:proofErr w:type="spellStart"/>
            <w:r w:rsidRPr="00A55512">
              <w:rPr>
                <w:rFonts w:ascii="Times New Roman" w:hAnsi="Times New Roman"/>
                <w:b/>
                <w:bCs/>
                <w:sz w:val="28"/>
                <w:szCs w:val="26"/>
              </w:rPr>
              <w:t>Ерошенкова</w:t>
            </w:r>
            <w:bookmarkEnd w:id="6"/>
            <w:bookmarkEnd w:id="7"/>
            <w:proofErr w:type="spellEnd"/>
          </w:p>
          <w:p w:rsidR="00A55512" w:rsidRPr="00A55512" w:rsidRDefault="00A55512" w:rsidP="00A55512">
            <w:pPr>
              <w:widowControl w:val="0"/>
              <w:rPr>
                <w:rFonts w:ascii="Times New Roman" w:hAnsi="Times New Roman"/>
                <w:i/>
                <w:sz w:val="28"/>
                <w:szCs w:val="28"/>
              </w:rPr>
            </w:pPr>
            <w:r w:rsidRPr="00A55512">
              <w:rPr>
                <w:rFonts w:ascii="Times New Roman" w:hAnsi="Times New Roman"/>
                <w:i/>
                <w:sz w:val="28"/>
                <w:szCs w:val="28"/>
              </w:rPr>
              <w:t xml:space="preserve">Финансовый университет при Правительстве Российской Федерации. Смоленский филиал </w:t>
            </w:r>
          </w:p>
          <w:p w:rsidR="00A55512" w:rsidRPr="00A55512" w:rsidRDefault="00A55512" w:rsidP="00A55512">
            <w:pPr>
              <w:widowControl w:val="0"/>
              <w:rPr>
                <w:rFonts w:ascii="Times New Roman" w:hAnsi="Times New Roman"/>
                <w:sz w:val="28"/>
              </w:rPr>
            </w:pPr>
            <w:r w:rsidRPr="00A55512">
              <w:rPr>
                <w:rFonts w:ascii="Times New Roman" w:hAnsi="Times New Roman"/>
                <w:i/>
                <w:sz w:val="28"/>
                <w:szCs w:val="28"/>
              </w:rPr>
              <w:t>г. Смоленск, РФ</w:t>
            </w:r>
          </w:p>
        </w:tc>
      </w:tr>
    </w:tbl>
    <w:p w:rsidR="00A55512" w:rsidRPr="00A55512" w:rsidRDefault="00A55512" w:rsidP="00A55512">
      <w:pPr>
        <w:widowControl w:val="0"/>
        <w:shd w:val="clear" w:color="auto" w:fill="FFFFFF"/>
        <w:spacing w:after="0" w:line="240" w:lineRule="auto"/>
        <w:ind w:firstLine="709"/>
        <w:jc w:val="right"/>
        <w:rPr>
          <w:rFonts w:ascii="Times New Roman" w:eastAsia="Times New Roman" w:hAnsi="Times New Roman" w:cs="Times New Roman"/>
          <w:sz w:val="28"/>
          <w:szCs w:val="28"/>
          <w:shd w:val="clear" w:color="auto" w:fill="FFFFFF"/>
          <w:lang w:eastAsia="ru-RU"/>
        </w:rPr>
      </w:pPr>
    </w:p>
    <w:p w:rsidR="00A55512" w:rsidRPr="00A55512" w:rsidRDefault="00A55512" w:rsidP="00A55512">
      <w:pPr>
        <w:widowControl w:val="0"/>
        <w:shd w:val="clear" w:color="auto" w:fill="FFFFFF"/>
        <w:spacing w:after="0" w:line="240" w:lineRule="auto"/>
        <w:ind w:firstLine="709"/>
        <w:jc w:val="both"/>
        <w:rPr>
          <w:rFonts w:ascii="Times New Roman" w:eastAsia="Times New Roman" w:hAnsi="Times New Roman" w:cs="Times New Roman"/>
          <w:i/>
          <w:iCs/>
          <w:sz w:val="28"/>
          <w:szCs w:val="28"/>
          <w:shd w:val="clear" w:color="auto" w:fill="FFFFFF"/>
          <w:lang w:eastAsia="ru-RU"/>
        </w:rPr>
      </w:pPr>
      <w:r w:rsidRPr="00A55512">
        <w:rPr>
          <w:rFonts w:ascii="Times New Roman" w:eastAsia="Times New Roman" w:hAnsi="Times New Roman" w:cs="Times New Roman"/>
          <w:i/>
          <w:iCs/>
          <w:sz w:val="28"/>
          <w:szCs w:val="28"/>
          <w:shd w:val="clear" w:color="auto" w:fill="FFFFFF"/>
          <w:lang w:eastAsia="ru-RU"/>
        </w:rPr>
        <w:t>Аннотация. В статье рассмотрены сущность понятий конкуренция, конкурентоспособность предприятия. Проанализированы четыре уровня конкурентоспособности и дается их характеристика, а также предлагаются пути повышения конкурентоспособности предприятия.</w:t>
      </w:r>
    </w:p>
    <w:p w:rsidR="00A55512" w:rsidRPr="00A55512" w:rsidRDefault="00A55512" w:rsidP="00A55512">
      <w:pPr>
        <w:widowControl w:val="0"/>
        <w:shd w:val="clear" w:color="auto" w:fill="FFFFFF"/>
        <w:spacing w:after="0" w:line="240" w:lineRule="auto"/>
        <w:ind w:firstLine="709"/>
        <w:jc w:val="both"/>
        <w:rPr>
          <w:rFonts w:ascii="Times New Roman" w:eastAsia="TimesNewRoman" w:hAnsi="Times New Roman" w:cs="Times New Roman"/>
          <w:i/>
          <w:iCs/>
          <w:sz w:val="28"/>
          <w:szCs w:val="28"/>
          <w:lang w:eastAsia="ru-RU"/>
        </w:rPr>
      </w:pPr>
      <w:r w:rsidRPr="00A55512">
        <w:rPr>
          <w:rFonts w:ascii="Times New Roman" w:eastAsia="Times New Roman" w:hAnsi="Times New Roman" w:cs="Times New Roman"/>
          <w:i/>
          <w:iCs/>
          <w:sz w:val="28"/>
          <w:szCs w:val="28"/>
          <w:shd w:val="clear" w:color="auto" w:fill="FFFFFF"/>
          <w:lang w:eastAsia="ru-RU"/>
        </w:rPr>
        <w:t xml:space="preserve">Ключевые слова: конкуренция, конкурентоспособность, управление конкурентоспособностью предприятия, </w:t>
      </w:r>
      <w:r w:rsidRPr="00A55512">
        <w:rPr>
          <w:rFonts w:ascii="Times New Roman" w:eastAsia="TimesNewRoman" w:hAnsi="Times New Roman" w:cs="Times New Roman"/>
          <w:i/>
          <w:iCs/>
          <w:sz w:val="28"/>
          <w:szCs w:val="28"/>
          <w:lang w:eastAsia="ru-RU"/>
        </w:rPr>
        <w:t>SWOT-анализ.</w:t>
      </w:r>
    </w:p>
    <w:p w:rsidR="00A55512" w:rsidRPr="00A55512" w:rsidRDefault="00A55512" w:rsidP="00A55512">
      <w:pPr>
        <w:widowControl w:val="0"/>
        <w:shd w:val="clear" w:color="auto" w:fill="FFFFFF"/>
        <w:spacing w:after="0" w:line="240" w:lineRule="auto"/>
        <w:ind w:firstLine="709"/>
        <w:jc w:val="both"/>
        <w:rPr>
          <w:rFonts w:ascii="Times New Roman" w:eastAsia="TimesNewRoman" w:hAnsi="Times New Roman" w:cs="Times New Roman"/>
          <w:i/>
          <w:iCs/>
          <w:sz w:val="28"/>
          <w:szCs w:val="28"/>
          <w:lang w:eastAsia="ru-RU"/>
        </w:rPr>
      </w:pPr>
    </w:p>
    <w:p w:rsidR="00A55512" w:rsidRPr="00A55512" w:rsidRDefault="00A55512" w:rsidP="00A55512">
      <w:pPr>
        <w:widowControl w:val="0"/>
        <w:shd w:val="clear" w:color="auto" w:fill="FFFFFF"/>
        <w:spacing w:after="0" w:line="240" w:lineRule="auto"/>
        <w:ind w:firstLine="709"/>
        <w:jc w:val="both"/>
        <w:rPr>
          <w:rFonts w:ascii="Times New Roman" w:eastAsia="TimesNewRoman" w:hAnsi="Times New Roman" w:cs="Times New Roman"/>
          <w:i/>
          <w:iCs/>
          <w:sz w:val="28"/>
          <w:szCs w:val="28"/>
          <w:lang w:val="en-US" w:eastAsia="ru-RU"/>
        </w:rPr>
      </w:pPr>
      <w:r w:rsidRPr="00A55512">
        <w:rPr>
          <w:rFonts w:ascii="Times New Roman" w:eastAsia="Times New Roman" w:hAnsi="Times New Roman" w:cs="Times New Roman"/>
          <w:i/>
          <w:iCs/>
          <w:sz w:val="28"/>
          <w:szCs w:val="28"/>
          <w:lang w:val="en-US" w:eastAsia="ru-RU"/>
        </w:rPr>
        <w:t>Summary. In the article the essence of the concepts of competition, competitiveness of the enterprise. Analyzed four levels of competitiveness and, given their characteristics and suggests ways to improve the competitiveness of the enterprise.</w:t>
      </w:r>
    </w:p>
    <w:p w:rsidR="00A55512" w:rsidRPr="00A55512" w:rsidRDefault="00A55512" w:rsidP="00A55512">
      <w:pPr>
        <w:widowControl w:val="0"/>
        <w:shd w:val="clear" w:color="auto" w:fill="FFFFFF"/>
        <w:spacing w:after="0" w:line="240" w:lineRule="auto"/>
        <w:ind w:firstLine="709"/>
        <w:jc w:val="both"/>
        <w:rPr>
          <w:rFonts w:ascii="Times New Roman" w:eastAsia="TimesNewRoman" w:hAnsi="Times New Roman" w:cs="Times New Roman"/>
          <w:i/>
          <w:iCs/>
          <w:sz w:val="28"/>
          <w:szCs w:val="28"/>
          <w:lang w:val="en-US" w:eastAsia="ru-RU"/>
        </w:rPr>
      </w:pPr>
      <w:r w:rsidRPr="00A55512">
        <w:rPr>
          <w:rFonts w:ascii="Times New Roman" w:eastAsia="Times New Roman" w:hAnsi="Times New Roman" w:cs="Times New Roman"/>
          <w:i/>
          <w:iCs/>
          <w:sz w:val="28"/>
          <w:szCs w:val="28"/>
          <w:lang w:val="en-US" w:eastAsia="ru-RU"/>
        </w:rPr>
        <w:t xml:space="preserve">Keywords: competition, competitiveness, management of competitiveness of enterprises, </w:t>
      </w:r>
      <w:r w:rsidRPr="00A55512">
        <w:rPr>
          <w:rFonts w:ascii="Times New Roman" w:eastAsia="TimesNewRoman" w:hAnsi="Times New Roman" w:cs="Times New Roman"/>
          <w:i/>
          <w:iCs/>
          <w:sz w:val="28"/>
          <w:szCs w:val="28"/>
          <w:lang w:val="en-US" w:eastAsia="ru-RU"/>
        </w:rPr>
        <w:t>SWOT-analysis.</w:t>
      </w:r>
    </w:p>
    <w:p w:rsidR="00A55512" w:rsidRPr="00A55512" w:rsidRDefault="00A55512" w:rsidP="00A55512">
      <w:pPr>
        <w:widowControl w:val="0"/>
        <w:shd w:val="clear" w:color="auto" w:fill="FFFFFF"/>
        <w:spacing w:after="0" w:line="240" w:lineRule="auto"/>
        <w:ind w:firstLine="709"/>
        <w:jc w:val="both"/>
        <w:rPr>
          <w:rFonts w:ascii="Times New Roman" w:eastAsia="Times New Roman" w:hAnsi="Times New Roman" w:cs="Times New Roman"/>
          <w:sz w:val="28"/>
          <w:szCs w:val="28"/>
          <w:shd w:val="clear" w:color="auto" w:fill="FFFFFF"/>
          <w:lang w:val="en-US" w:eastAsia="ru-RU"/>
        </w:rPr>
      </w:pPr>
    </w:p>
    <w:p w:rsidR="00A55512" w:rsidRPr="00A55512" w:rsidRDefault="00A55512" w:rsidP="00A5551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b/>
          <w:sz w:val="28"/>
          <w:szCs w:val="28"/>
          <w:lang w:eastAsia="ru-RU"/>
        </w:rPr>
        <w:t xml:space="preserve">Постановка проблемы. </w:t>
      </w:r>
      <w:r w:rsidRPr="00A55512">
        <w:rPr>
          <w:rFonts w:ascii="Times New Roman" w:eastAsia="Times New Roman" w:hAnsi="Times New Roman" w:cs="Times New Roman"/>
          <w:sz w:val="28"/>
          <w:szCs w:val="28"/>
          <w:lang w:eastAsia="ru-RU"/>
        </w:rPr>
        <w:t xml:space="preserve">В настоящее время экономика очень неустойчива и </w:t>
      </w:r>
      <w:r w:rsidRPr="00A55512">
        <w:rPr>
          <w:rFonts w:ascii="Times New Roman" w:eastAsia="Times New Roman" w:hAnsi="Times New Roman" w:cs="Times New Roman"/>
          <w:sz w:val="28"/>
          <w:szCs w:val="28"/>
          <w:shd w:val="clear" w:color="auto" w:fill="FFFFFF"/>
          <w:lang w:eastAsia="ru-RU"/>
        </w:rPr>
        <w:t>в условиях жест</w:t>
      </w:r>
      <w:r w:rsidRPr="00A55512">
        <w:rPr>
          <w:rFonts w:ascii="Times New Roman" w:eastAsia="Times New Roman" w:hAnsi="Times New Roman" w:cs="Times New Roman"/>
          <w:sz w:val="28"/>
          <w:szCs w:val="28"/>
          <w:shd w:val="clear" w:color="auto" w:fill="FFFFFF"/>
          <w:lang w:eastAsia="ru-RU"/>
        </w:rPr>
        <w:softHyphen/>
        <w:t>кой конкуренции, быстро меняющейся ситуации, предприятия должны не только концентрировать внимание на внутреннем состоянии дел в компа</w:t>
      </w:r>
      <w:r w:rsidRPr="00A55512">
        <w:rPr>
          <w:rFonts w:ascii="Times New Roman" w:eastAsia="Times New Roman" w:hAnsi="Times New Roman" w:cs="Times New Roman"/>
          <w:sz w:val="28"/>
          <w:szCs w:val="28"/>
          <w:shd w:val="clear" w:color="auto" w:fill="FFFFFF"/>
          <w:lang w:eastAsia="ru-RU"/>
        </w:rPr>
        <w:softHyphen/>
        <w:t>нии, но и вырабатывать стратегию долгосрочного выживания и осуществления такого управления, которое обеспечивает конкурентные преимущества в быстро меняющейся окружающей среде.</w:t>
      </w:r>
    </w:p>
    <w:p w:rsidR="00A55512" w:rsidRPr="00A55512" w:rsidRDefault="00A55512" w:rsidP="00A5551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proofErr w:type="spellStart"/>
      <w:r w:rsidRPr="00A55512">
        <w:rPr>
          <w:rFonts w:ascii="Times New Roman" w:eastAsia="Times New Roman" w:hAnsi="Times New Roman" w:cs="Times New Roman"/>
          <w:sz w:val="28"/>
          <w:szCs w:val="28"/>
          <w:lang w:eastAsia="ru-RU"/>
        </w:rPr>
        <w:t>Многовариантность</w:t>
      </w:r>
      <w:proofErr w:type="spellEnd"/>
      <w:r w:rsidRPr="00A55512">
        <w:rPr>
          <w:rFonts w:ascii="Times New Roman" w:eastAsia="Times New Roman" w:hAnsi="Times New Roman" w:cs="Times New Roman"/>
          <w:sz w:val="28"/>
          <w:szCs w:val="28"/>
          <w:lang w:eastAsia="ru-RU"/>
        </w:rPr>
        <w:t xml:space="preserve"> определений, относительность, а также различие подходов к оценке и анализу конкурентоспособности на разных ее уровнях обусловили актуальность исследования. </w:t>
      </w:r>
    </w:p>
    <w:p w:rsidR="00A55512" w:rsidRPr="00A55512" w:rsidRDefault="00A55512" w:rsidP="00A5551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b/>
          <w:sz w:val="28"/>
          <w:szCs w:val="28"/>
          <w:lang w:eastAsia="ru-RU"/>
        </w:rPr>
        <w:t xml:space="preserve">Анализ предыдущих исследований и публикаций. </w:t>
      </w:r>
      <w:r w:rsidRPr="00A55512">
        <w:rPr>
          <w:rFonts w:ascii="Times New Roman" w:eastAsia="Times New Roman" w:hAnsi="Times New Roman" w:cs="Times New Roman"/>
          <w:sz w:val="28"/>
          <w:szCs w:val="28"/>
          <w:lang w:eastAsia="ru-RU"/>
        </w:rPr>
        <w:t xml:space="preserve">Вопросам изучения конкурентоспособности предприятий, а также ее оценки посвящены работы: П.В. </w:t>
      </w:r>
      <w:proofErr w:type="spellStart"/>
      <w:r w:rsidRPr="00A55512">
        <w:rPr>
          <w:rFonts w:ascii="Times New Roman" w:eastAsia="Times New Roman" w:hAnsi="Times New Roman" w:cs="Times New Roman"/>
          <w:sz w:val="28"/>
          <w:szCs w:val="28"/>
          <w:lang w:eastAsia="ru-RU"/>
        </w:rPr>
        <w:t>Старцева</w:t>
      </w:r>
      <w:proofErr w:type="spellEnd"/>
      <w:r w:rsidRPr="00A55512">
        <w:rPr>
          <w:rFonts w:ascii="Times New Roman" w:eastAsia="Times New Roman" w:hAnsi="Times New Roman" w:cs="Times New Roman"/>
          <w:sz w:val="28"/>
          <w:szCs w:val="28"/>
          <w:lang w:eastAsia="ru-RU"/>
        </w:rPr>
        <w:t xml:space="preserve">, Л.С. Егоровой, А.А. Макарычева, Т.П. </w:t>
      </w:r>
      <w:proofErr w:type="spellStart"/>
      <w:r w:rsidRPr="00A55512">
        <w:rPr>
          <w:rFonts w:ascii="Times New Roman" w:eastAsia="Times New Roman" w:hAnsi="Times New Roman" w:cs="Times New Roman"/>
          <w:sz w:val="28"/>
          <w:szCs w:val="28"/>
          <w:lang w:eastAsia="ru-RU"/>
        </w:rPr>
        <w:t>Решетниковой</w:t>
      </w:r>
      <w:proofErr w:type="spellEnd"/>
      <w:r w:rsidRPr="00A55512">
        <w:rPr>
          <w:rFonts w:ascii="Times New Roman" w:eastAsia="Times New Roman" w:hAnsi="Times New Roman" w:cs="Times New Roman"/>
          <w:sz w:val="28"/>
          <w:szCs w:val="28"/>
          <w:lang w:eastAsia="ru-RU"/>
        </w:rPr>
        <w:t xml:space="preserve"> и др. Но, несмотря на значительное количество работ, посвященных данной проблеме, существуют некоторые различия в понимании категории </w:t>
      </w:r>
      <w:r w:rsidRPr="00A55512">
        <w:rPr>
          <w:rFonts w:ascii="Times New Roman" w:eastAsia="Times New Roman" w:hAnsi="Times New Roman" w:cs="Times New Roman"/>
          <w:sz w:val="28"/>
          <w:szCs w:val="28"/>
          <w:lang w:eastAsia="ru-RU"/>
        </w:rPr>
        <w:lastRenderedPageBreak/>
        <w:t>«конкурентоспособность».</w:t>
      </w:r>
    </w:p>
    <w:p w:rsidR="00A55512" w:rsidRPr="00A55512" w:rsidRDefault="00A55512" w:rsidP="00A5551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b/>
          <w:sz w:val="28"/>
          <w:szCs w:val="28"/>
          <w:lang w:eastAsia="ru-RU"/>
        </w:rPr>
        <w:t>Целью</w:t>
      </w:r>
      <w:r w:rsidRPr="00A55512">
        <w:rPr>
          <w:rFonts w:ascii="Times New Roman" w:eastAsia="Times New Roman" w:hAnsi="Times New Roman" w:cs="Times New Roman"/>
          <w:sz w:val="28"/>
          <w:szCs w:val="28"/>
          <w:lang w:eastAsia="ru-RU"/>
        </w:rPr>
        <w:t xml:space="preserve"> исследования является определение понятий конкурентоспособность и управление конкурентоспособностью. А также предлагаются пути повышения конкурентоспособности предприятия.</w:t>
      </w:r>
    </w:p>
    <w:p w:rsidR="00A55512" w:rsidRPr="00A55512" w:rsidRDefault="00A55512" w:rsidP="00A55512">
      <w:pPr>
        <w:widowControl w:val="0"/>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b/>
          <w:sz w:val="28"/>
          <w:szCs w:val="28"/>
          <w:lang w:eastAsia="ru-RU"/>
        </w:rPr>
        <w:t xml:space="preserve">Основные результаты исследования. </w:t>
      </w:r>
      <w:r w:rsidRPr="00A55512">
        <w:rPr>
          <w:rFonts w:ascii="Times New Roman" w:eastAsia="Times New Roman" w:hAnsi="Times New Roman" w:cs="Times New Roman"/>
          <w:sz w:val="28"/>
          <w:szCs w:val="28"/>
          <w:lang w:eastAsia="ru-RU"/>
        </w:rPr>
        <w:t xml:space="preserve">Конкуренция – экономический процесс взаимодействия, взаимосвязи и борьбы между вступающими на рынки предприятиями в целях обеспечения лучших возможностей сбыта своей продукции, удовлетворения потребностей покупателей и получения наибольшей прибыли. Конкурентоспособность организации – </w:t>
      </w:r>
      <w:r w:rsidRPr="00A55512">
        <w:rPr>
          <w:rFonts w:ascii="Times New Roman" w:eastAsia="Times New Roman" w:hAnsi="Times New Roman" w:cs="Times New Roman"/>
          <w:sz w:val="28"/>
          <w:szCs w:val="28"/>
          <w:shd w:val="clear" w:color="auto" w:fill="FFFFFF"/>
          <w:lang w:eastAsia="ru-RU"/>
        </w:rPr>
        <w:t xml:space="preserve">это относительная характеристика, которая выражает отличия развития от развития конкурентных организаций по степени удовлетворения своими товарами потребности людей и по эффективности деятельности. Конкурентоспособность организации характеризует возможности и динамику ее приспособления к условиям рыночной конкуренции. </w:t>
      </w:r>
      <w:r w:rsidRPr="00A55512">
        <w:rPr>
          <w:rFonts w:ascii="Times New Roman" w:eastAsia="TimesNewRoman" w:hAnsi="Times New Roman" w:cs="Times New Roman"/>
          <w:sz w:val="28"/>
          <w:szCs w:val="28"/>
          <w:lang w:eastAsia="ru-RU"/>
        </w:rPr>
        <w:t>На конкурентоспособность предприятия значительное влияние оказывает социальная среда.</w:t>
      </w:r>
    </w:p>
    <w:p w:rsidR="00A55512" w:rsidRPr="00A55512" w:rsidRDefault="00A55512" w:rsidP="00A55512">
      <w:pPr>
        <w:widowControl w:val="0"/>
        <w:autoSpaceDE w:val="0"/>
        <w:autoSpaceDN w:val="0"/>
        <w:adjustRightInd w:val="0"/>
        <w:spacing w:after="0" w:line="240" w:lineRule="auto"/>
        <w:ind w:firstLine="709"/>
        <w:jc w:val="both"/>
        <w:rPr>
          <w:rFonts w:ascii="Times New Roman" w:eastAsia="TimesNewRoman" w:hAnsi="Times New Roman" w:cs="Times New Roman"/>
          <w:sz w:val="28"/>
          <w:szCs w:val="28"/>
          <w:lang w:eastAsia="ru-RU"/>
        </w:rPr>
      </w:pPr>
      <w:r w:rsidRPr="00A55512">
        <w:rPr>
          <w:rFonts w:ascii="Times New Roman" w:eastAsia="TimesNewRoman" w:hAnsi="Times New Roman" w:cs="Times New Roman"/>
          <w:sz w:val="28"/>
          <w:szCs w:val="28"/>
          <w:lang w:eastAsia="ru-RU"/>
        </w:rPr>
        <w:t xml:space="preserve">Современное толкование понятия конкурентоспособности как многофакторного процесса реализации конкурентных отношений предполагает важнейшее условие его осуществления </w:t>
      </w:r>
      <w:r w:rsidRPr="00A55512">
        <w:rPr>
          <w:rFonts w:ascii="Times New Roman" w:eastAsia="Times New Roman" w:hAnsi="Times New Roman" w:cs="Times New Roman"/>
          <w:sz w:val="28"/>
          <w:szCs w:val="28"/>
          <w:lang w:eastAsia="ru-RU"/>
        </w:rPr>
        <w:t>–</w:t>
      </w:r>
      <w:r w:rsidRPr="00A55512">
        <w:rPr>
          <w:rFonts w:ascii="Times New Roman" w:eastAsia="TimesNewRoman" w:hAnsi="Times New Roman" w:cs="Times New Roman"/>
          <w:sz w:val="28"/>
          <w:szCs w:val="28"/>
          <w:lang w:eastAsia="ru-RU"/>
        </w:rPr>
        <w:t xml:space="preserve"> управление конкурентоспособностью предприятия. </w:t>
      </w:r>
      <w:r w:rsidRPr="00A55512">
        <w:rPr>
          <w:rFonts w:ascii="Times New Roman" w:eastAsia="Times New Roman" w:hAnsi="Times New Roman" w:cs="Times New Roman"/>
          <w:sz w:val="28"/>
          <w:szCs w:val="28"/>
          <w:shd w:val="clear" w:color="auto" w:fill="FFFFFF"/>
          <w:lang w:eastAsia="ru-RU"/>
        </w:rPr>
        <w:t xml:space="preserve">Управление конкурентоспособностью предприятия – целенаправленная деятельность по формированию ряда управленческих решений, направленных на противостояние всевозможным внешним воздействиям с целью достижения лидерства в соответствии с поставленными стратегическими целями </w:t>
      </w:r>
      <w:r w:rsidRPr="00A55512">
        <w:rPr>
          <w:rFonts w:ascii="Times New Roman" w:eastAsia="TimesNewRoman" w:hAnsi="Times New Roman" w:cs="Times New Roman"/>
          <w:sz w:val="28"/>
          <w:szCs w:val="28"/>
          <w:lang w:eastAsia="ru-RU"/>
        </w:rPr>
        <w:t>[1].</w:t>
      </w:r>
    </w:p>
    <w:p w:rsidR="00A55512" w:rsidRPr="00A55512" w:rsidRDefault="00A55512" w:rsidP="00A55512">
      <w:pPr>
        <w:widowControl w:val="0"/>
        <w:autoSpaceDE w:val="0"/>
        <w:autoSpaceDN w:val="0"/>
        <w:adjustRightInd w:val="0"/>
        <w:spacing w:after="0" w:line="240" w:lineRule="auto"/>
        <w:ind w:firstLine="709"/>
        <w:jc w:val="both"/>
        <w:rPr>
          <w:rFonts w:ascii="Times New Roman" w:eastAsia="TimesNewRoman" w:hAnsi="Times New Roman" w:cs="Times New Roman"/>
          <w:sz w:val="28"/>
          <w:szCs w:val="28"/>
          <w:lang w:eastAsia="ru-RU"/>
        </w:rPr>
      </w:pPr>
      <w:r w:rsidRPr="00A55512">
        <w:rPr>
          <w:rFonts w:ascii="Times New Roman" w:eastAsia="TimesNewRoman" w:hAnsi="Times New Roman" w:cs="Times New Roman"/>
          <w:sz w:val="28"/>
          <w:szCs w:val="28"/>
          <w:lang w:eastAsia="ru-RU"/>
        </w:rPr>
        <w:t>В современной теории управления принято выделять четыре уровня, или стадии, конкурентоспособности. При первом уровне конкурентоспособности предприятий менеджеры предприятий или фирм рассматривают фактор управления как «внутренне нейтральный». Они считают, что раз уж система регулярного менеджмента в их компаниях является налаженной, то больше управление на конкурентоспособность никак не влияет. Свою роль эти менеджеры видят только в том, чтобы выпускать продукцию, не заботясь о конкурентах. Такой подход может принести компании успех, если она сумеет найти на рынке место, свободное от конкуренции. Большинство российских компаний, независимо от масштабов бизнеса, находятся именно на этом уровне конкурентоспособности.</w:t>
      </w:r>
    </w:p>
    <w:p w:rsidR="00A55512" w:rsidRPr="00A55512" w:rsidRDefault="00A55512" w:rsidP="00A555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A55512">
        <w:rPr>
          <w:rFonts w:ascii="Times New Roman" w:eastAsia="Times New Roman" w:hAnsi="Times New Roman" w:cs="Times New Roman"/>
          <w:sz w:val="28"/>
          <w:szCs w:val="28"/>
          <w:shd w:val="clear" w:color="auto" w:fill="FFFFFF"/>
          <w:lang w:eastAsia="ru-RU"/>
        </w:rPr>
        <w:t>Компании второго уровня конкурентоспособности стремятся сде</w:t>
      </w:r>
      <w:r w:rsidRPr="00A55512">
        <w:rPr>
          <w:rFonts w:ascii="Times New Roman" w:eastAsia="Times New Roman" w:hAnsi="Times New Roman" w:cs="Times New Roman"/>
          <w:sz w:val="28"/>
          <w:szCs w:val="28"/>
          <w:shd w:val="clear" w:color="auto" w:fill="FFFFFF"/>
          <w:lang w:eastAsia="ru-RU"/>
        </w:rPr>
        <w:softHyphen/>
        <w:t>лать свои производственные и управленческие системы «внешне ней</w:t>
      </w:r>
      <w:r w:rsidRPr="00A55512">
        <w:rPr>
          <w:rFonts w:ascii="Times New Roman" w:eastAsia="Times New Roman" w:hAnsi="Times New Roman" w:cs="Times New Roman"/>
          <w:sz w:val="28"/>
          <w:szCs w:val="28"/>
          <w:shd w:val="clear" w:color="auto" w:fill="FFFFFF"/>
          <w:lang w:eastAsia="ru-RU"/>
        </w:rPr>
        <w:softHyphen/>
        <w:t>тральными». Это означает, что такие предприятия должны полностью соответствовать стандартам, установленным их основными конкурен</w:t>
      </w:r>
      <w:r w:rsidRPr="00A55512">
        <w:rPr>
          <w:rFonts w:ascii="Times New Roman" w:eastAsia="Times New Roman" w:hAnsi="Times New Roman" w:cs="Times New Roman"/>
          <w:sz w:val="28"/>
          <w:szCs w:val="28"/>
          <w:shd w:val="clear" w:color="auto" w:fill="FFFFFF"/>
          <w:lang w:eastAsia="ru-RU"/>
        </w:rPr>
        <w:softHyphen/>
        <w:t>тами на конкретном рынке (в отрасли или регионе). Они пытаются воспроизвести у себя то, что делают фирмы-лидеры: стремятся макси</w:t>
      </w:r>
      <w:r w:rsidRPr="00A55512">
        <w:rPr>
          <w:rFonts w:ascii="Times New Roman" w:eastAsia="Times New Roman" w:hAnsi="Times New Roman" w:cs="Times New Roman"/>
          <w:sz w:val="28"/>
          <w:szCs w:val="28"/>
          <w:shd w:val="clear" w:color="auto" w:fill="FFFFFF"/>
          <w:lang w:eastAsia="ru-RU"/>
        </w:rPr>
        <w:softHyphen/>
        <w:t>мально заимствовать технические приемы, технологии, методы орга</w:t>
      </w:r>
      <w:r w:rsidRPr="00A55512">
        <w:rPr>
          <w:rFonts w:ascii="Times New Roman" w:eastAsia="Times New Roman" w:hAnsi="Times New Roman" w:cs="Times New Roman"/>
          <w:sz w:val="28"/>
          <w:szCs w:val="28"/>
          <w:shd w:val="clear" w:color="auto" w:fill="FFFFFF"/>
          <w:lang w:eastAsia="ru-RU"/>
        </w:rPr>
        <w:softHyphen/>
        <w:t>низации производства у ведущих предприятий отрасли, приобретать сырье и материалы, полуфабрикаты и комплектующие изделия из тех же источников, что и их главные конкуренты.</w:t>
      </w:r>
    </w:p>
    <w:p w:rsidR="00A55512" w:rsidRPr="00A55512" w:rsidRDefault="00A55512" w:rsidP="00A5551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sz w:val="28"/>
          <w:szCs w:val="28"/>
          <w:lang w:eastAsia="ru-RU"/>
        </w:rPr>
        <w:t xml:space="preserve">Отличительные черты компаний третьего уровня </w:t>
      </w:r>
      <w:r w:rsidRPr="00A55512">
        <w:rPr>
          <w:rFonts w:ascii="Times New Roman" w:eastAsia="Times New Roman" w:hAnsi="Times New Roman" w:cs="Times New Roman"/>
          <w:sz w:val="28"/>
          <w:szCs w:val="28"/>
          <w:lang w:eastAsia="ru-RU"/>
        </w:rPr>
        <w:lastRenderedPageBreak/>
        <w:t>конкурентоспособности проявляются в следующем:</w:t>
      </w:r>
    </w:p>
    <w:p w:rsidR="00A55512" w:rsidRPr="00A55512" w:rsidRDefault="00A55512" w:rsidP="00A55512">
      <w:pPr>
        <w:widowControl w:val="0"/>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sz w:val="28"/>
          <w:szCs w:val="28"/>
          <w:lang w:eastAsia="ru-RU"/>
        </w:rPr>
        <w:t>в этих компаниях в центре внимания оказываются нужды и запро</w:t>
      </w:r>
      <w:r w:rsidRPr="00A55512">
        <w:rPr>
          <w:rFonts w:ascii="Times New Roman" w:eastAsia="Times New Roman" w:hAnsi="Times New Roman" w:cs="Times New Roman"/>
          <w:sz w:val="28"/>
          <w:szCs w:val="28"/>
          <w:lang w:eastAsia="ru-RU"/>
        </w:rPr>
        <w:softHyphen/>
        <w:t>сы потребителя, исповедуется концепция маркетинга, ориентиро</w:t>
      </w:r>
      <w:r w:rsidRPr="00A55512">
        <w:rPr>
          <w:rFonts w:ascii="Times New Roman" w:eastAsia="Times New Roman" w:hAnsi="Times New Roman" w:cs="Times New Roman"/>
          <w:sz w:val="28"/>
          <w:szCs w:val="28"/>
          <w:lang w:eastAsia="ru-RU"/>
        </w:rPr>
        <w:softHyphen/>
        <w:t>ванного на потребителя, а управление начинает активно содейство</w:t>
      </w:r>
      <w:r w:rsidRPr="00A55512">
        <w:rPr>
          <w:rFonts w:ascii="Times New Roman" w:eastAsia="Times New Roman" w:hAnsi="Times New Roman" w:cs="Times New Roman"/>
          <w:sz w:val="28"/>
          <w:szCs w:val="28"/>
          <w:lang w:eastAsia="ru-RU"/>
        </w:rPr>
        <w:softHyphen/>
        <w:t>вать развитию производственных систем;</w:t>
      </w:r>
    </w:p>
    <w:p w:rsidR="00A55512" w:rsidRPr="00A55512" w:rsidRDefault="00A55512" w:rsidP="00A55512">
      <w:pPr>
        <w:widowControl w:val="0"/>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sz w:val="28"/>
          <w:szCs w:val="28"/>
          <w:lang w:eastAsia="ru-RU"/>
        </w:rPr>
        <w:t xml:space="preserve">такие компании действительно становятся </w:t>
      </w:r>
      <w:proofErr w:type="spellStart"/>
      <w:r w:rsidRPr="00A55512">
        <w:rPr>
          <w:rFonts w:ascii="Times New Roman" w:eastAsia="Times New Roman" w:hAnsi="Times New Roman" w:cs="Times New Roman"/>
          <w:sz w:val="28"/>
          <w:szCs w:val="28"/>
          <w:lang w:eastAsia="ru-RU"/>
        </w:rPr>
        <w:t>маркетингоориенти</w:t>
      </w:r>
      <w:r w:rsidRPr="00A55512">
        <w:rPr>
          <w:rFonts w:ascii="Times New Roman" w:eastAsia="Times New Roman" w:hAnsi="Times New Roman" w:cs="Times New Roman"/>
          <w:sz w:val="28"/>
          <w:szCs w:val="28"/>
          <w:lang w:eastAsia="ru-RU"/>
        </w:rPr>
        <w:softHyphen/>
        <w:t>рованными</w:t>
      </w:r>
      <w:proofErr w:type="spellEnd"/>
      <w:r w:rsidRPr="00A55512">
        <w:rPr>
          <w:rFonts w:ascii="Times New Roman" w:eastAsia="Times New Roman" w:hAnsi="Times New Roman" w:cs="Times New Roman"/>
          <w:sz w:val="28"/>
          <w:szCs w:val="28"/>
          <w:lang w:eastAsia="ru-RU"/>
        </w:rPr>
        <w:t>;</w:t>
      </w:r>
    </w:p>
    <w:p w:rsidR="00A55512" w:rsidRPr="00A55512" w:rsidRDefault="00A55512" w:rsidP="00A55512">
      <w:pPr>
        <w:widowControl w:val="0"/>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sz w:val="28"/>
          <w:szCs w:val="28"/>
          <w:lang w:eastAsia="ru-RU"/>
        </w:rPr>
        <w:t>производство же в компаниях, достигнувших третьего уровня конкурентоспособности, как бы «поддерживается изнутри». На его развитие сориентированы все другие подразделения органи</w:t>
      </w:r>
      <w:r w:rsidRPr="00A55512">
        <w:rPr>
          <w:rFonts w:ascii="Times New Roman" w:eastAsia="Times New Roman" w:hAnsi="Times New Roman" w:cs="Times New Roman"/>
          <w:sz w:val="28"/>
          <w:szCs w:val="28"/>
          <w:lang w:eastAsia="ru-RU"/>
        </w:rPr>
        <w:softHyphen/>
        <w:t>зации;</w:t>
      </w:r>
    </w:p>
    <w:p w:rsidR="00A55512" w:rsidRPr="00A55512" w:rsidRDefault="00A55512" w:rsidP="00A55512">
      <w:pPr>
        <w:widowControl w:val="0"/>
        <w:numPr>
          <w:ilvl w:val="0"/>
          <w:numId w:val="2"/>
        </w:num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sz w:val="28"/>
          <w:szCs w:val="28"/>
          <w:lang w:eastAsia="ru-RU"/>
        </w:rPr>
        <w:t>любые нововведения, изменения в области производства продукции (ассортименте, качестве и т.п.) осуществляются здесь только тогда, когда есть уверенность в одобрении их конечными потребителями.</w:t>
      </w:r>
    </w:p>
    <w:p w:rsidR="00A55512" w:rsidRPr="00A55512" w:rsidRDefault="00A55512" w:rsidP="00A5551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sz w:val="28"/>
          <w:szCs w:val="28"/>
          <w:lang w:eastAsia="ru-RU"/>
        </w:rPr>
        <w:t>Успех в конкурентной борьбе зависит не столько от производства, сколько от управления, его качества и эффективнос</w:t>
      </w:r>
      <w:r w:rsidRPr="00A55512">
        <w:rPr>
          <w:rFonts w:ascii="Times New Roman" w:eastAsia="Times New Roman" w:hAnsi="Times New Roman" w:cs="Times New Roman"/>
          <w:sz w:val="28"/>
          <w:szCs w:val="28"/>
          <w:lang w:eastAsia="ru-RU"/>
        </w:rPr>
        <w:softHyphen/>
        <w:t>ти в широком смысле компании третьего уровня конкурентоспособности исповедуют концепцию интегрированного маркетинга, который ориентирован на предвосхищение нужд и запросов потребителей. Другие функции управления и производственные системы совершен</w:t>
      </w:r>
      <w:r w:rsidRPr="00A55512">
        <w:rPr>
          <w:rFonts w:ascii="Times New Roman" w:eastAsia="Times New Roman" w:hAnsi="Times New Roman" w:cs="Times New Roman"/>
          <w:sz w:val="28"/>
          <w:szCs w:val="28"/>
          <w:lang w:eastAsia="ru-RU"/>
        </w:rPr>
        <w:softHyphen/>
        <w:t>ствуются постоянно в соответствии с требованиями маркетинга.</w:t>
      </w:r>
    </w:p>
    <w:p w:rsidR="00A55512" w:rsidRPr="00A55512" w:rsidRDefault="00A55512" w:rsidP="00A55512">
      <w:pPr>
        <w:widowControl w:val="0"/>
        <w:shd w:val="clear" w:color="auto" w:fill="FFFFFF"/>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sz w:val="28"/>
          <w:szCs w:val="28"/>
          <w:lang w:eastAsia="ru-RU"/>
        </w:rPr>
        <w:t>Компании, которым удалось достичь четвертого уровня конкурентоспособности, оказываются впереди конкурентов на многие годы. Они не копируют опыт других фирм отрасли и опережают самые высокие из существующих стандартов. Они могут удовлетворить желания любого конкурента по всему миру в любом аспекте производства или управления. Любые изменения в управлении, орга</w:t>
      </w:r>
      <w:r w:rsidRPr="00A55512">
        <w:rPr>
          <w:rFonts w:ascii="Times New Roman" w:eastAsia="Times New Roman" w:hAnsi="Times New Roman" w:cs="Times New Roman"/>
          <w:sz w:val="28"/>
          <w:szCs w:val="28"/>
          <w:lang w:eastAsia="ru-RU"/>
        </w:rPr>
        <w:softHyphen/>
        <w:t>низации производства, в стратегии развития осуществляются здесь с учетом результатов изучения рынка.  Мало того, все функции управления оказываются непосредственно вовлеченными в процесс маркетинговых исследований или систематизацию их результатов. Все меньше маркетинговой работы сосредотачивается в специализированных подразделениях [2].</w:t>
      </w:r>
    </w:p>
    <w:p w:rsidR="00A55512" w:rsidRPr="00A55512" w:rsidRDefault="00A55512" w:rsidP="00A55512">
      <w:pPr>
        <w:widowControl w:val="0"/>
        <w:autoSpaceDE w:val="0"/>
        <w:autoSpaceDN w:val="0"/>
        <w:adjustRightInd w:val="0"/>
        <w:spacing w:after="0" w:line="240" w:lineRule="auto"/>
        <w:ind w:firstLine="709"/>
        <w:jc w:val="both"/>
        <w:rPr>
          <w:rFonts w:ascii="Times New Roman" w:eastAsia="TimesNewRoman" w:hAnsi="Times New Roman" w:cs="Times New Roman"/>
          <w:sz w:val="28"/>
          <w:szCs w:val="28"/>
          <w:lang w:eastAsia="ru-RU"/>
        </w:rPr>
      </w:pPr>
      <w:r w:rsidRPr="00A55512">
        <w:rPr>
          <w:rFonts w:ascii="Times New Roman" w:eastAsia="TimesNewRoman" w:hAnsi="Times New Roman" w:cs="Times New Roman"/>
          <w:sz w:val="28"/>
          <w:szCs w:val="28"/>
          <w:lang w:eastAsia="ru-RU"/>
        </w:rPr>
        <w:t>Процесс управления конкурентоспособностью, как и управление любым другим объектом, носит циклический, относительно замкнутый характер. Этот процесс, взятый в его единичном виде, начинается с постановки цели, задач и заканчивается выполнением этих задач, т.е. достижением определенного результата. На основе полученной информации о результатах (достижения или не достижения цели) конкретизируются и уточняются ранее поставленные задачи, ставятся новые, возможно, выдвигается новая цель, и цикл начинается заново. П</w:t>
      </w:r>
      <w:r w:rsidRPr="00A55512">
        <w:rPr>
          <w:rFonts w:ascii="Times New Roman" w:eastAsia="Times New Roman" w:hAnsi="Times New Roman" w:cs="Times New Roman"/>
          <w:sz w:val="28"/>
          <w:szCs w:val="28"/>
          <w:shd w:val="clear" w:color="auto" w:fill="FFFFFF"/>
          <w:lang w:eastAsia="ru-RU"/>
        </w:rPr>
        <w:t xml:space="preserve">ри разработке вариантов управленческих решений по повышению конкурентоспособности организации можно воспользоваться </w:t>
      </w:r>
      <w:r w:rsidRPr="00A55512">
        <w:rPr>
          <w:rFonts w:ascii="Times New Roman" w:eastAsia="TimesNewRoman" w:hAnsi="Times New Roman" w:cs="Times New Roman"/>
          <w:sz w:val="28"/>
          <w:szCs w:val="28"/>
          <w:lang w:eastAsia="ru-RU"/>
        </w:rPr>
        <w:t xml:space="preserve">SWOT-анализом (рис.1). </w:t>
      </w:r>
    </w:p>
    <w:p w:rsidR="00A55512" w:rsidRPr="00A55512" w:rsidRDefault="00A55512" w:rsidP="00A55512">
      <w:pPr>
        <w:widowControl w:val="0"/>
        <w:autoSpaceDE w:val="0"/>
        <w:autoSpaceDN w:val="0"/>
        <w:adjustRightInd w:val="0"/>
        <w:spacing w:after="0" w:line="240" w:lineRule="auto"/>
        <w:ind w:firstLine="709"/>
        <w:jc w:val="both"/>
        <w:rPr>
          <w:rFonts w:ascii="Times New Roman" w:eastAsia="TimesNewRoman" w:hAnsi="Times New Roman" w:cs="Times New Roman"/>
          <w:sz w:val="28"/>
          <w:szCs w:val="28"/>
          <w:lang w:eastAsia="ru-RU"/>
        </w:rPr>
      </w:pPr>
      <w:r w:rsidRPr="00A55512">
        <w:rPr>
          <w:rFonts w:ascii="Times New Roman" w:eastAsia="TimesNewRoman" w:hAnsi="Times New Roman" w:cs="Times New Roman"/>
          <w:sz w:val="28"/>
          <w:szCs w:val="28"/>
          <w:lang w:eastAsia="ru-RU"/>
        </w:rPr>
        <w:t xml:space="preserve">Он позволяет выявить и структурировать сильные и слабые стороны компании, а также потенциальные возможности и угрозы. Достигается это за счет сравнения внутренних сил и слабостей своей компании с возможностями, </w:t>
      </w:r>
      <w:r w:rsidRPr="00A55512">
        <w:rPr>
          <w:rFonts w:ascii="Times New Roman" w:eastAsia="TimesNewRoman" w:hAnsi="Times New Roman" w:cs="Times New Roman"/>
          <w:sz w:val="28"/>
          <w:szCs w:val="28"/>
          <w:lang w:eastAsia="ru-RU"/>
        </w:rPr>
        <w:lastRenderedPageBreak/>
        <w:t>которые дает им рынок.</w:t>
      </w:r>
    </w:p>
    <w:p w:rsidR="00A55512" w:rsidRPr="00A55512" w:rsidRDefault="00A55512" w:rsidP="00A55512">
      <w:pPr>
        <w:widowControl w:val="0"/>
        <w:autoSpaceDE w:val="0"/>
        <w:autoSpaceDN w:val="0"/>
        <w:adjustRightInd w:val="0"/>
        <w:spacing w:after="0" w:line="240" w:lineRule="auto"/>
        <w:ind w:firstLine="56"/>
        <w:jc w:val="center"/>
        <w:rPr>
          <w:rFonts w:ascii="Times New Roman" w:eastAsia="TimesNewRoman" w:hAnsi="Times New Roman" w:cs="Times New Roman"/>
          <w:sz w:val="28"/>
          <w:szCs w:val="28"/>
          <w:lang w:eastAsia="ru-RU"/>
        </w:rPr>
      </w:pPr>
      <w:r w:rsidRPr="00A55512">
        <w:rPr>
          <w:rFonts w:ascii="Times New Roman" w:eastAsia="TimesNewRoman" w:hAnsi="Times New Roman" w:cs="Times New Roman"/>
          <w:noProof/>
          <w:sz w:val="28"/>
          <w:szCs w:val="28"/>
          <w:lang w:eastAsia="ru-RU"/>
        </w:rPr>
        <w:drawing>
          <wp:inline distT="0" distB="0" distL="0" distR="0" wp14:anchorId="30EDF4BE" wp14:editId="33D2F571">
            <wp:extent cx="5095875" cy="1533525"/>
            <wp:effectExtent l="0" t="0" r="9525" b="9525"/>
            <wp:docPr id="1748" name="Рисунок 1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95875" cy="1533525"/>
                    </a:xfrm>
                    <a:prstGeom prst="rect">
                      <a:avLst/>
                    </a:prstGeom>
                    <a:noFill/>
                    <a:ln>
                      <a:noFill/>
                    </a:ln>
                  </pic:spPr>
                </pic:pic>
              </a:graphicData>
            </a:graphic>
          </wp:inline>
        </w:drawing>
      </w:r>
    </w:p>
    <w:p w:rsidR="00A55512" w:rsidRPr="00A55512" w:rsidRDefault="00A55512" w:rsidP="00A55512">
      <w:pPr>
        <w:widowControl w:val="0"/>
        <w:autoSpaceDE w:val="0"/>
        <w:autoSpaceDN w:val="0"/>
        <w:adjustRightInd w:val="0"/>
        <w:spacing w:after="0" w:line="240" w:lineRule="auto"/>
        <w:ind w:firstLine="709"/>
        <w:jc w:val="center"/>
        <w:rPr>
          <w:rFonts w:ascii="Times New Roman" w:eastAsia="TimesNewRoman" w:hAnsi="Times New Roman" w:cs="Times New Roman"/>
          <w:sz w:val="28"/>
          <w:szCs w:val="28"/>
          <w:lang w:eastAsia="ru-RU"/>
        </w:rPr>
      </w:pPr>
      <w:r w:rsidRPr="00A55512">
        <w:rPr>
          <w:rFonts w:ascii="Times New Roman" w:eastAsia="TimesNewRoman" w:hAnsi="Times New Roman" w:cs="Times New Roman"/>
          <w:sz w:val="28"/>
          <w:szCs w:val="28"/>
          <w:lang w:eastAsia="ru-RU"/>
        </w:rPr>
        <w:t xml:space="preserve">Рисунок 1 </w:t>
      </w:r>
      <w:r w:rsidRPr="00A55512">
        <w:rPr>
          <w:rFonts w:ascii="Times New Roman" w:eastAsia="Times New Roman" w:hAnsi="Times New Roman" w:cs="Times New Roman"/>
          <w:sz w:val="28"/>
          <w:szCs w:val="28"/>
          <w:lang w:eastAsia="ru-RU"/>
        </w:rPr>
        <w:t>–</w:t>
      </w:r>
      <w:r w:rsidRPr="00A55512">
        <w:rPr>
          <w:rFonts w:ascii="Times New Roman" w:eastAsia="TimesNewRoman" w:hAnsi="Times New Roman" w:cs="Times New Roman"/>
          <w:sz w:val="28"/>
          <w:szCs w:val="28"/>
          <w:lang w:eastAsia="ru-RU"/>
        </w:rPr>
        <w:t xml:space="preserve"> Основные компоненты SWOT-анализа</w:t>
      </w:r>
    </w:p>
    <w:p w:rsidR="00A55512" w:rsidRPr="00A55512" w:rsidRDefault="00A55512" w:rsidP="00A55512">
      <w:pPr>
        <w:widowControl w:val="0"/>
        <w:autoSpaceDE w:val="0"/>
        <w:autoSpaceDN w:val="0"/>
        <w:adjustRightInd w:val="0"/>
        <w:spacing w:after="0" w:line="240" w:lineRule="auto"/>
        <w:ind w:firstLine="709"/>
        <w:jc w:val="center"/>
        <w:rPr>
          <w:rFonts w:ascii="Times New Roman" w:eastAsia="TimesNewRoman" w:hAnsi="Times New Roman" w:cs="Times New Roman"/>
          <w:sz w:val="28"/>
          <w:szCs w:val="28"/>
          <w:lang w:eastAsia="ru-RU"/>
        </w:rPr>
      </w:pPr>
    </w:p>
    <w:p w:rsidR="00A55512" w:rsidRPr="00A55512" w:rsidRDefault="00A55512" w:rsidP="00A55512">
      <w:pPr>
        <w:widowControl w:val="0"/>
        <w:autoSpaceDE w:val="0"/>
        <w:autoSpaceDN w:val="0"/>
        <w:adjustRightInd w:val="0"/>
        <w:spacing w:after="0" w:line="240" w:lineRule="auto"/>
        <w:ind w:firstLine="709"/>
        <w:jc w:val="both"/>
        <w:rPr>
          <w:rFonts w:ascii="Times New Roman" w:eastAsia="TimesNewRoman" w:hAnsi="Times New Roman" w:cs="Times New Roman"/>
          <w:sz w:val="28"/>
          <w:szCs w:val="28"/>
          <w:lang w:eastAsia="ru-RU"/>
        </w:rPr>
      </w:pPr>
      <w:r w:rsidRPr="00A55512">
        <w:rPr>
          <w:rFonts w:ascii="Times New Roman" w:eastAsia="TimesNewRoman" w:hAnsi="Times New Roman" w:cs="Times New Roman"/>
          <w:sz w:val="28"/>
          <w:szCs w:val="28"/>
          <w:lang w:eastAsia="ru-RU"/>
        </w:rPr>
        <w:t xml:space="preserve">Исходя из качества соответствия, делается вывод о том, в каком направлении организация должна развивать свой бизнес. В целом проведение SWOT-анализа сводится к заполнению «матрицы SWOT-анализа», в соответствующие ячейки которой необходимо занести сильные и слабые стороны предприятия, а также рыночные возможности и угрозы. Качество анализа можно повысить, привлекая к его проведению лиц, не относящихся к организации. </w:t>
      </w:r>
    </w:p>
    <w:p w:rsidR="00A55512" w:rsidRPr="00A55512" w:rsidRDefault="00A55512" w:rsidP="00A55512">
      <w:pPr>
        <w:widowControl w:val="0"/>
        <w:autoSpaceDE w:val="0"/>
        <w:autoSpaceDN w:val="0"/>
        <w:adjustRightInd w:val="0"/>
        <w:spacing w:after="0" w:line="240" w:lineRule="auto"/>
        <w:ind w:firstLine="709"/>
        <w:jc w:val="both"/>
        <w:rPr>
          <w:rFonts w:ascii="Times New Roman" w:eastAsia="TimesNewRoman" w:hAnsi="Times New Roman" w:cs="Times New Roman"/>
          <w:sz w:val="28"/>
          <w:szCs w:val="28"/>
          <w:lang w:eastAsia="ru-RU"/>
        </w:rPr>
      </w:pPr>
      <w:r w:rsidRPr="00A55512">
        <w:rPr>
          <w:rFonts w:ascii="Times New Roman" w:eastAsia="TimesNewRoman" w:hAnsi="Times New Roman" w:cs="Times New Roman"/>
          <w:sz w:val="28"/>
          <w:szCs w:val="28"/>
          <w:lang w:eastAsia="ru-RU"/>
        </w:rPr>
        <w:t>Для сохранения своих конкурентных позиций и удержания доли рынка можно предложить несколько основных путей повышения его конкурентоспособности (рис.2).</w:t>
      </w:r>
    </w:p>
    <w:p w:rsidR="00A55512" w:rsidRPr="00A55512" w:rsidRDefault="00A55512" w:rsidP="00A55512">
      <w:pPr>
        <w:widowControl w:val="0"/>
        <w:autoSpaceDE w:val="0"/>
        <w:autoSpaceDN w:val="0"/>
        <w:adjustRightInd w:val="0"/>
        <w:spacing w:after="0" w:line="240" w:lineRule="auto"/>
        <w:ind w:firstLine="709"/>
        <w:jc w:val="both"/>
        <w:rPr>
          <w:rFonts w:ascii="Times New Roman" w:eastAsia="TimesNewRoman" w:hAnsi="Times New Roman" w:cs="Times New Roman"/>
          <w:sz w:val="28"/>
          <w:szCs w:val="28"/>
          <w:lang w:eastAsia="ru-RU"/>
        </w:rPr>
      </w:pPr>
    </w:p>
    <w:p w:rsidR="00A55512" w:rsidRPr="00A55512" w:rsidRDefault="00A55512" w:rsidP="00A55512">
      <w:pPr>
        <w:widowControl w:val="0"/>
        <w:autoSpaceDE w:val="0"/>
        <w:autoSpaceDN w:val="0"/>
        <w:adjustRightInd w:val="0"/>
        <w:spacing w:after="0" w:line="240" w:lineRule="auto"/>
        <w:ind w:firstLine="28"/>
        <w:jc w:val="center"/>
        <w:rPr>
          <w:rFonts w:ascii="Times New Roman" w:eastAsia="TimesNewRoman" w:hAnsi="Times New Roman" w:cs="Times New Roman"/>
          <w:sz w:val="28"/>
          <w:szCs w:val="28"/>
          <w:lang w:eastAsia="ru-RU"/>
        </w:rPr>
      </w:pPr>
      <w:r w:rsidRPr="00A55512">
        <w:rPr>
          <w:rFonts w:ascii="Times New Roman" w:eastAsia="TimesNewRoman" w:hAnsi="Times New Roman" w:cs="Times New Roman"/>
          <w:noProof/>
          <w:sz w:val="28"/>
          <w:szCs w:val="28"/>
          <w:lang w:eastAsia="ru-RU"/>
        </w:rPr>
        <w:drawing>
          <wp:inline distT="0" distB="0" distL="0" distR="0" wp14:anchorId="3F1EB06A" wp14:editId="1762AD79">
            <wp:extent cx="5438775" cy="4762500"/>
            <wp:effectExtent l="0" t="0" r="0" b="0"/>
            <wp:docPr id="1747" name="Рисунок 17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Схема 3"/>
                    <pic:cNvPicPr>
                      <a:picLocks noChangeArrowheads="1"/>
                    </pic:cNvPicPr>
                  </pic:nvPicPr>
                  <pic:blipFill>
                    <a:blip r:embed="rId6">
                      <a:extLst>
                        <a:ext uri="{28A0092B-C50C-407E-A947-70E740481C1C}">
                          <a14:useLocalDpi xmlns:a14="http://schemas.microsoft.com/office/drawing/2010/main" val="0"/>
                        </a:ext>
                      </a:extLst>
                    </a:blip>
                    <a:srcRect r="-1830" b="-72"/>
                    <a:stretch>
                      <a:fillRect/>
                    </a:stretch>
                  </pic:blipFill>
                  <pic:spPr bwMode="auto">
                    <a:xfrm>
                      <a:off x="0" y="0"/>
                      <a:ext cx="5438775" cy="4762500"/>
                    </a:xfrm>
                    <a:prstGeom prst="rect">
                      <a:avLst/>
                    </a:prstGeom>
                    <a:noFill/>
                    <a:ln>
                      <a:noFill/>
                    </a:ln>
                  </pic:spPr>
                </pic:pic>
              </a:graphicData>
            </a:graphic>
          </wp:inline>
        </w:drawing>
      </w:r>
    </w:p>
    <w:p w:rsidR="00A55512" w:rsidRPr="00A55512" w:rsidRDefault="00A55512" w:rsidP="00A5551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A55512">
        <w:rPr>
          <w:rFonts w:ascii="Times New Roman" w:eastAsia="TimesNewRoman" w:hAnsi="Times New Roman" w:cs="Times New Roman"/>
          <w:sz w:val="28"/>
          <w:szCs w:val="28"/>
          <w:lang w:eastAsia="ru-RU"/>
        </w:rPr>
        <w:lastRenderedPageBreak/>
        <w:t xml:space="preserve">Рисунок 2 </w:t>
      </w:r>
      <w:r w:rsidRPr="00A55512">
        <w:rPr>
          <w:rFonts w:ascii="Times New Roman" w:eastAsia="TimesNewRoman" w:hAnsi="Times New Roman" w:cs="Times New Roman"/>
          <w:sz w:val="28"/>
          <w:szCs w:val="28"/>
          <w:lang w:eastAsia="ru-RU"/>
        </w:rPr>
        <w:softHyphen/>
      </w:r>
      <w:r w:rsidRPr="00A55512">
        <w:rPr>
          <w:rFonts w:ascii="Times New Roman" w:eastAsia="Times New Roman" w:hAnsi="Times New Roman" w:cs="Times New Roman"/>
          <w:sz w:val="28"/>
          <w:szCs w:val="28"/>
          <w:lang w:eastAsia="ru-RU"/>
        </w:rPr>
        <w:t>– Пути повышения конкурентоспособности</w:t>
      </w:r>
    </w:p>
    <w:p w:rsidR="00A55512" w:rsidRPr="00A55512" w:rsidRDefault="00A55512" w:rsidP="00A55512">
      <w:pPr>
        <w:widowControl w:val="0"/>
        <w:autoSpaceDE w:val="0"/>
        <w:autoSpaceDN w:val="0"/>
        <w:adjustRightInd w:val="0"/>
        <w:spacing w:after="0" w:line="240" w:lineRule="auto"/>
        <w:ind w:firstLine="709"/>
        <w:jc w:val="both"/>
        <w:rPr>
          <w:rFonts w:ascii="Times New Roman" w:eastAsia="TimesNewRoman" w:hAnsi="Times New Roman" w:cs="Times New Roman"/>
          <w:sz w:val="28"/>
          <w:szCs w:val="28"/>
          <w:lang w:eastAsia="ru-RU"/>
        </w:rPr>
      </w:pPr>
      <w:r w:rsidRPr="00A55512">
        <w:rPr>
          <w:rFonts w:ascii="Times New Roman" w:eastAsia="TimesNewRoman" w:hAnsi="Times New Roman" w:cs="Times New Roman"/>
          <w:sz w:val="28"/>
          <w:szCs w:val="28"/>
          <w:lang w:eastAsia="ru-RU"/>
        </w:rPr>
        <w:t>Для обеспечения благоприятной и минимально уязвимой для конкурентов позиции предприятию необходимо обладать более значительными по сравнению с соперниками конкурентными преимуществами и статусом (быть лидером) и т.п. Предприятие может привлекать на свою сторону клиентов конкурентов, предоставляя им товары и услуги повышенного качества по приемлемым ценам, особое обслуживание и пр. Используя совокупность данных факторов, предприятие может быть конкурентоспособным, доминировать над конкурентами и сохранять лидирующие позиции на рынке в своем сегменте. Анализ конкурентоспособности организации дает возможность определить сильные и слабые стороны предприятия, помогает достаточно уверенно идентифицировать возможности и угрозы и принять верные управленческие решения, иными словами, достигнуть конечной цели любого предприятия – победить в конкурентной борьбе [3].</w:t>
      </w:r>
    </w:p>
    <w:p w:rsidR="00A55512" w:rsidRPr="00A55512" w:rsidRDefault="00A55512" w:rsidP="00A5551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55512">
        <w:rPr>
          <w:rFonts w:ascii="Times New Roman" w:eastAsia="Times New Roman" w:hAnsi="Times New Roman" w:cs="Times New Roman"/>
          <w:b/>
          <w:sz w:val="28"/>
          <w:szCs w:val="28"/>
          <w:lang w:eastAsia="ru-RU"/>
        </w:rPr>
        <w:t>Вывод.</w:t>
      </w:r>
      <w:r w:rsidRPr="00A55512">
        <w:rPr>
          <w:rFonts w:ascii="Times New Roman" w:eastAsia="Times New Roman" w:hAnsi="Times New Roman" w:cs="Times New Roman"/>
          <w:sz w:val="28"/>
          <w:szCs w:val="28"/>
          <w:lang w:eastAsia="ru-RU"/>
        </w:rPr>
        <w:t xml:space="preserve"> Таким образом, система управления конкурентоспособностью предприятия – это способ организации эффективного взаимодействия управляющих, исполнительных подразделений и конкретных лиц, участвующих в создании, изготовлении, использовании и сервисном обслуживании продукции с целью придания ей свойств, обеспечивающих удовлетворение определенных потребностей и запросов потребления при минимальном расходовании всех видов ресурсов и средств.</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4085"/>
        <w:gridCol w:w="4603"/>
      </w:tblGrid>
      <w:tr w:rsidR="00A55512" w:rsidRPr="00A55512" w:rsidTr="001543A5">
        <w:tc>
          <w:tcPr>
            <w:tcW w:w="4819" w:type="dxa"/>
            <w:gridSpan w:val="2"/>
          </w:tcPr>
          <w:p w:rsidR="00A55512" w:rsidRPr="00A55512" w:rsidRDefault="00A55512" w:rsidP="00A55512">
            <w:pPr>
              <w:widowControl w:val="0"/>
              <w:jc w:val="both"/>
              <w:rPr>
                <w:rFonts w:ascii="Times New Roman" w:hAnsi="Times New Roman"/>
                <w:sz w:val="28"/>
                <w:szCs w:val="28"/>
              </w:rPr>
            </w:pPr>
          </w:p>
        </w:tc>
        <w:tc>
          <w:tcPr>
            <w:tcW w:w="4820" w:type="dxa"/>
          </w:tcPr>
          <w:p w:rsidR="00A55512" w:rsidRPr="00A55512" w:rsidRDefault="00A55512" w:rsidP="00A55512">
            <w:pPr>
              <w:widowControl w:val="0"/>
              <w:jc w:val="both"/>
              <w:rPr>
                <w:rFonts w:ascii="Times New Roman" w:hAnsi="Times New Roman"/>
                <w:sz w:val="28"/>
                <w:szCs w:val="28"/>
              </w:rPr>
            </w:pPr>
          </w:p>
        </w:tc>
      </w:tr>
      <w:tr w:rsidR="00A55512" w:rsidRPr="00A55512" w:rsidTr="001543A5">
        <w:tc>
          <w:tcPr>
            <w:tcW w:w="9639" w:type="dxa"/>
            <w:gridSpan w:val="3"/>
          </w:tcPr>
          <w:p w:rsidR="00A55512" w:rsidRPr="00A55512" w:rsidRDefault="00A55512" w:rsidP="00A55512">
            <w:pPr>
              <w:widowControl w:val="0"/>
              <w:jc w:val="center"/>
              <w:rPr>
                <w:rFonts w:ascii="Times New Roman" w:hAnsi="Times New Roman"/>
                <w:sz w:val="28"/>
                <w:szCs w:val="28"/>
              </w:rPr>
            </w:pPr>
            <w:r w:rsidRPr="00A55512">
              <w:rPr>
                <w:rFonts w:ascii="Times New Roman" w:hAnsi="Times New Roman"/>
                <w:b/>
                <w:sz w:val="28"/>
                <w:szCs w:val="28"/>
              </w:rPr>
              <w:t>Список литературы</w:t>
            </w:r>
          </w:p>
        </w:tc>
      </w:tr>
      <w:tr w:rsidR="00A55512" w:rsidRPr="00A55512" w:rsidTr="001543A5">
        <w:tc>
          <w:tcPr>
            <w:tcW w:w="567" w:type="dxa"/>
          </w:tcPr>
          <w:p w:rsidR="00A55512" w:rsidRPr="00A55512" w:rsidRDefault="00A55512" w:rsidP="00A55512">
            <w:pPr>
              <w:widowControl w:val="0"/>
              <w:numPr>
                <w:ilvl w:val="0"/>
                <w:numId w:val="1"/>
              </w:numPr>
              <w:contextualSpacing/>
              <w:jc w:val="both"/>
              <w:rPr>
                <w:rFonts w:ascii="Times New Roman" w:hAnsi="Times New Roman"/>
                <w:sz w:val="24"/>
                <w:szCs w:val="24"/>
              </w:rPr>
            </w:pPr>
          </w:p>
        </w:tc>
        <w:tc>
          <w:tcPr>
            <w:tcW w:w="9072" w:type="dxa"/>
            <w:gridSpan w:val="2"/>
          </w:tcPr>
          <w:p w:rsidR="00A55512" w:rsidRPr="00A55512" w:rsidRDefault="00A55512" w:rsidP="00A55512">
            <w:pPr>
              <w:widowControl w:val="0"/>
              <w:autoSpaceDE w:val="0"/>
              <w:autoSpaceDN w:val="0"/>
              <w:adjustRightInd w:val="0"/>
              <w:jc w:val="both"/>
              <w:rPr>
                <w:rFonts w:ascii="Times New Roman" w:hAnsi="Times New Roman"/>
                <w:sz w:val="24"/>
                <w:szCs w:val="24"/>
              </w:rPr>
            </w:pPr>
            <w:r w:rsidRPr="00A55512">
              <w:rPr>
                <w:rFonts w:ascii="Times New Roman" w:hAnsi="Times New Roman"/>
                <w:sz w:val="24"/>
                <w:szCs w:val="24"/>
              </w:rPr>
              <w:t xml:space="preserve">Старцев П.В. Анализ подходов к сущности понятий «конкурентоспособность предприятия» и «конкурентное преимущество» // Российское предпринимательство. </w:t>
            </w:r>
            <w:r w:rsidRPr="00A55512">
              <w:rPr>
                <w:rFonts w:ascii="Times New Roman" w:hAnsi="Times New Roman"/>
                <w:sz w:val="24"/>
                <w:szCs w:val="24"/>
              </w:rPr>
              <w:softHyphen/>
              <w:t>– 2014.</w:t>
            </w:r>
            <w:r w:rsidRPr="00A55512">
              <w:rPr>
                <w:rFonts w:ascii="Times New Roman" w:hAnsi="Times New Roman"/>
                <w:sz w:val="24"/>
                <w:szCs w:val="24"/>
              </w:rPr>
              <w:softHyphen/>
              <w:t xml:space="preserve"> – № 16 – С. 262 – 266.</w:t>
            </w:r>
          </w:p>
        </w:tc>
      </w:tr>
      <w:tr w:rsidR="00A55512" w:rsidRPr="00A55512" w:rsidTr="001543A5">
        <w:tc>
          <w:tcPr>
            <w:tcW w:w="567" w:type="dxa"/>
          </w:tcPr>
          <w:p w:rsidR="00A55512" w:rsidRPr="00A55512" w:rsidRDefault="00A55512" w:rsidP="00A55512">
            <w:pPr>
              <w:widowControl w:val="0"/>
              <w:numPr>
                <w:ilvl w:val="0"/>
                <w:numId w:val="1"/>
              </w:numPr>
              <w:contextualSpacing/>
              <w:jc w:val="both"/>
              <w:rPr>
                <w:rFonts w:ascii="Times New Roman" w:hAnsi="Times New Roman"/>
                <w:sz w:val="24"/>
                <w:szCs w:val="24"/>
              </w:rPr>
            </w:pPr>
          </w:p>
        </w:tc>
        <w:tc>
          <w:tcPr>
            <w:tcW w:w="9072" w:type="dxa"/>
            <w:gridSpan w:val="2"/>
          </w:tcPr>
          <w:p w:rsidR="00A55512" w:rsidRPr="00A55512" w:rsidRDefault="00A55512" w:rsidP="00A55512">
            <w:pPr>
              <w:widowControl w:val="0"/>
              <w:autoSpaceDE w:val="0"/>
              <w:autoSpaceDN w:val="0"/>
              <w:adjustRightInd w:val="0"/>
              <w:jc w:val="both"/>
              <w:rPr>
                <w:rFonts w:ascii="Times New Roman" w:hAnsi="Times New Roman"/>
                <w:sz w:val="24"/>
                <w:szCs w:val="24"/>
              </w:rPr>
            </w:pPr>
            <w:r w:rsidRPr="00A55512">
              <w:rPr>
                <w:rFonts w:ascii="Times New Roman" w:hAnsi="Times New Roman"/>
                <w:sz w:val="24"/>
                <w:szCs w:val="24"/>
              </w:rPr>
              <w:t>Л.С. Егорова, А.А. Макарычев Управление конкурентоспособностью предприятия // Вестник   Нижегородского университета им. Н.И. Лобачевского. – 2010.– № 6 – С. 316 – 322.</w:t>
            </w:r>
          </w:p>
        </w:tc>
      </w:tr>
      <w:tr w:rsidR="00A55512" w:rsidRPr="00A55512" w:rsidTr="001543A5">
        <w:tc>
          <w:tcPr>
            <w:tcW w:w="567" w:type="dxa"/>
          </w:tcPr>
          <w:p w:rsidR="00A55512" w:rsidRPr="00A55512" w:rsidRDefault="00A55512" w:rsidP="00A55512">
            <w:pPr>
              <w:widowControl w:val="0"/>
              <w:numPr>
                <w:ilvl w:val="0"/>
                <w:numId w:val="1"/>
              </w:numPr>
              <w:contextualSpacing/>
              <w:jc w:val="both"/>
              <w:rPr>
                <w:rFonts w:ascii="Times New Roman" w:hAnsi="Times New Roman"/>
                <w:sz w:val="24"/>
                <w:szCs w:val="24"/>
              </w:rPr>
            </w:pPr>
          </w:p>
        </w:tc>
        <w:tc>
          <w:tcPr>
            <w:tcW w:w="9072" w:type="dxa"/>
            <w:gridSpan w:val="2"/>
          </w:tcPr>
          <w:p w:rsidR="00A55512" w:rsidRPr="00A55512" w:rsidRDefault="00A55512" w:rsidP="00A55512">
            <w:pPr>
              <w:widowControl w:val="0"/>
              <w:autoSpaceDE w:val="0"/>
              <w:autoSpaceDN w:val="0"/>
              <w:adjustRightInd w:val="0"/>
              <w:jc w:val="both"/>
              <w:rPr>
                <w:rFonts w:ascii="Times New Roman" w:hAnsi="Times New Roman"/>
                <w:sz w:val="24"/>
                <w:szCs w:val="24"/>
              </w:rPr>
            </w:pPr>
            <w:r w:rsidRPr="00A55512">
              <w:rPr>
                <w:rFonts w:ascii="Times New Roman" w:hAnsi="Times New Roman"/>
                <w:sz w:val="24"/>
                <w:szCs w:val="24"/>
              </w:rPr>
              <w:t>Решетникова Т.П. Методы оценки конкурентоспособности предприятия // Вестник Нижегородского университета. – 2009. – № 9– С.166 – 173.</w:t>
            </w:r>
          </w:p>
        </w:tc>
      </w:tr>
    </w:tbl>
    <w:p w:rsidR="009E0DB7" w:rsidRDefault="009E0DB7">
      <w:bookmarkStart w:id="8" w:name="_GoBack"/>
      <w:bookmarkEnd w:id="8"/>
    </w:p>
    <w:sectPr w:rsidR="009E0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9331C"/>
    <w:multiLevelType w:val="hybridMultilevel"/>
    <w:tmpl w:val="E7322B56"/>
    <w:lvl w:ilvl="0" w:tplc="2C28519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25490D35"/>
    <w:multiLevelType w:val="hybridMultilevel"/>
    <w:tmpl w:val="27A4403C"/>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12"/>
    <w:rsid w:val="009E0DB7"/>
    <w:rsid w:val="00A555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912911-243D-4AEA-8683-DFD22BF0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551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1489</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2017-12-03T09:42:00Z</dcterms:created>
  <dcterms:modified xsi:type="dcterms:W3CDTF">2017-12-03T09:43:00Z</dcterms:modified>
</cp:coreProperties>
</file>