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4319"/>
      </w:tblGrid>
      <w:tr w:rsidR="00F451C3" w:rsidRPr="00F451C3" w:rsidTr="001543A5">
        <w:tc>
          <w:tcPr>
            <w:tcW w:w="9648" w:type="dxa"/>
            <w:gridSpan w:val="2"/>
            <w:tcMar>
              <w:left w:w="0" w:type="dxa"/>
              <w:right w:w="0" w:type="dxa"/>
            </w:tcMar>
          </w:tcPr>
          <w:p w:rsidR="00F451C3" w:rsidRPr="00F451C3" w:rsidRDefault="00F451C3" w:rsidP="00F451C3">
            <w:pPr>
              <w:widowControl w:val="0"/>
              <w:jc w:val="both"/>
              <w:rPr>
                <w:rFonts w:ascii="Times New Roman" w:hAnsi="Times New Roman"/>
                <w:b/>
                <w:sz w:val="28"/>
                <w:lang w:val="uk-UA"/>
              </w:rPr>
            </w:pPr>
            <w:r w:rsidRPr="00F451C3">
              <w:rPr>
                <w:rFonts w:ascii="Times New Roman" w:hAnsi="Times New Roman"/>
                <w:b/>
                <w:sz w:val="28"/>
                <w:szCs w:val="28"/>
              </w:rPr>
              <w:t>УДК</w:t>
            </w:r>
            <w:r w:rsidRPr="00F451C3">
              <w:rPr>
                <w:rFonts w:ascii="Times New Roman" w:hAnsi="Times New Roman"/>
                <w:b/>
                <w:bCs/>
                <w:sz w:val="28"/>
                <w:szCs w:val="28"/>
              </w:rPr>
              <w:t>33</w:t>
            </w:r>
            <w:r w:rsidRPr="00F451C3">
              <w:rPr>
                <w:rFonts w:ascii="Times New Roman" w:hAnsi="Times New Roman"/>
                <w:b/>
                <w:bCs/>
                <w:sz w:val="28"/>
                <w:szCs w:val="28"/>
                <w:lang w:val="uk-UA"/>
              </w:rPr>
              <w:t>6</w:t>
            </w:r>
          </w:p>
        </w:tc>
      </w:tr>
      <w:tr w:rsidR="00F451C3" w:rsidRPr="00F451C3" w:rsidTr="001543A5">
        <w:tc>
          <w:tcPr>
            <w:tcW w:w="9648" w:type="dxa"/>
            <w:gridSpan w:val="2"/>
            <w:tcMar>
              <w:left w:w="0" w:type="dxa"/>
              <w:right w:w="0" w:type="dxa"/>
            </w:tcMar>
          </w:tcPr>
          <w:p w:rsidR="00F451C3" w:rsidRPr="00F451C3" w:rsidRDefault="00F451C3" w:rsidP="00F451C3">
            <w:pPr>
              <w:widowControl w:val="0"/>
              <w:jc w:val="center"/>
              <w:outlineLvl w:val="0"/>
              <w:rPr>
                <w:rFonts w:ascii="Times New Roman" w:hAnsi="Times New Roman"/>
                <w:b/>
                <w:bCs/>
                <w:sz w:val="28"/>
                <w:szCs w:val="28"/>
              </w:rPr>
            </w:pPr>
            <w:bookmarkStart w:id="0" w:name="_Toc480490893"/>
            <w:bookmarkStart w:id="1" w:name="_Toc480537115"/>
            <w:r w:rsidRPr="00F451C3">
              <w:rPr>
                <w:rFonts w:ascii="Times New Roman" w:hAnsi="Times New Roman"/>
                <w:b/>
                <w:bCs/>
                <w:sz w:val="28"/>
                <w:szCs w:val="28"/>
              </w:rPr>
              <w:t>ВЗАИМОСВЯЗЬ ЛИКВИДНОСТИ И ПЛАТЕЖЕСПОСОБНОСТИ ОРГАНИЗАЦИИ И ОСОБЕННОСТИ ИХ АНАЛИЗА</w:t>
            </w:r>
            <w:bookmarkEnd w:id="0"/>
            <w:bookmarkEnd w:id="1"/>
          </w:p>
        </w:tc>
      </w:tr>
      <w:tr w:rsidR="00F451C3" w:rsidRPr="00F451C3" w:rsidTr="001543A5">
        <w:tc>
          <w:tcPr>
            <w:tcW w:w="5250" w:type="dxa"/>
            <w:tcMar>
              <w:left w:w="0" w:type="dxa"/>
              <w:right w:w="0" w:type="dxa"/>
            </w:tcMar>
          </w:tcPr>
          <w:p w:rsidR="00F451C3" w:rsidRPr="00F451C3" w:rsidRDefault="00F451C3" w:rsidP="00F451C3">
            <w:pPr>
              <w:widowControl w:val="0"/>
              <w:jc w:val="right"/>
              <w:rPr>
                <w:rFonts w:ascii="Times New Roman" w:hAnsi="Times New Roman"/>
                <w:sz w:val="28"/>
                <w:szCs w:val="28"/>
              </w:rPr>
            </w:pPr>
          </w:p>
        </w:tc>
        <w:tc>
          <w:tcPr>
            <w:tcW w:w="4398" w:type="dxa"/>
            <w:tcMar>
              <w:left w:w="0" w:type="dxa"/>
              <w:right w:w="0" w:type="dxa"/>
            </w:tcMar>
          </w:tcPr>
          <w:p w:rsidR="00F451C3" w:rsidRPr="00F451C3" w:rsidRDefault="00F451C3" w:rsidP="00F451C3">
            <w:pPr>
              <w:widowControl w:val="0"/>
              <w:rPr>
                <w:rFonts w:ascii="Times New Roman" w:hAnsi="Times New Roman"/>
                <w:sz w:val="28"/>
                <w:szCs w:val="28"/>
              </w:rPr>
            </w:pPr>
          </w:p>
        </w:tc>
      </w:tr>
      <w:tr w:rsidR="00F451C3" w:rsidRPr="00F451C3" w:rsidTr="001543A5">
        <w:tc>
          <w:tcPr>
            <w:tcW w:w="5250" w:type="dxa"/>
            <w:tcMar>
              <w:left w:w="0" w:type="dxa"/>
              <w:right w:w="0" w:type="dxa"/>
            </w:tcMar>
          </w:tcPr>
          <w:p w:rsidR="00F451C3" w:rsidRPr="00F451C3" w:rsidRDefault="00F451C3" w:rsidP="00F451C3">
            <w:pPr>
              <w:widowControl w:val="0"/>
              <w:outlineLvl w:val="0"/>
              <w:rPr>
                <w:rFonts w:ascii="Times New Roman" w:hAnsi="Times New Roman"/>
                <w:b/>
                <w:bCs/>
                <w:sz w:val="28"/>
                <w:szCs w:val="28"/>
              </w:rPr>
            </w:pPr>
          </w:p>
        </w:tc>
        <w:tc>
          <w:tcPr>
            <w:tcW w:w="4398" w:type="dxa"/>
            <w:tcMar>
              <w:left w:w="0" w:type="dxa"/>
              <w:right w:w="0" w:type="dxa"/>
            </w:tcMar>
          </w:tcPr>
          <w:p w:rsidR="00F451C3" w:rsidRPr="00F451C3" w:rsidRDefault="00F451C3" w:rsidP="00F451C3">
            <w:pPr>
              <w:widowControl w:val="0"/>
              <w:contextualSpacing/>
              <w:rPr>
                <w:rFonts w:ascii="Times New Roman" w:hAnsi="Times New Roman"/>
                <w:b/>
                <w:sz w:val="28"/>
                <w:lang w:val="uk-UA"/>
              </w:rPr>
            </w:pPr>
            <w:bookmarkStart w:id="2" w:name="_Toc480490894"/>
            <w:bookmarkStart w:id="3" w:name="_Toc480537116"/>
            <w:r w:rsidRPr="00F451C3">
              <w:rPr>
                <w:rFonts w:ascii="Times New Roman" w:hAnsi="Times New Roman"/>
                <w:b/>
                <w:bCs/>
                <w:sz w:val="28"/>
                <w:szCs w:val="26"/>
              </w:rPr>
              <w:t xml:space="preserve">С.В. </w:t>
            </w:r>
            <w:proofErr w:type="spellStart"/>
            <w:r w:rsidRPr="00F451C3">
              <w:rPr>
                <w:rFonts w:ascii="Times New Roman" w:hAnsi="Times New Roman"/>
                <w:b/>
                <w:bCs/>
                <w:sz w:val="28"/>
                <w:szCs w:val="26"/>
              </w:rPr>
              <w:t>Измайлович</w:t>
            </w:r>
            <w:proofErr w:type="spellEnd"/>
            <w:r w:rsidRPr="00F451C3">
              <w:rPr>
                <w:rFonts w:ascii="Times New Roman" w:hAnsi="Times New Roman"/>
                <w:b/>
                <w:bCs/>
                <w:sz w:val="28"/>
                <w:szCs w:val="26"/>
              </w:rPr>
              <w:t>,</w:t>
            </w:r>
            <w:bookmarkEnd w:id="2"/>
            <w:bookmarkEnd w:id="3"/>
            <w:r w:rsidRPr="00F451C3">
              <w:rPr>
                <w:rFonts w:ascii="Times New Roman" w:hAnsi="Times New Roman"/>
                <w:b/>
                <w:bCs/>
                <w:sz w:val="28"/>
                <w:szCs w:val="26"/>
              </w:rPr>
              <w:t xml:space="preserve"> </w:t>
            </w:r>
            <w:r w:rsidRPr="00F451C3">
              <w:rPr>
                <w:rFonts w:ascii="Times New Roman" w:hAnsi="Times New Roman"/>
                <w:i/>
                <w:sz w:val="28"/>
              </w:rPr>
              <w:t>к.э.н., доцент</w:t>
            </w:r>
            <w:r w:rsidRPr="00F451C3">
              <w:rPr>
                <w:rFonts w:ascii="Times New Roman" w:hAnsi="Times New Roman"/>
                <w:i/>
                <w:sz w:val="28"/>
                <w:lang w:val="uk-UA"/>
              </w:rPr>
              <w:t>,</w:t>
            </w:r>
          </w:p>
          <w:p w:rsidR="00F451C3" w:rsidRPr="00F451C3" w:rsidRDefault="00F451C3" w:rsidP="00F451C3">
            <w:pPr>
              <w:widowControl w:val="0"/>
              <w:outlineLvl w:val="1"/>
              <w:rPr>
                <w:rFonts w:ascii="Times New Roman" w:hAnsi="Times New Roman"/>
                <w:b/>
                <w:bCs/>
                <w:sz w:val="28"/>
                <w:szCs w:val="26"/>
              </w:rPr>
            </w:pPr>
            <w:bookmarkStart w:id="4" w:name="_Toc480490895"/>
            <w:bookmarkStart w:id="5" w:name="_Toc480537117"/>
            <w:r w:rsidRPr="00F451C3">
              <w:rPr>
                <w:rFonts w:ascii="Times New Roman" w:hAnsi="Times New Roman"/>
                <w:b/>
                <w:bCs/>
                <w:sz w:val="28"/>
                <w:szCs w:val="26"/>
              </w:rPr>
              <w:t>А.В. Игнатьева</w:t>
            </w:r>
            <w:bookmarkEnd w:id="4"/>
            <w:bookmarkEnd w:id="5"/>
          </w:p>
          <w:p w:rsidR="00F451C3" w:rsidRPr="00F451C3" w:rsidRDefault="00F451C3" w:rsidP="00F451C3">
            <w:pPr>
              <w:widowControl w:val="0"/>
              <w:contextualSpacing/>
              <w:rPr>
                <w:rFonts w:ascii="Times New Roman" w:hAnsi="Times New Roman"/>
                <w:i/>
                <w:sz w:val="28"/>
              </w:rPr>
            </w:pPr>
            <w:r w:rsidRPr="00F451C3">
              <w:rPr>
                <w:rFonts w:ascii="Times New Roman" w:hAnsi="Times New Roman"/>
                <w:i/>
                <w:sz w:val="28"/>
              </w:rPr>
              <w:t>Полоцкий государственный университет</w:t>
            </w:r>
          </w:p>
          <w:p w:rsidR="00F451C3" w:rsidRPr="00F451C3" w:rsidRDefault="00F451C3" w:rsidP="00F451C3">
            <w:pPr>
              <w:widowControl w:val="0"/>
              <w:tabs>
                <w:tab w:val="left" w:pos="5670"/>
              </w:tabs>
              <w:rPr>
                <w:rFonts w:ascii="Times New Roman" w:hAnsi="Times New Roman"/>
                <w:b/>
                <w:sz w:val="28"/>
              </w:rPr>
            </w:pPr>
            <w:r w:rsidRPr="00F451C3">
              <w:rPr>
                <w:rFonts w:ascii="Times New Roman" w:hAnsi="Times New Roman"/>
                <w:i/>
                <w:sz w:val="28"/>
              </w:rPr>
              <w:t>г. Новополоцк, Республика Беларусь</w:t>
            </w:r>
          </w:p>
        </w:tc>
      </w:tr>
    </w:tbl>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i/>
          <w:sz w:val="28"/>
          <w:lang w:eastAsia="ru-RU"/>
        </w:rPr>
      </w:pPr>
      <w:r w:rsidRPr="00F451C3">
        <w:rPr>
          <w:rFonts w:ascii="Times New Roman" w:eastAsia="Times New Roman" w:hAnsi="Times New Roman" w:cs="Times New Roman"/>
          <w:i/>
          <w:sz w:val="28"/>
          <w:lang w:eastAsia="ru-RU"/>
        </w:rPr>
        <w:t xml:space="preserve">Аннотация. В статье рассмотрены понятия платежеспособности и ликвидности, а также установлена их взаимосвязь. Проанализированы особенности расчета основных коэффициентов платежеспособности в странах Евразийского экономического союза. </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i/>
          <w:sz w:val="28"/>
          <w:lang w:eastAsia="ru-RU"/>
        </w:rPr>
      </w:pPr>
      <w:r w:rsidRPr="00F451C3">
        <w:rPr>
          <w:rFonts w:ascii="Times New Roman" w:eastAsia="Times New Roman" w:hAnsi="Times New Roman" w:cs="Times New Roman"/>
          <w:i/>
          <w:sz w:val="28"/>
          <w:lang w:eastAsia="ru-RU"/>
        </w:rPr>
        <w:t>Ключевые слова: платежеспособность, ликвидность.</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i/>
          <w:sz w:val="28"/>
          <w:lang w:val="en-US" w:eastAsia="ru-RU"/>
        </w:rPr>
      </w:pPr>
      <w:r w:rsidRPr="00F451C3">
        <w:rPr>
          <w:rFonts w:ascii="Times New Roman" w:eastAsia="Times New Roman" w:hAnsi="Times New Roman" w:cs="Times New Roman"/>
          <w:i/>
          <w:sz w:val="28"/>
          <w:lang w:val="en-US" w:eastAsia="ru-RU"/>
        </w:rPr>
        <w:t>Summary</w:t>
      </w:r>
      <w:r w:rsidRPr="00F451C3">
        <w:rPr>
          <w:rFonts w:ascii="Times New Roman" w:eastAsia="Times New Roman" w:hAnsi="Times New Roman" w:cs="Times New Roman"/>
          <w:i/>
          <w:sz w:val="28"/>
          <w:lang w:eastAsia="ru-RU"/>
        </w:rPr>
        <w:t xml:space="preserve">. </w:t>
      </w:r>
      <w:r w:rsidRPr="00F451C3">
        <w:rPr>
          <w:rFonts w:ascii="Times New Roman" w:eastAsia="Times New Roman" w:hAnsi="Times New Roman" w:cs="Times New Roman"/>
          <w:i/>
          <w:sz w:val="28"/>
          <w:lang w:val="en-US" w:eastAsia="ru-RU"/>
        </w:rPr>
        <w:t>The article considers the concepts of solvency and liquidity, as well as their interrelation. Analyzed the features of the basic coefficients for the calculation of solvency in the countries of the Eurasian economic Union.</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i/>
          <w:sz w:val="28"/>
          <w:lang w:eastAsia="ru-RU"/>
        </w:rPr>
      </w:pPr>
      <w:r w:rsidRPr="00F451C3">
        <w:rPr>
          <w:rFonts w:ascii="Times New Roman" w:eastAsia="Times New Roman" w:hAnsi="Times New Roman" w:cs="Times New Roman"/>
          <w:i/>
          <w:sz w:val="28"/>
          <w:lang w:val="en-US" w:eastAsia="ru-RU"/>
        </w:rPr>
        <w:t>Keywords</w:t>
      </w:r>
      <w:r w:rsidRPr="00F451C3">
        <w:rPr>
          <w:rFonts w:ascii="Times New Roman" w:eastAsia="Times New Roman" w:hAnsi="Times New Roman" w:cs="Times New Roman"/>
          <w:i/>
          <w:sz w:val="28"/>
          <w:lang w:eastAsia="ru-RU"/>
        </w:rPr>
        <w:t xml:space="preserve">: </w:t>
      </w:r>
      <w:r w:rsidRPr="00F451C3">
        <w:rPr>
          <w:rFonts w:ascii="Times New Roman" w:eastAsia="Times New Roman" w:hAnsi="Times New Roman" w:cs="Times New Roman"/>
          <w:i/>
          <w:sz w:val="28"/>
          <w:lang w:val="en-US" w:eastAsia="ru-RU"/>
        </w:rPr>
        <w:t>solvency</w:t>
      </w:r>
      <w:r w:rsidRPr="00F451C3">
        <w:rPr>
          <w:rFonts w:ascii="Times New Roman" w:eastAsia="Times New Roman" w:hAnsi="Times New Roman" w:cs="Times New Roman"/>
          <w:i/>
          <w:sz w:val="28"/>
          <w:lang w:eastAsia="ru-RU"/>
        </w:rPr>
        <w:t xml:space="preserve">, </w:t>
      </w:r>
      <w:proofErr w:type="spellStart"/>
      <w:r w:rsidRPr="00F451C3">
        <w:rPr>
          <w:rFonts w:ascii="Times New Roman" w:eastAsia="Times New Roman" w:hAnsi="Times New Roman" w:cs="Times New Roman"/>
          <w:i/>
          <w:sz w:val="28"/>
          <w:lang w:eastAsia="ru-RU"/>
        </w:rPr>
        <w:t>liquidity</w:t>
      </w:r>
      <w:proofErr w:type="spellEnd"/>
      <w:r w:rsidRPr="00F451C3">
        <w:rPr>
          <w:rFonts w:ascii="Times New Roman" w:eastAsia="Times New Roman" w:hAnsi="Times New Roman" w:cs="Times New Roman"/>
          <w:i/>
          <w:sz w:val="28"/>
          <w:lang w:eastAsia="ru-RU"/>
        </w:rPr>
        <w:t>.</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b/>
          <w:sz w:val="28"/>
          <w:lang w:eastAsia="ru-RU"/>
        </w:rPr>
        <w:t>Постановка проблемы</w:t>
      </w:r>
      <w:r w:rsidRPr="00F451C3">
        <w:rPr>
          <w:rFonts w:ascii="Times New Roman" w:eastAsia="Times New Roman" w:hAnsi="Times New Roman" w:cs="Times New Roman"/>
          <w:sz w:val="28"/>
          <w:lang w:eastAsia="ru-RU"/>
        </w:rPr>
        <w:t>. В условиях экономической обособленности и самостоятельности, хозяйствующие субъекты обязаны в любое время иметь возможность погашать свои внешние обязательства, то есть быть платежеспособными, или краткосрочные обязательства, то есть быть ликвидными.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b/>
          <w:sz w:val="28"/>
          <w:lang w:eastAsia="ru-RU"/>
        </w:rPr>
        <w:t>Анализ предыдущих исследований и публикаций</w:t>
      </w:r>
      <w:r w:rsidRPr="00F451C3">
        <w:rPr>
          <w:rFonts w:ascii="Times New Roman" w:eastAsia="Times New Roman" w:hAnsi="Times New Roman" w:cs="Times New Roman"/>
          <w:sz w:val="28"/>
          <w:lang w:eastAsia="ru-RU"/>
        </w:rPr>
        <w:t xml:space="preserve">. Анализ ликвидности и платежеспособности организации исследовался в работах различных ученых, таких как: Г.В. Савицкая, А.Д. </w:t>
      </w:r>
      <w:proofErr w:type="spellStart"/>
      <w:r w:rsidRPr="00F451C3">
        <w:rPr>
          <w:rFonts w:ascii="Times New Roman" w:eastAsia="Times New Roman" w:hAnsi="Times New Roman" w:cs="Times New Roman"/>
          <w:sz w:val="28"/>
          <w:lang w:eastAsia="ru-RU"/>
        </w:rPr>
        <w:t>Шеремет</w:t>
      </w:r>
      <w:proofErr w:type="spellEnd"/>
      <w:r w:rsidRPr="00F451C3">
        <w:rPr>
          <w:rFonts w:ascii="Times New Roman" w:eastAsia="Times New Roman" w:hAnsi="Times New Roman" w:cs="Times New Roman"/>
          <w:sz w:val="28"/>
          <w:lang w:eastAsia="ru-RU"/>
        </w:rPr>
        <w:t>, В.В. Ковалев и др.</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b/>
          <w:sz w:val="28"/>
          <w:lang w:eastAsia="ru-RU"/>
        </w:rPr>
        <w:t>Целью</w:t>
      </w:r>
      <w:r w:rsidRPr="00F451C3">
        <w:rPr>
          <w:rFonts w:ascii="Times New Roman" w:eastAsia="Times New Roman" w:hAnsi="Times New Roman" w:cs="Times New Roman"/>
          <w:sz w:val="28"/>
          <w:lang w:eastAsia="ru-RU"/>
        </w:rPr>
        <w:t xml:space="preserve"> исследования является проведение терминологического анализа понятий платежеспособности и ликвидности.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b/>
          <w:sz w:val="28"/>
          <w:lang w:eastAsia="ru-RU"/>
        </w:rPr>
        <w:t>Основные результаты исследования</w:t>
      </w:r>
      <w:r w:rsidRPr="00F451C3">
        <w:rPr>
          <w:rFonts w:ascii="Times New Roman" w:eastAsia="Times New Roman" w:hAnsi="Times New Roman" w:cs="Times New Roman"/>
          <w:sz w:val="28"/>
          <w:lang w:eastAsia="ru-RU"/>
        </w:rPr>
        <w:t>. Выявлена взаимосвязь понятий платежеспособность и ликвидность. Выявлены особенности расчета основных коэффициентов платежеспособности в странах Евразийского экономического союза.</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Платежеспособность является одним из важнейших условий, определяющих финансовую устойчивость субъектов хозяйствования. За последнее время исследованием данного показателя занимались множество зарубежных и отечественных исследователей. И в табл. 1 показано как различные авторы трактуют понятие «платежеспособность».</w:t>
      </w:r>
    </w:p>
    <w:p w:rsidR="00F451C3" w:rsidRPr="00F451C3" w:rsidRDefault="00F451C3" w:rsidP="00F451C3">
      <w:pPr>
        <w:widowControl w:val="0"/>
        <w:spacing w:after="0" w:line="240" w:lineRule="auto"/>
        <w:ind w:firstLine="709"/>
        <w:contextualSpacing/>
        <w:jc w:val="right"/>
        <w:rPr>
          <w:rFonts w:ascii="Times New Roman" w:eastAsia="Times New Roman" w:hAnsi="Times New Roman" w:cs="Times New Roman"/>
          <w:sz w:val="28"/>
          <w:lang w:eastAsia="ru-RU"/>
        </w:rPr>
      </w:pPr>
    </w:p>
    <w:p w:rsidR="00F451C3" w:rsidRPr="00F451C3" w:rsidRDefault="00F451C3" w:rsidP="00F451C3">
      <w:pPr>
        <w:widowControl w:val="0"/>
        <w:spacing w:after="0" w:line="240" w:lineRule="auto"/>
        <w:ind w:firstLine="709"/>
        <w:contextualSpacing/>
        <w:jc w:val="right"/>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Таблица 1</w:t>
      </w:r>
    </w:p>
    <w:p w:rsidR="00F451C3" w:rsidRPr="00F451C3" w:rsidRDefault="00F451C3" w:rsidP="00F451C3">
      <w:pPr>
        <w:widowControl w:val="0"/>
        <w:spacing w:after="0" w:line="240" w:lineRule="auto"/>
        <w:ind w:firstLine="709"/>
        <w:contextualSpacing/>
        <w:jc w:val="center"/>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Понятие «платежеспособности»</w:t>
      </w:r>
    </w:p>
    <w:tbl>
      <w:tblPr>
        <w:tblStyle w:val="a3"/>
        <w:tblW w:w="9634" w:type="dxa"/>
        <w:tblLook w:val="04A0" w:firstRow="1" w:lastRow="0" w:firstColumn="1" w:lastColumn="0" w:noHBand="0" w:noVBand="1"/>
      </w:tblPr>
      <w:tblGrid>
        <w:gridCol w:w="2405"/>
        <w:gridCol w:w="7229"/>
      </w:tblGrid>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Автор</w:t>
            </w: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 xml:space="preserve">Понятие </w:t>
            </w:r>
          </w:p>
        </w:tc>
      </w:tr>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Савицкая Г.В.</w:t>
            </w: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 xml:space="preserve">Платежеспособность </w:t>
            </w:r>
            <w:r w:rsidRPr="00F451C3">
              <w:rPr>
                <w:rFonts w:ascii="Times New Roman" w:hAnsi="Times New Roman"/>
                <w:sz w:val="24"/>
                <w:szCs w:val="24"/>
                <w:lang w:val="uk-UA"/>
              </w:rPr>
              <w:t>-</w:t>
            </w:r>
            <w:r w:rsidRPr="00F451C3">
              <w:rPr>
                <w:rFonts w:ascii="Times New Roman" w:hAnsi="Times New Roman"/>
                <w:sz w:val="24"/>
                <w:szCs w:val="24"/>
              </w:rPr>
              <w:t xml:space="preserve"> это возможность своевременно погашать </w:t>
            </w:r>
            <w:r w:rsidRPr="00F451C3">
              <w:rPr>
                <w:rFonts w:ascii="Times New Roman" w:hAnsi="Times New Roman"/>
                <w:sz w:val="24"/>
                <w:szCs w:val="24"/>
              </w:rPr>
              <w:lastRenderedPageBreak/>
              <w:t>свои платежные обязательства наличными денежными ресурсами [1].</w:t>
            </w:r>
          </w:p>
        </w:tc>
      </w:tr>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lastRenderedPageBreak/>
              <w:t>Донцова Л.В.</w:t>
            </w:r>
          </w:p>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Мельник М.В.</w:t>
            </w: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 xml:space="preserve">Платежеспособность </w:t>
            </w:r>
            <w:r w:rsidRPr="00F451C3">
              <w:rPr>
                <w:rFonts w:ascii="Times New Roman" w:hAnsi="Times New Roman"/>
                <w:sz w:val="24"/>
                <w:szCs w:val="24"/>
                <w:lang w:val="uk-UA"/>
              </w:rPr>
              <w:t>-</w:t>
            </w:r>
            <w:r w:rsidRPr="00F451C3">
              <w:rPr>
                <w:rFonts w:ascii="Times New Roman" w:hAnsi="Times New Roman"/>
                <w:sz w:val="24"/>
                <w:szCs w:val="24"/>
              </w:rPr>
              <w:t xml:space="preserve"> это способность своевременно и полностью рассчитываться по всем своим обязательствам [2].</w:t>
            </w:r>
          </w:p>
        </w:tc>
      </w:tr>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Гиляровская Л.Т.</w:t>
            </w:r>
          </w:p>
          <w:p w:rsidR="00F451C3" w:rsidRPr="00F451C3" w:rsidRDefault="00F451C3" w:rsidP="00F451C3">
            <w:pPr>
              <w:widowControl w:val="0"/>
              <w:contextualSpacing/>
              <w:jc w:val="both"/>
              <w:rPr>
                <w:rFonts w:ascii="Times New Roman" w:hAnsi="Times New Roman"/>
                <w:sz w:val="24"/>
                <w:szCs w:val="24"/>
              </w:rPr>
            </w:pP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 xml:space="preserve">Платежеспособность </w:t>
            </w:r>
            <w:r w:rsidRPr="00F451C3">
              <w:rPr>
                <w:rFonts w:ascii="Times New Roman" w:hAnsi="Times New Roman"/>
                <w:sz w:val="24"/>
                <w:szCs w:val="24"/>
                <w:lang w:val="uk-UA"/>
              </w:rPr>
              <w:t>-</w:t>
            </w:r>
            <w:r w:rsidRPr="00F451C3">
              <w:rPr>
                <w:rFonts w:ascii="Times New Roman" w:hAnsi="Times New Roman"/>
                <w:sz w:val="24"/>
                <w:szCs w:val="24"/>
              </w:rPr>
              <w:t xml:space="preserve"> это способность своевременно и полностью рассчитываться по всем своим обязательствам и в качестве средства платежа выступают оборотные активы [3].</w:t>
            </w:r>
          </w:p>
        </w:tc>
      </w:tr>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proofErr w:type="spellStart"/>
            <w:r w:rsidRPr="00F451C3">
              <w:rPr>
                <w:rFonts w:ascii="Times New Roman" w:hAnsi="Times New Roman"/>
                <w:sz w:val="24"/>
                <w:szCs w:val="24"/>
              </w:rPr>
              <w:t>Шеремет</w:t>
            </w:r>
            <w:proofErr w:type="spellEnd"/>
            <w:r w:rsidRPr="00F451C3">
              <w:rPr>
                <w:rFonts w:ascii="Times New Roman" w:hAnsi="Times New Roman"/>
                <w:sz w:val="24"/>
                <w:szCs w:val="24"/>
              </w:rPr>
              <w:t xml:space="preserve"> А.Д.</w:t>
            </w: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Платежеспособность является внешним проявлением финансовой устойчивости и отражает обеспеченность оборотных активов долгосрочными источниками формирования [2].</w:t>
            </w:r>
          </w:p>
        </w:tc>
      </w:tr>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Петрова Л.В.</w:t>
            </w: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 xml:space="preserve">Платежеспособность </w:t>
            </w:r>
            <w:r w:rsidRPr="00F451C3">
              <w:rPr>
                <w:rFonts w:ascii="Times New Roman" w:hAnsi="Times New Roman"/>
                <w:sz w:val="24"/>
                <w:szCs w:val="24"/>
                <w:lang w:val="uk-UA"/>
              </w:rPr>
              <w:t>-</w:t>
            </w:r>
            <w:r w:rsidRPr="00F451C3">
              <w:rPr>
                <w:rFonts w:ascii="Times New Roman" w:hAnsi="Times New Roman"/>
                <w:sz w:val="24"/>
                <w:szCs w:val="24"/>
              </w:rPr>
              <w:t xml:space="preserve"> это способность предприятия рассчитываться по своим долгосрочным обязательствам [4].</w:t>
            </w:r>
          </w:p>
        </w:tc>
      </w:tr>
      <w:tr w:rsidR="00F451C3" w:rsidRPr="00F451C3" w:rsidTr="001543A5">
        <w:tc>
          <w:tcPr>
            <w:tcW w:w="2405"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Ковалев В.В.</w:t>
            </w:r>
          </w:p>
        </w:tc>
        <w:tc>
          <w:tcPr>
            <w:tcW w:w="7229"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 xml:space="preserve">Платежеспособность </w:t>
            </w:r>
            <w:r w:rsidRPr="00F451C3">
              <w:rPr>
                <w:rFonts w:ascii="Times New Roman" w:hAnsi="Times New Roman"/>
                <w:sz w:val="24"/>
                <w:szCs w:val="24"/>
                <w:lang w:val="uk-UA"/>
              </w:rPr>
              <w:t>-</w:t>
            </w:r>
            <w:r w:rsidRPr="00F451C3">
              <w:rPr>
                <w:rFonts w:ascii="Times New Roman" w:hAnsi="Times New Roman"/>
                <w:sz w:val="24"/>
                <w:szCs w:val="24"/>
              </w:rPr>
              <w:t xml:space="preserve"> это готовность возместить кредиторскую задолженность при наступлении сроков платежа текущими поступлениями денежных средств [4].</w:t>
            </w:r>
          </w:p>
        </w:tc>
      </w:tr>
    </w:tbl>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Изучение научных публикаций вышеуказанных авторов позволяет сделать вывод о том, что</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несмотря на довольно фундаментальную проработку и наличие определенных результатов</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к настоящему времени в научной среде не сформировалось единого мнения относительно понятий</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используемых при оценке способности организации расплачиваться по своим обязательствам. </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i/>
          <w:sz w:val="28"/>
          <w:lang w:eastAsia="ru-RU"/>
        </w:rPr>
      </w:pPr>
      <w:r w:rsidRPr="00F451C3">
        <w:rPr>
          <w:rFonts w:ascii="Times New Roman" w:eastAsia="Times New Roman" w:hAnsi="Times New Roman" w:cs="Times New Roman"/>
          <w:sz w:val="28"/>
          <w:lang w:eastAsia="ru-RU"/>
        </w:rPr>
        <w:t xml:space="preserve">Так, в узком смысле слова, платежеспособность </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это возможность предприятия расплачиваться по своим обязательствам. Стабильно платежеспособным является предприятие при хорошем финансовом состоянии, а постоянно или периодически неплатежеспособным – при плохом. Наилучший вариант, если у предприятия всегда в наличии свободные денежные средства, которых хватит для погашения имеющихся обязательств. Платежеспособное, финансово устойчивое предприятие имеет преимущество перед предприятиями, осуществляющими свою деятельность в той же отрасли, в получении кредитов, в привлечении инвестиций и др. Чем выше стабильность предприятия, тем более оно независимо от внезапного изменения рыночной конъюнктуры и, следовательно, тем меньше риск оказаться на краю банкротства. Однако, следует понимать, что предприятие может являться платежеспособным и при недостаточности или </w:t>
      </w:r>
      <w:proofErr w:type="spellStart"/>
      <w:r w:rsidRPr="00F451C3">
        <w:rPr>
          <w:rFonts w:ascii="Times New Roman" w:eastAsia="Times New Roman" w:hAnsi="Times New Roman" w:cs="Times New Roman"/>
          <w:sz w:val="28"/>
          <w:lang w:eastAsia="ru-RU"/>
        </w:rPr>
        <w:t>отсутстви</w:t>
      </w:r>
      <w:proofErr w:type="spellEnd"/>
      <w:r w:rsidRPr="00F451C3">
        <w:rPr>
          <w:rFonts w:ascii="Times New Roman" w:eastAsia="Times New Roman" w:hAnsi="Times New Roman" w:cs="Times New Roman"/>
          <w:sz w:val="28"/>
          <w:lang w:val="uk-UA" w:eastAsia="ru-RU"/>
        </w:rPr>
        <w:t>и</w:t>
      </w:r>
      <w:r w:rsidRPr="00F451C3">
        <w:rPr>
          <w:rFonts w:ascii="Times New Roman" w:eastAsia="Times New Roman" w:hAnsi="Times New Roman" w:cs="Times New Roman"/>
          <w:sz w:val="28"/>
          <w:lang w:eastAsia="ru-RU"/>
        </w:rPr>
        <w:t xml:space="preserve"> свободных денежных средств, </w:t>
      </w:r>
      <w:proofErr w:type="spellStart"/>
      <w:r w:rsidRPr="00F451C3">
        <w:rPr>
          <w:rFonts w:ascii="Times New Roman" w:eastAsia="Times New Roman" w:hAnsi="Times New Roman" w:cs="Times New Roman"/>
          <w:sz w:val="28"/>
          <w:lang w:val="uk-UA" w:eastAsia="ru-RU"/>
        </w:rPr>
        <w:t>если</w:t>
      </w:r>
      <w:proofErr w:type="spellEnd"/>
      <w:r w:rsidRPr="00F451C3">
        <w:rPr>
          <w:rFonts w:ascii="Times New Roman" w:eastAsia="Times New Roman" w:hAnsi="Times New Roman" w:cs="Times New Roman"/>
          <w:sz w:val="28"/>
          <w:lang w:eastAsia="ru-RU"/>
        </w:rPr>
        <w:t xml:space="preserve"> способно быстро реализовать свои активы и рассчитаться с кредиторами.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Зачастую понятие платежеспособности отождествляется с понятием ликвидности. Единство прослеживается лишь в выделении аспекта разделения понятий, основным из которых является срочность погашения обязательств.</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 xml:space="preserve"> Ликвидность </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это способность организации превращать активы в денежную наличность и выполнять текущие обязательства только денежными средствами. Можно выделить три взаимосвязанных вида ликвидности [2]:</w:t>
      </w:r>
    </w:p>
    <w:p w:rsidR="00F451C3" w:rsidRPr="00F451C3" w:rsidRDefault="00F451C3" w:rsidP="00F451C3">
      <w:pPr>
        <w:widowControl w:val="0"/>
        <w:numPr>
          <w:ilvl w:val="0"/>
          <w:numId w:val="1"/>
        </w:numPr>
        <w:tabs>
          <w:tab w:val="left" w:pos="1120"/>
        </w:tabs>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Ликвидность активов (способность активов обращаться в денежные средства).</w:t>
      </w:r>
    </w:p>
    <w:p w:rsidR="00F451C3" w:rsidRPr="00F451C3" w:rsidRDefault="00F451C3" w:rsidP="00F451C3">
      <w:pPr>
        <w:widowControl w:val="0"/>
        <w:numPr>
          <w:ilvl w:val="0"/>
          <w:numId w:val="1"/>
        </w:numPr>
        <w:tabs>
          <w:tab w:val="left" w:pos="1120"/>
        </w:tabs>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Ликвидность баланса (степень покрытия обязательств предприятия его активами, срок превращения которых в деньги соответствует сроку погашения обязательств).</w:t>
      </w:r>
    </w:p>
    <w:p w:rsidR="00F451C3" w:rsidRPr="00F451C3" w:rsidRDefault="00F451C3" w:rsidP="00F451C3">
      <w:pPr>
        <w:widowControl w:val="0"/>
        <w:numPr>
          <w:ilvl w:val="0"/>
          <w:numId w:val="1"/>
        </w:numPr>
        <w:tabs>
          <w:tab w:val="left" w:pos="1120"/>
        </w:tabs>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lastRenderedPageBreak/>
        <w:t>Ликвидность предприятия (способность организации погасить краткосрочные обязательства, используя внутренние платежные средства и заемные ресурсы).</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Из этого следует, что ликвидность предприятия является наиболее обширным понятием</w:t>
      </w:r>
      <w:r w:rsidRPr="00F451C3">
        <w:rPr>
          <w:rFonts w:ascii="Times New Roman" w:eastAsia="Times New Roman" w:hAnsi="Times New Roman" w:cs="Times New Roman"/>
          <w:i/>
          <w:sz w:val="28"/>
          <w:lang w:eastAsia="ru-RU"/>
        </w:rPr>
        <w:t xml:space="preserve">, </w:t>
      </w:r>
      <w:r w:rsidRPr="00F451C3">
        <w:rPr>
          <w:rFonts w:ascii="Times New Roman" w:eastAsia="Times New Roman" w:hAnsi="Times New Roman" w:cs="Times New Roman"/>
          <w:sz w:val="28"/>
          <w:lang w:eastAsia="ru-RU"/>
        </w:rPr>
        <w:t>составным элементом которого является ликвидность баланса, которая</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в свою очередь</w:t>
      </w:r>
      <w:r w:rsidRPr="00F451C3">
        <w:rPr>
          <w:rFonts w:ascii="Times New Roman" w:eastAsia="Times New Roman" w:hAnsi="Times New Roman" w:cs="Times New Roman"/>
          <w:sz w:val="28"/>
          <w:lang w:val="uk-UA" w:eastAsia="ru-RU"/>
        </w:rPr>
        <w:t>,</w:t>
      </w:r>
      <w:r w:rsidRPr="00F451C3">
        <w:rPr>
          <w:rFonts w:ascii="Times New Roman" w:eastAsia="Times New Roman" w:hAnsi="Times New Roman" w:cs="Times New Roman"/>
          <w:sz w:val="28"/>
          <w:lang w:eastAsia="ru-RU"/>
        </w:rPr>
        <w:t xml:space="preserve"> напрямую зависит от ликвидности активов организации.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 xml:space="preserve">Таким образом, между показателями платежеспособности и ликвидности существует определенная взаимосвязь, однако, ликвидность - более узкое понятие, чем платежеспособность, т.к. ликвидное предприятие всегда платежеспособно, но платежеспособное - не всегда </w:t>
      </w:r>
      <w:proofErr w:type="gramStart"/>
      <w:r w:rsidRPr="00F451C3">
        <w:rPr>
          <w:rFonts w:ascii="Times New Roman" w:eastAsia="Times New Roman" w:hAnsi="Times New Roman" w:cs="Times New Roman"/>
          <w:sz w:val="28"/>
          <w:lang w:eastAsia="ru-RU"/>
        </w:rPr>
        <w:t>ликвидно</w:t>
      </w:r>
      <w:r w:rsidRPr="00F451C3">
        <w:rPr>
          <w:rFonts w:ascii="Times New Roman" w:eastAsia="Times New Roman" w:hAnsi="Times New Roman" w:cs="Times New Roman"/>
          <w:sz w:val="28"/>
          <w:lang w:val="uk-UA" w:eastAsia="ru-RU"/>
        </w:rPr>
        <w:t>.То</w:t>
      </w:r>
      <w:proofErr w:type="gramEnd"/>
      <w:r w:rsidRPr="00F451C3">
        <w:rPr>
          <w:rFonts w:ascii="Times New Roman" w:eastAsia="Times New Roman" w:hAnsi="Times New Roman" w:cs="Times New Roman"/>
          <w:sz w:val="28"/>
          <w:lang w:val="uk-UA" w:eastAsia="ru-RU"/>
        </w:rPr>
        <w:t xml:space="preserve"> </w:t>
      </w:r>
      <w:r w:rsidRPr="00F451C3">
        <w:rPr>
          <w:rFonts w:ascii="Times New Roman" w:eastAsia="Times New Roman" w:hAnsi="Times New Roman" w:cs="Times New Roman"/>
          <w:sz w:val="28"/>
          <w:lang w:eastAsia="ru-RU"/>
        </w:rPr>
        <w:t>е</w:t>
      </w:r>
      <w:proofErr w:type="spellStart"/>
      <w:r w:rsidRPr="00F451C3">
        <w:rPr>
          <w:rFonts w:ascii="Times New Roman" w:eastAsia="Times New Roman" w:hAnsi="Times New Roman" w:cs="Times New Roman"/>
          <w:sz w:val="28"/>
          <w:lang w:val="uk-UA" w:eastAsia="ru-RU"/>
        </w:rPr>
        <w:t>сть</w:t>
      </w:r>
      <w:proofErr w:type="spellEnd"/>
      <w:r w:rsidRPr="00F451C3">
        <w:rPr>
          <w:rFonts w:ascii="Times New Roman" w:eastAsia="Times New Roman" w:hAnsi="Times New Roman" w:cs="Times New Roman"/>
          <w:sz w:val="28"/>
          <w:lang w:eastAsia="ru-RU"/>
        </w:rPr>
        <w:t xml:space="preserve"> у платежеспособного предприятия не всегда может быть достаточно денежных средств, и он</w:t>
      </w:r>
      <w:r w:rsidRPr="00F451C3">
        <w:rPr>
          <w:rFonts w:ascii="Times New Roman" w:eastAsia="Times New Roman" w:hAnsi="Times New Roman" w:cs="Times New Roman"/>
          <w:sz w:val="28"/>
          <w:lang w:val="uk-UA" w:eastAsia="ru-RU"/>
        </w:rPr>
        <w:t>о</w:t>
      </w:r>
      <w:r w:rsidRPr="00F451C3">
        <w:rPr>
          <w:rFonts w:ascii="Times New Roman" w:eastAsia="Times New Roman" w:hAnsi="Times New Roman" w:cs="Times New Roman"/>
          <w:sz w:val="28"/>
          <w:lang w:eastAsia="ru-RU"/>
        </w:rPr>
        <w:t xml:space="preserve"> не всегда может перевести активы в денежную форму. И тогда выполнение обязательств будет осуществляться с помощью </w:t>
      </w:r>
      <w:proofErr w:type="spellStart"/>
      <w:r w:rsidRPr="00F451C3">
        <w:rPr>
          <w:rFonts w:ascii="Times New Roman" w:eastAsia="Times New Roman" w:hAnsi="Times New Roman" w:cs="Times New Roman"/>
          <w:sz w:val="28"/>
          <w:lang w:eastAsia="ru-RU"/>
        </w:rPr>
        <w:t>неденежных</w:t>
      </w:r>
      <w:proofErr w:type="spellEnd"/>
      <w:r w:rsidRPr="00F451C3">
        <w:rPr>
          <w:rFonts w:ascii="Times New Roman" w:eastAsia="Times New Roman" w:hAnsi="Times New Roman" w:cs="Times New Roman"/>
          <w:sz w:val="28"/>
          <w:lang w:eastAsia="ru-RU"/>
        </w:rPr>
        <w:t xml:space="preserve"> форм расчетов.</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bCs/>
          <w:sz w:val="28"/>
          <w:lang w:eastAsia="ru-RU"/>
        </w:rPr>
        <w:t xml:space="preserve">В Республике Беларусь в соответствии с нормативным актом, определяющим методику расчета платежеспособности организации, рассчитываются следующие показатели платежеспособности и ликвидности: </w:t>
      </w:r>
      <w:proofErr w:type="gramStart"/>
      <w:r w:rsidRPr="00F451C3">
        <w:rPr>
          <w:rFonts w:ascii="Times New Roman" w:eastAsia="Times New Roman" w:hAnsi="Times New Roman" w:cs="Times New Roman"/>
          <w:sz w:val="28"/>
          <w:lang w:eastAsia="ru-RU"/>
        </w:rPr>
        <w:t>коэффициент</w:t>
      </w:r>
      <w:proofErr w:type="gramEnd"/>
      <w:r w:rsidRPr="00F451C3">
        <w:rPr>
          <w:rFonts w:ascii="Times New Roman" w:eastAsia="Times New Roman" w:hAnsi="Times New Roman" w:cs="Times New Roman"/>
          <w:sz w:val="28"/>
          <w:lang w:eastAsia="ru-RU"/>
        </w:rPr>
        <w:t xml:space="preserve"> текущий ликвидности, коэффициент абсолютной ликвидности, коэффициент обеспеченности собственными средствами и коэффициент обеспеченности финансовых обязательств активами.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Коэффициент текущей ликвидности отражает способность предприятия погашать краткосрочные обязательства за счёт лишь оборотных активов. Чем выше показатель, тем лучше платежеспособность предприятия. Данный коэффициент характеризуют платежеспособность предприятия не только на данный момент, но и в случае чрезвычайных обстоятельств.</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Нормативным считается значение коэффициента от 1,0 до 1,5 в зависимости от вида экономической деятельности организации. Негативно сказывается на предприятии как низкое, так и высокое соотношение. Значение ниже 1,0 говорит о неплатежеспособности предприятия, а выше 1,5 – о нерациональном использовании средств предприятия.</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Следует отметить, что обычно предприятия с небольшими материально-производственными запасами могут спокойнее функционировать, чем предприятия с большими запасами. Следовательно, данный коэффициент не всегда дает адекватную оценку.</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Коэффициент абсолютной ликвидности показывает, какая доля краткосрочных обязательств может быть погашена в кратчайшие сроки за счет средств на различных счетах, в краткосрочных ценных бумагах, а также поступлений по расчетам с дебиторами.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Нормативным считается значение коэффициента более 0,2. Чем выше показатель, тем лучше платежеспособность предприятия. С другой стороны, высокий показатель может свидетельствовать о нерациональной структуре капитала, о слишком высокой доле неработающих активов в виде наличных денег и средств на счетах.</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 xml:space="preserve">Следует отметить, что не имеется научного обоснования, почему для </w:t>
      </w:r>
      <w:r w:rsidRPr="00F451C3">
        <w:rPr>
          <w:rFonts w:ascii="Times New Roman" w:eastAsia="Times New Roman" w:hAnsi="Times New Roman" w:cs="Times New Roman"/>
          <w:sz w:val="28"/>
          <w:lang w:eastAsia="ru-RU"/>
        </w:rPr>
        <w:lastRenderedPageBreak/>
        <w:t>поддержания нормального уровня ликвидности организаций Республики Беларусь величина денежных средств должна покрывать 20% текущих пассивов.</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 xml:space="preserve">Коэффициент обеспеченности собственными средствами показывает насколько достаточно собственных оборотных средств у предприятия, необходимых для его финансовой устойчивости. </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 xml:space="preserve">Нормативное значение данного коэффициента должно быть </w:t>
      </w:r>
      <w:proofErr w:type="gramStart"/>
      <w:r w:rsidRPr="00F451C3">
        <w:rPr>
          <w:rFonts w:ascii="Times New Roman" w:eastAsia="Times New Roman" w:hAnsi="Times New Roman" w:cs="Times New Roman"/>
          <w:sz w:val="28"/>
          <w:lang w:eastAsia="ru-RU"/>
        </w:rPr>
        <w:t>от  0</w:t>
      </w:r>
      <w:proofErr w:type="gramEnd"/>
      <w:r w:rsidRPr="00F451C3">
        <w:rPr>
          <w:rFonts w:ascii="Times New Roman" w:eastAsia="Times New Roman" w:hAnsi="Times New Roman" w:cs="Times New Roman"/>
          <w:sz w:val="28"/>
          <w:lang w:eastAsia="ru-RU"/>
        </w:rPr>
        <w:t>,05 до 0,3 в зависимости от вида экономической деятельности организации.</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Если значение коэффициента падает - это приводит к уменьшению собственного капитала и растет риск потери финансовой устойчивости, если же наоборот, значение растет, то растет собственный капитал, финансовая устойчивость и снижается кредитная задолженность.</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Коэффициент обеспеченности финансовых обязательств активами показывает</w:t>
      </w:r>
      <w:r w:rsidRPr="00F451C3">
        <w:rPr>
          <w:rFonts w:ascii="Times New Roman" w:eastAsia="Times New Roman" w:hAnsi="Times New Roman" w:cs="Times New Roman"/>
          <w:sz w:val="28"/>
          <w:lang w:val="uk-UA" w:eastAsia="ru-RU"/>
        </w:rPr>
        <w:t xml:space="preserve">, </w:t>
      </w:r>
      <w:r w:rsidRPr="00F451C3">
        <w:rPr>
          <w:rFonts w:ascii="Times New Roman" w:eastAsia="Times New Roman" w:hAnsi="Times New Roman" w:cs="Times New Roman"/>
          <w:sz w:val="28"/>
          <w:lang w:eastAsia="ru-RU"/>
        </w:rPr>
        <w:t>способно ли предприятие погасить свои долги после продажи имеющихся активов, а также насколько фирма является независимой от кредиторов.</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Нормативное значение данного коэффициента во всех отраслях экономики утверждено на уровне не выше 0,85. Но желательно, чтобы его значение было как можно ниже. Если же стоимость обязательств выше 85% суммы активов, то предприятию угрожает банкротство.</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На основе вышеперечисленных показателей, определим существуют ли какие-нибудь национальные особенности их расчета или нормативного значения по сравнению со странами Евразийского экономического союза (Российской Федерации и Республики Казахстан). Данные сравнения представлены в табл. 2.</w:t>
      </w:r>
    </w:p>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p>
    <w:p w:rsidR="00F451C3" w:rsidRPr="00F451C3" w:rsidRDefault="00F451C3" w:rsidP="00F451C3">
      <w:pPr>
        <w:widowControl w:val="0"/>
        <w:spacing w:after="0" w:line="240" w:lineRule="auto"/>
        <w:ind w:firstLine="709"/>
        <w:contextualSpacing/>
        <w:jc w:val="right"/>
        <w:rPr>
          <w:rFonts w:ascii="Times New Roman" w:eastAsia="Times New Roman" w:hAnsi="Times New Roman" w:cs="Times New Roman"/>
          <w:bCs/>
          <w:sz w:val="28"/>
          <w:lang w:eastAsia="ru-RU"/>
        </w:rPr>
      </w:pPr>
      <w:r w:rsidRPr="00F451C3">
        <w:rPr>
          <w:rFonts w:ascii="Times New Roman" w:eastAsia="Times New Roman" w:hAnsi="Times New Roman" w:cs="Times New Roman"/>
          <w:bCs/>
          <w:sz w:val="28"/>
          <w:lang w:eastAsia="ru-RU"/>
        </w:rPr>
        <w:t>Таблица 2</w:t>
      </w:r>
    </w:p>
    <w:p w:rsidR="00F451C3" w:rsidRPr="00F451C3" w:rsidRDefault="00F451C3" w:rsidP="00F451C3">
      <w:pPr>
        <w:widowControl w:val="0"/>
        <w:spacing w:after="0" w:line="240" w:lineRule="auto"/>
        <w:ind w:firstLine="709"/>
        <w:contextualSpacing/>
        <w:jc w:val="center"/>
        <w:rPr>
          <w:rFonts w:ascii="Times New Roman" w:eastAsia="Times New Roman" w:hAnsi="Times New Roman" w:cs="Times New Roman"/>
          <w:bCs/>
          <w:sz w:val="28"/>
          <w:lang w:eastAsia="ru-RU"/>
        </w:rPr>
      </w:pPr>
      <w:r w:rsidRPr="00F451C3">
        <w:rPr>
          <w:rFonts w:ascii="Times New Roman" w:eastAsia="Times New Roman" w:hAnsi="Times New Roman" w:cs="Times New Roman"/>
          <w:bCs/>
          <w:sz w:val="28"/>
          <w:lang w:eastAsia="ru-RU"/>
        </w:rPr>
        <w:t>Сравнительная характеристика коэффициентов платежеспособности</w:t>
      </w:r>
    </w:p>
    <w:tbl>
      <w:tblPr>
        <w:tblStyle w:val="a3"/>
        <w:tblW w:w="9776" w:type="dxa"/>
        <w:jc w:val="center"/>
        <w:tblLook w:val="04A0" w:firstRow="1" w:lastRow="0" w:firstColumn="1" w:lastColumn="0" w:noHBand="0" w:noVBand="1"/>
      </w:tblPr>
      <w:tblGrid>
        <w:gridCol w:w="846"/>
        <w:gridCol w:w="2871"/>
        <w:gridCol w:w="3141"/>
        <w:gridCol w:w="2918"/>
      </w:tblGrid>
      <w:tr w:rsidR="00F451C3" w:rsidRPr="00F451C3" w:rsidTr="001543A5">
        <w:trPr>
          <w:jc w:val="center"/>
        </w:trPr>
        <w:tc>
          <w:tcPr>
            <w:tcW w:w="846" w:type="dxa"/>
          </w:tcPr>
          <w:p w:rsidR="00F451C3" w:rsidRPr="00F451C3" w:rsidRDefault="00F451C3" w:rsidP="00F451C3">
            <w:pPr>
              <w:widowControl w:val="0"/>
              <w:contextualSpacing/>
              <w:jc w:val="both"/>
              <w:rPr>
                <w:rFonts w:ascii="Times New Roman" w:hAnsi="Times New Roman"/>
                <w:sz w:val="24"/>
                <w:szCs w:val="24"/>
              </w:rPr>
            </w:pPr>
          </w:p>
        </w:tc>
        <w:tc>
          <w:tcPr>
            <w:tcW w:w="287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Беларусь</w:t>
            </w:r>
          </w:p>
        </w:tc>
        <w:tc>
          <w:tcPr>
            <w:tcW w:w="314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Россия</w:t>
            </w:r>
          </w:p>
        </w:tc>
        <w:tc>
          <w:tcPr>
            <w:tcW w:w="2918"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Казахстан</w:t>
            </w:r>
          </w:p>
        </w:tc>
      </w:tr>
      <w:tr w:rsidR="00F451C3" w:rsidRPr="00F451C3" w:rsidTr="001543A5">
        <w:trPr>
          <w:cantSplit/>
          <w:trHeight w:val="1134"/>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Основной нормативный документ</w:t>
            </w:r>
          </w:p>
        </w:tc>
        <w:tc>
          <w:tcPr>
            <w:tcW w:w="2871"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Постановление Совета Министров РБ "Об определении критериев оценки платежеспособности субъектов хозяйствования" от 12 декабря 2011 г., № 1672.</w:t>
            </w:r>
          </w:p>
        </w:tc>
        <w:tc>
          <w:tcPr>
            <w:tcW w:w="3141" w:type="dxa"/>
          </w:tcPr>
          <w:p w:rsidR="00F451C3" w:rsidRPr="00F451C3" w:rsidRDefault="00F451C3" w:rsidP="00F451C3">
            <w:pPr>
              <w:widowControl w:val="0"/>
              <w:autoSpaceDE w:val="0"/>
              <w:autoSpaceDN w:val="0"/>
              <w:adjustRightInd w:val="0"/>
              <w:contextualSpacing/>
              <w:jc w:val="both"/>
              <w:rPr>
                <w:rFonts w:ascii="Times New Roman" w:hAnsi="Times New Roman"/>
                <w:bCs/>
                <w:sz w:val="24"/>
                <w:szCs w:val="24"/>
              </w:rPr>
            </w:pPr>
            <w:r w:rsidRPr="00F451C3">
              <w:rPr>
                <w:rFonts w:ascii="Times New Roman" w:hAnsi="Times New Roman"/>
                <w:bCs/>
                <w:sz w:val="24"/>
                <w:szCs w:val="24"/>
              </w:rPr>
              <w:t>Методические указания по проведению анализа финансового состояния организаций, утв. Приказом Федеральной службы РФ по финансовому оздоровлению и банкротству от 23 января 2001 г. № 16.</w:t>
            </w:r>
          </w:p>
        </w:tc>
        <w:tc>
          <w:tcPr>
            <w:tcW w:w="2918" w:type="dxa"/>
          </w:tcPr>
          <w:p w:rsidR="00F451C3" w:rsidRPr="00F451C3" w:rsidRDefault="00F451C3" w:rsidP="00F451C3">
            <w:pPr>
              <w:widowControl w:val="0"/>
              <w:contextualSpacing/>
              <w:jc w:val="both"/>
              <w:rPr>
                <w:rFonts w:ascii="Times New Roman" w:hAnsi="Times New Roman"/>
                <w:sz w:val="24"/>
                <w:szCs w:val="24"/>
              </w:rPr>
            </w:pPr>
            <w:r w:rsidRPr="00F451C3">
              <w:rPr>
                <w:rFonts w:ascii="Times New Roman" w:hAnsi="Times New Roman"/>
                <w:sz w:val="24"/>
                <w:szCs w:val="24"/>
              </w:rPr>
              <w:t>Постановление Правления Агентства Республики Казахстан по регулированию и надзору финансового рынка и финансовых организаций от 30 сентября 2005 года № 358.</w:t>
            </w:r>
          </w:p>
        </w:tc>
      </w:tr>
      <w:tr w:rsidR="00F451C3" w:rsidRPr="00F451C3" w:rsidTr="001543A5">
        <w:trPr>
          <w:jc w:val="center"/>
        </w:trPr>
        <w:tc>
          <w:tcPr>
            <w:tcW w:w="9776" w:type="dxa"/>
            <w:gridSpan w:val="4"/>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Коэффициент текущий ликвидности</w:t>
            </w:r>
          </w:p>
        </w:tc>
      </w:tr>
      <w:tr w:rsidR="00F451C3" w:rsidRPr="00F451C3" w:rsidTr="001543A5">
        <w:trPr>
          <w:cantSplit/>
          <w:trHeight w:val="1344"/>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Метод расчета</w:t>
            </w:r>
          </w:p>
        </w:tc>
        <w:tc>
          <w:tcPr>
            <w:tcW w:w="287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краткосрочные активы</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19685</wp:posOffset>
                      </wp:positionV>
                      <wp:extent cx="1139190" cy="0"/>
                      <wp:effectExtent l="5080" t="12065" r="8255" b="69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1BC7"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55pt" to="110.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"/>
                  </w:pict>
                </mc:Fallback>
              </mc:AlternateContent>
            </w:r>
            <w:r w:rsidRPr="00F451C3">
              <w:rPr>
                <w:rFonts w:ascii="Times New Roman" w:hAnsi="Times New Roman"/>
                <w:sz w:val="24"/>
                <w:szCs w:val="24"/>
              </w:rPr>
              <w:t>краткосрочные обязательства</w:t>
            </w:r>
          </w:p>
        </w:tc>
        <w:tc>
          <w:tcPr>
            <w:tcW w:w="314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542925</wp:posOffset>
                      </wp:positionV>
                      <wp:extent cx="1170940" cy="0"/>
                      <wp:effectExtent l="9525" t="7620" r="10160"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0E46A"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75pt" to="119.2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"/>
                  </w:pict>
                </mc:Fallback>
              </mc:AlternateContent>
            </w:r>
            <w:r w:rsidRPr="00F451C3">
              <w:rPr>
                <w:rFonts w:ascii="Times New Roman" w:hAnsi="Times New Roman"/>
                <w:sz w:val="24"/>
                <w:szCs w:val="24"/>
              </w:rPr>
              <w:t>оборотные активы, без учета долгосрочной дебиторской задолженности краткосрочные обязательства</w:t>
            </w:r>
          </w:p>
        </w:tc>
        <w:tc>
          <w:tcPr>
            <w:tcW w:w="2918"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текущие активы</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250190</wp:posOffset>
                      </wp:positionH>
                      <wp:positionV relativeFrom="paragraph">
                        <wp:posOffset>31750</wp:posOffset>
                      </wp:positionV>
                      <wp:extent cx="1219200" cy="0"/>
                      <wp:effectExtent l="6350" t="5080" r="12700" b="1397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57D8E"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2.5pt" to="11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"/>
                  </w:pict>
                </mc:Fallback>
              </mc:AlternateContent>
            </w:r>
            <w:r w:rsidRPr="00F451C3">
              <w:rPr>
                <w:rFonts w:ascii="Times New Roman" w:hAnsi="Times New Roman"/>
                <w:sz w:val="24"/>
                <w:szCs w:val="24"/>
              </w:rPr>
              <w:t>краткосрочные обязательства</w:t>
            </w:r>
          </w:p>
        </w:tc>
      </w:tr>
      <w:tr w:rsidR="00F451C3" w:rsidRPr="00F451C3" w:rsidTr="001543A5">
        <w:trPr>
          <w:cantSplit/>
          <w:trHeight w:val="813"/>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Норма-</w:t>
            </w:r>
            <w:proofErr w:type="spellStart"/>
            <w:r w:rsidRPr="00F451C3">
              <w:rPr>
                <w:rFonts w:ascii="Times New Roman" w:hAnsi="Times New Roman"/>
                <w:sz w:val="24"/>
                <w:szCs w:val="24"/>
              </w:rPr>
              <w:t>тив</w:t>
            </w:r>
            <w:proofErr w:type="spellEnd"/>
          </w:p>
        </w:tc>
        <w:tc>
          <w:tcPr>
            <w:tcW w:w="287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shd w:val="clear" w:color="auto" w:fill="FFFFFF"/>
              </w:rPr>
              <w:t xml:space="preserve">&gt;1,0-1,5 </w:t>
            </w:r>
            <w:proofErr w:type="spellStart"/>
            <w:r w:rsidRPr="00F451C3">
              <w:rPr>
                <w:rFonts w:ascii="Times New Roman" w:hAnsi="Times New Roman"/>
                <w:sz w:val="24"/>
                <w:szCs w:val="24"/>
                <w:shd w:val="clear" w:color="auto" w:fill="FFFFFF"/>
              </w:rPr>
              <w:t>взависимости</w:t>
            </w:r>
            <w:proofErr w:type="spellEnd"/>
            <w:r w:rsidRPr="00F451C3">
              <w:rPr>
                <w:rFonts w:ascii="Times New Roman" w:hAnsi="Times New Roman"/>
                <w:sz w:val="24"/>
                <w:szCs w:val="24"/>
                <w:shd w:val="clear" w:color="auto" w:fill="FFFFFF"/>
              </w:rPr>
              <w:t xml:space="preserve"> от вида экономической деятельности </w:t>
            </w:r>
          </w:p>
        </w:tc>
        <w:tc>
          <w:tcPr>
            <w:tcW w:w="314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shd w:val="clear" w:color="auto" w:fill="FFFFFF"/>
                <w:lang w:val="en-US"/>
              </w:rPr>
              <w:t>&gt;</w:t>
            </w:r>
            <w:r w:rsidRPr="00F451C3">
              <w:rPr>
                <w:rFonts w:ascii="Times New Roman" w:hAnsi="Times New Roman"/>
                <w:sz w:val="24"/>
                <w:szCs w:val="24"/>
                <w:shd w:val="clear" w:color="auto" w:fill="FFFFFF"/>
              </w:rPr>
              <w:t>2</w:t>
            </w:r>
          </w:p>
        </w:tc>
        <w:tc>
          <w:tcPr>
            <w:tcW w:w="2918"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1,5-2,5</w:t>
            </w:r>
          </w:p>
        </w:tc>
      </w:tr>
      <w:tr w:rsidR="00F451C3" w:rsidRPr="00F451C3" w:rsidTr="001543A5">
        <w:trPr>
          <w:cantSplit/>
          <w:trHeight w:val="301"/>
          <w:jc w:val="center"/>
        </w:trPr>
        <w:tc>
          <w:tcPr>
            <w:tcW w:w="9776" w:type="dxa"/>
            <w:gridSpan w:val="4"/>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Коэффициент абсолютной ликвидности</w:t>
            </w:r>
          </w:p>
        </w:tc>
      </w:tr>
      <w:tr w:rsidR="00F451C3" w:rsidRPr="00F451C3" w:rsidTr="001543A5">
        <w:trPr>
          <w:cantSplit/>
          <w:trHeight w:val="1637"/>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lastRenderedPageBreak/>
              <w:t>Метод расчета</w:t>
            </w:r>
          </w:p>
        </w:tc>
        <w:tc>
          <w:tcPr>
            <w:tcW w:w="287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105410</wp:posOffset>
                      </wp:positionH>
                      <wp:positionV relativeFrom="paragraph">
                        <wp:posOffset>695960</wp:posOffset>
                      </wp:positionV>
                      <wp:extent cx="1468120" cy="0"/>
                      <wp:effectExtent l="6350" t="10795" r="11430" b="82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421B"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54.8pt" to="123.9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"/>
                  </w:pict>
                </mc:Fallback>
              </mc:AlternateContent>
            </w:r>
            <w:r w:rsidRPr="00F451C3">
              <w:rPr>
                <w:rFonts w:ascii="Times New Roman" w:hAnsi="Times New Roman"/>
                <w:sz w:val="24"/>
                <w:szCs w:val="24"/>
              </w:rPr>
              <w:t>краткосрочные финансовые вложения + денежные средства и их эквиваленты краткосрочные обязательства</w:t>
            </w:r>
          </w:p>
        </w:tc>
        <w:tc>
          <w:tcPr>
            <w:tcW w:w="314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 xml:space="preserve">денежные средства + краткосрочные финансовые вложения </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-5715</wp:posOffset>
                      </wp:positionV>
                      <wp:extent cx="1780540" cy="0"/>
                      <wp:effectExtent l="12065" t="6350" r="7620"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AF6C6"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5pt" to="141.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"/>
                  </w:pict>
                </mc:Fallback>
              </mc:AlternateContent>
            </w:r>
            <w:r w:rsidRPr="00F451C3">
              <w:rPr>
                <w:rFonts w:ascii="Times New Roman" w:hAnsi="Times New Roman"/>
                <w:sz w:val="24"/>
                <w:szCs w:val="24"/>
              </w:rPr>
              <w:t>текущие обязательства</w:t>
            </w:r>
          </w:p>
        </w:tc>
        <w:tc>
          <w:tcPr>
            <w:tcW w:w="2918"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денежные средства + краткосрочные инвестиции</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209550</wp:posOffset>
                      </wp:positionH>
                      <wp:positionV relativeFrom="paragraph">
                        <wp:posOffset>2540</wp:posOffset>
                      </wp:positionV>
                      <wp:extent cx="1259205" cy="0"/>
                      <wp:effectExtent l="13335" t="5080" r="13335"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9FD1" id="Прямая соединительная линия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pt" to="115.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"/>
                  </w:pict>
                </mc:Fallback>
              </mc:AlternateContent>
            </w:r>
            <w:r w:rsidRPr="00F451C3">
              <w:rPr>
                <w:rFonts w:ascii="Times New Roman" w:hAnsi="Times New Roman"/>
                <w:sz w:val="24"/>
                <w:szCs w:val="24"/>
              </w:rPr>
              <w:t>текущие обязательства</w:t>
            </w:r>
          </w:p>
        </w:tc>
      </w:tr>
      <w:tr w:rsidR="00F451C3" w:rsidRPr="00F451C3" w:rsidTr="001543A5">
        <w:trPr>
          <w:cantSplit/>
          <w:trHeight w:val="757"/>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Норма-</w:t>
            </w:r>
            <w:proofErr w:type="spellStart"/>
            <w:r w:rsidRPr="00F451C3">
              <w:rPr>
                <w:rFonts w:ascii="Times New Roman" w:hAnsi="Times New Roman"/>
                <w:sz w:val="24"/>
                <w:szCs w:val="24"/>
              </w:rPr>
              <w:t>тив</w:t>
            </w:r>
            <w:proofErr w:type="spellEnd"/>
          </w:p>
        </w:tc>
        <w:tc>
          <w:tcPr>
            <w:tcW w:w="287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lang w:val="en-US"/>
              </w:rPr>
              <w:t>&gt;</w:t>
            </w:r>
            <w:r w:rsidRPr="00F451C3">
              <w:rPr>
                <w:rFonts w:ascii="Times New Roman" w:hAnsi="Times New Roman"/>
                <w:sz w:val="24"/>
                <w:szCs w:val="24"/>
              </w:rPr>
              <w:t>0,2</w:t>
            </w:r>
          </w:p>
        </w:tc>
        <w:tc>
          <w:tcPr>
            <w:tcW w:w="314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lang w:val="en-US"/>
              </w:rPr>
              <w:t>&gt;</w:t>
            </w:r>
            <w:r w:rsidRPr="00F451C3">
              <w:rPr>
                <w:rFonts w:ascii="Times New Roman" w:hAnsi="Times New Roman"/>
                <w:sz w:val="24"/>
                <w:szCs w:val="24"/>
              </w:rPr>
              <w:t>0,2</w:t>
            </w:r>
          </w:p>
        </w:tc>
        <w:tc>
          <w:tcPr>
            <w:tcW w:w="2918"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lang w:val="en-US"/>
              </w:rPr>
              <w:t>&gt;</w:t>
            </w:r>
            <w:r w:rsidRPr="00F451C3">
              <w:rPr>
                <w:rFonts w:ascii="Times New Roman" w:hAnsi="Times New Roman"/>
                <w:sz w:val="24"/>
                <w:szCs w:val="24"/>
              </w:rPr>
              <w:t>0,2</w:t>
            </w:r>
          </w:p>
        </w:tc>
      </w:tr>
      <w:tr w:rsidR="00F451C3" w:rsidRPr="00F451C3" w:rsidTr="001543A5">
        <w:trPr>
          <w:cantSplit/>
          <w:trHeight w:val="378"/>
          <w:jc w:val="center"/>
        </w:trPr>
        <w:tc>
          <w:tcPr>
            <w:tcW w:w="9776" w:type="dxa"/>
            <w:gridSpan w:val="4"/>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Коэффициент обеспеченности собственными средствами</w:t>
            </w:r>
          </w:p>
        </w:tc>
      </w:tr>
      <w:tr w:rsidR="00F451C3" w:rsidRPr="00F451C3" w:rsidTr="001543A5">
        <w:trPr>
          <w:cantSplit/>
          <w:trHeight w:val="1134"/>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Метод расчета</w:t>
            </w:r>
          </w:p>
        </w:tc>
        <w:tc>
          <w:tcPr>
            <w:tcW w:w="2871" w:type="dxa"/>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собственный капитал + долгосрочные обязательства + долгосрочные активы</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26670</wp:posOffset>
                      </wp:positionV>
                      <wp:extent cx="1620520" cy="0"/>
                      <wp:effectExtent l="8890" t="5080" r="8890" b="139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F359D"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1pt" to="130.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"/>
                  </w:pict>
                </mc:Fallback>
              </mc:AlternateContent>
            </w:r>
            <w:r w:rsidRPr="00F451C3">
              <w:rPr>
                <w:rFonts w:ascii="Times New Roman" w:hAnsi="Times New Roman"/>
                <w:sz w:val="24"/>
                <w:szCs w:val="24"/>
              </w:rPr>
              <w:t>краткосрочные активы</w:t>
            </w:r>
          </w:p>
        </w:tc>
        <w:tc>
          <w:tcPr>
            <w:tcW w:w="3141" w:type="dxa"/>
            <w:tcBorders>
              <w:bottom w:val="single" w:sz="4" w:space="0" w:color="000000"/>
            </w:tcBorders>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собственные средства в обороте</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127000</wp:posOffset>
                      </wp:positionH>
                      <wp:positionV relativeFrom="paragraph">
                        <wp:posOffset>2540</wp:posOffset>
                      </wp:positionV>
                      <wp:extent cx="1604010" cy="0"/>
                      <wp:effectExtent l="12700" t="11430" r="12065"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891BB" id="Прямая соединительная лини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2pt" to="136.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"/>
                  </w:pict>
                </mc:Fallback>
              </mc:AlternateContent>
            </w:r>
            <w:r w:rsidRPr="00F451C3">
              <w:rPr>
                <w:rFonts w:ascii="Times New Roman" w:hAnsi="Times New Roman"/>
                <w:sz w:val="24"/>
                <w:szCs w:val="24"/>
              </w:rPr>
              <w:t>вся величина оборотных средств</w:t>
            </w:r>
          </w:p>
        </w:tc>
        <w:tc>
          <w:tcPr>
            <w:tcW w:w="2918" w:type="dxa"/>
          </w:tcPr>
          <w:p w:rsidR="00F451C3" w:rsidRPr="00F451C3" w:rsidRDefault="00F451C3" w:rsidP="00F451C3">
            <w:pPr>
              <w:widowControl w:val="0"/>
              <w:contextualSpacing/>
              <w:jc w:val="center"/>
              <w:rPr>
                <w:rFonts w:ascii="Times New Roman" w:hAnsi="Times New Roman"/>
                <w:sz w:val="24"/>
                <w:szCs w:val="24"/>
                <w:shd w:val="clear" w:color="auto" w:fill="FFFFFF"/>
              </w:rPr>
            </w:pPr>
            <w:r w:rsidRPr="00F451C3">
              <w:rPr>
                <w:rFonts w:ascii="Times New Roman" w:hAnsi="Times New Roman"/>
                <w:sz w:val="24"/>
                <w:szCs w:val="24"/>
                <w:shd w:val="clear" w:color="auto" w:fill="FFFFFF"/>
              </w:rPr>
              <w:t>собственные оборотные средства</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2540</wp:posOffset>
                      </wp:positionV>
                      <wp:extent cx="1539875" cy="0"/>
                      <wp:effectExtent l="10795" t="11430" r="11430"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7EB4D" id="Прямая соединительная линия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pt" to="12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"/>
                  </w:pict>
                </mc:Fallback>
              </mc:AlternateContent>
            </w:r>
            <w:r w:rsidRPr="00F451C3">
              <w:rPr>
                <w:rFonts w:ascii="Times New Roman" w:hAnsi="Times New Roman"/>
                <w:sz w:val="24"/>
                <w:szCs w:val="24"/>
                <w:shd w:val="clear" w:color="auto" w:fill="FFFFFF"/>
              </w:rPr>
              <w:t>оборотные активы</w:t>
            </w:r>
          </w:p>
        </w:tc>
      </w:tr>
      <w:tr w:rsidR="00F451C3" w:rsidRPr="00F451C3" w:rsidTr="001543A5">
        <w:trPr>
          <w:cantSplit/>
          <w:trHeight w:val="813"/>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Норма-</w:t>
            </w:r>
            <w:proofErr w:type="spellStart"/>
            <w:r w:rsidRPr="00F451C3">
              <w:rPr>
                <w:rFonts w:ascii="Times New Roman" w:hAnsi="Times New Roman"/>
                <w:sz w:val="24"/>
                <w:szCs w:val="24"/>
              </w:rPr>
              <w:t>тив</w:t>
            </w:r>
            <w:proofErr w:type="spellEnd"/>
          </w:p>
        </w:tc>
        <w:tc>
          <w:tcPr>
            <w:tcW w:w="2871" w:type="dxa"/>
            <w:tcBorders>
              <w:right w:val="single" w:sz="4" w:space="0" w:color="000000"/>
            </w:tcBorders>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 xml:space="preserve">≥ 0,05-0,3 в зависимости от вида экономической деятельности </w:t>
            </w:r>
          </w:p>
        </w:tc>
        <w:tc>
          <w:tcPr>
            <w:tcW w:w="3141" w:type="dxa"/>
            <w:tcBorders>
              <w:top w:val="single" w:sz="4" w:space="0" w:color="000000"/>
              <w:left w:val="single" w:sz="4" w:space="0" w:color="000000"/>
              <w:bottom w:val="single" w:sz="4" w:space="0" w:color="000000"/>
              <w:right w:val="single" w:sz="4" w:space="0" w:color="000000"/>
            </w:tcBorders>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 0,1</w:t>
            </w:r>
          </w:p>
        </w:tc>
        <w:tc>
          <w:tcPr>
            <w:tcW w:w="2918" w:type="dxa"/>
            <w:tcBorders>
              <w:left w:val="single" w:sz="4" w:space="0" w:color="000000"/>
            </w:tcBorders>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&gt; 0,1</w:t>
            </w:r>
          </w:p>
        </w:tc>
      </w:tr>
    </w:tbl>
    <w:p w:rsidR="00F451C3" w:rsidRPr="00F451C3" w:rsidRDefault="00F451C3" w:rsidP="00F451C3">
      <w:pPr>
        <w:widowControl w:val="0"/>
        <w:spacing w:after="0" w:line="240" w:lineRule="auto"/>
        <w:ind w:firstLine="709"/>
        <w:contextualSpacing/>
        <w:jc w:val="right"/>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Продолжение табл. 2</w:t>
      </w:r>
    </w:p>
    <w:tbl>
      <w:tblPr>
        <w:tblStyle w:val="a3"/>
        <w:tblW w:w="9776" w:type="dxa"/>
        <w:jc w:val="center"/>
        <w:tblLook w:val="04A0" w:firstRow="1" w:lastRow="0" w:firstColumn="1" w:lastColumn="0" w:noHBand="0" w:noVBand="1"/>
      </w:tblPr>
      <w:tblGrid>
        <w:gridCol w:w="846"/>
        <w:gridCol w:w="2871"/>
        <w:gridCol w:w="3141"/>
        <w:gridCol w:w="2918"/>
      </w:tblGrid>
      <w:tr w:rsidR="00F451C3" w:rsidRPr="00F451C3" w:rsidTr="001543A5">
        <w:trPr>
          <w:cantSplit/>
          <w:trHeight w:val="396"/>
          <w:jc w:val="center"/>
        </w:trPr>
        <w:tc>
          <w:tcPr>
            <w:tcW w:w="9776" w:type="dxa"/>
            <w:gridSpan w:val="4"/>
            <w:vAlign w:val="center"/>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Коэффициент обеспеченности финансовых обязательств активами</w:t>
            </w:r>
          </w:p>
        </w:tc>
      </w:tr>
      <w:tr w:rsidR="00F451C3" w:rsidRPr="00F451C3" w:rsidTr="001543A5">
        <w:trPr>
          <w:cantSplit/>
          <w:trHeight w:val="1134"/>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Метод расчета</w:t>
            </w:r>
          </w:p>
        </w:tc>
        <w:tc>
          <w:tcPr>
            <w:tcW w:w="2871" w:type="dxa"/>
            <w:tcBorders>
              <w:right w:val="single" w:sz="4" w:space="0" w:color="000000"/>
            </w:tcBorders>
          </w:tcPr>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sz w:val="24"/>
                <w:szCs w:val="24"/>
              </w:rPr>
              <w:t xml:space="preserve">Краткосрочные обязательства + долгосрочные обязательства </w:t>
            </w:r>
          </w:p>
          <w:p w:rsidR="00F451C3" w:rsidRPr="00F451C3" w:rsidRDefault="00F451C3" w:rsidP="00F451C3">
            <w:pPr>
              <w:widowControl w:val="0"/>
              <w:contextualSpacing/>
              <w:jc w:val="center"/>
              <w:rPr>
                <w:rFonts w:ascii="Times New Roman" w:hAnsi="Times New Roman"/>
                <w:sz w:val="24"/>
                <w:szCs w:val="24"/>
              </w:rPr>
            </w:pPr>
            <w:r w:rsidRPr="00F451C3">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74295</wp:posOffset>
                      </wp:positionH>
                      <wp:positionV relativeFrom="paragraph">
                        <wp:posOffset>18415</wp:posOffset>
                      </wp:positionV>
                      <wp:extent cx="1497965" cy="0"/>
                      <wp:effectExtent l="13335" t="12700" r="12700"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905F4" id="Прямая соединительная линия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12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"/>
                  </w:pict>
                </mc:Fallback>
              </mc:AlternateContent>
            </w:r>
            <w:r w:rsidRPr="00F451C3">
              <w:rPr>
                <w:rFonts w:ascii="Times New Roman" w:hAnsi="Times New Roman"/>
                <w:sz w:val="24"/>
                <w:szCs w:val="24"/>
              </w:rPr>
              <w:t>итог бухгалтерского баланса</w:t>
            </w:r>
          </w:p>
        </w:tc>
        <w:tc>
          <w:tcPr>
            <w:tcW w:w="3141" w:type="dxa"/>
            <w:tcBorders>
              <w:top w:val="single" w:sz="4" w:space="0" w:color="000000"/>
              <w:left w:val="single" w:sz="4" w:space="0" w:color="000000"/>
              <w:bottom w:val="single" w:sz="4" w:space="0" w:color="000000"/>
              <w:right w:val="single" w:sz="4" w:space="0" w:color="000000"/>
            </w:tcBorders>
          </w:tcPr>
          <w:p w:rsidR="00F451C3" w:rsidRPr="00F451C3" w:rsidRDefault="00F451C3" w:rsidP="00F451C3">
            <w:pPr>
              <w:widowControl w:val="0"/>
              <w:contextualSpacing/>
              <w:jc w:val="center"/>
              <w:rPr>
                <w:rFonts w:ascii="Times New Roman" w:hAnsi="Times New Roman"/>
                <w:sz w:val="24"/>
                <w:szCs w:val="24"/>
                <w:lang w:val="en-US"/>
              </w:rPr>
            </w:pPr>
            <w:r w:rsidRPr="00F451C3">
              <w:rPr>
                <w:rFonts w:ascii="Times New Roman" w:hAnsi="Times New Roman"/>
                <w:sz w:val="24"/>
                <w:szCs w:val="24"/>
                <w:lang w:val="en-US"/>
              </w:rPr>
              <w:t>-</w:t>
            </w:r>
          </w:p>
        </w:tc>
        <w:tc>
          <w:tcPr>
            <w:tcW w:w="2918" w:type="dxa"/>
            <w:tcBorders>
              <w:left w:val="single" w:sz="4" w:space="0" w:color="000000"/>
            </w:tcBorders>
          </w:tcPr>
          <w:p w:rsidR="00F451C3" w:rsidRPr="00F451C3" w:rsidRDefault="00F451C3" w:rsidP="00F451C3">
            <w:pPr>
              <w:widowControl w:val="0"/>
              <w:contextualSpacing/>
              <w:jc w:val="center"/>
              <w:rPr>
                <w:rFonts w:ascii="Times New Roman" w:hAnsi="Times New Roman"/>
                <w:sz w:val="24"/>
                <w:szCs w:val="24"/>
                <w:lang w:val="en-US"/>
              </w:rPr>
            </w:pPr>
            <w:r w:rsidRPr="00F451C3">
              <w:rPr>
                <w:rFonts w:ascii="Times New Roman" w:hAnsi="Times New Roman"/>
                <w:sz w:val="24"/>
                <w:szCs w:val="24"/>
                <w:lang w:val="en-US"/>
              </w:rPr>
              <w:t>-</w:t>
            </w:r>
          </w:p>
        </w:tc>
      </w:tr>
      <w:tr w:rsidR="00F451C3" w:rsidRPr="00F451C3" w:rsidTr="001543A5">
        <w:trPr>
          <w:cantSplit/>
          <w:trHeight w:val="672"/>
          <w:jc w:val="center"/>
        </w:trPr>
        <w:tc>
          <w:tcPr>
            <w:tcW w:w="846" w:type="dxa"/>
            <w:textDirection w:val="btLr"/>
            <w:vAlign w:val="center"/>
          </w:tcPr>
          <w:p w:rsidR="00F451C3" w:rsidRPr="00F451C3" w:rsidRDefault="00F451C3" w:rsidP="00F451C3">
            <w:pPr>
              <w:widowControl w:val="0"/>
              <w:ind w:left="113" w:right="113"/>
              <w:contextualSpacing/>
              <w:jc w:val="center"/>
              <w:rPr>
                <w:rFonts w:ascii="Times New Roman" w:hAnsi="Times New Roman"/>
                <w:sz w:val="24"/>
                <w:szCs w:val="24"/>
              </w:rPr>
            </w:pPr>
            <w:r w:rsidRPr="00F451C3">
              <w:rPr>
                <w:rFonts w:ascii="Times New Roman" w:hAnsi="Times New Roman"/>
                <w:sz w:val="24"/>
                <w:szCs w:val="24"/>
              </w:rPr>
              <w:t>Норма-</w:t>
            </w:r>
            <w:proofErr w:type="spellStart"/>
            <w:r w:rsidRPr="00F451C3">
              <w:rPr>
                <w:rFonts w:ascii="Times New Roman" w:hAnsi="Times New Roman"/>
                <w:sz w:val="24"/>
                <w:szCs w:val="24"/>
              </w:rPr>
              <w:t>тив</w:t>
            </w:r>
            <w:proofErr w:type="spellEnd"/>
          </w:p>
        </w:tc>
        <w:tc>
          <w:tcPr>
            <w:tcW w:w="2871" w:type="dxa"/>
            <w:tcBorders>
              <w:right w:val="single" w:sz="4" w:space="0" w:color="000000"/>
            </w:tcBorders>
          </w:tcPr>
          <w:p w:rsidR="00F451C3" w:rsidRPr="00F451C3" w:rsidRDefault="00F451C3" w:rsidP="00F451C3">
            <w:pPr>
              <w:widowControl w:val="0"/>
              <w:contextualSpacing/>
              <w:jc w:val="center"/>
              <w:rPr>
                <w:rFonts w:ascii="Times New Roman" w:hAnsi="Times New Roman"/>
                <w:sz w:val="24"/>
                <w:szCs w:val="24"/>
                <w:lang w:val="en-US"/>
              </w:rPr>
            </w:pPr>
            <w:r w:rsidRPr="00F451C3">
              <w:rPr>
                <w:rFonts w:ascii="Times New Roman" w:hAnsi="Times New Roman"/>
                <w:sz w:val="24"/>
                <w:szCs w:val="24"/>
                <w:lang w:val="en-US"/>
              </w:rPr>
              <w:t>≤0,85</w:t>
            </w:r>
          </w:p>
        </w:tc>
        <w:tc>
          <w:tcPr>
            <w:tcW w:w="3141" w:type="dxa"/>
            <w:tcBorders>
              <w:top w:val="single" w:sz="4" w:space="0" w:color="000000"/>
              <w:left w:val="single" w:sz="4" w:space="0" w:color="000000"/>
              <w:bottom w:val="single" w:sz="4" w:space="0" w:color="000000"/>
              <w:right w:val="single" w:sz="4" w:space="0" w:color="000000"/>
            </w:tcBorders>
          </w:tcPr>
          <w:p w:rsidR="00F451C3" w:rsidRPr="00F451C3" w:rsidRDefault="00F451C3" w:rsidP="00F451C3">
            <w:pPr>
              <w:widowControl w:val="0"/>
              <w:contextualSpacing/>
              <w:jc w:val="center"/>
              <w:rPr>
                <w:rFonts w:ascii="Times New Roman" w:hAnsi="Times New Roman"/>
                <w:sz w:val="24"/>
                <w:szCs w:val="24"/>
                <w:lang w:val="en-US"/>
              </w:rPr>
            </w:pPr>
            <w:r w:rsidRPr="00F451C3">
              <w:rPr>
                <w:rFonts w:ascii="Times New Roman" w:hAnsi="Times New Roman"/>
                <w:sz w:val="24"/>
                <w:szCs w:val="24"/>
                <w:lang w:val="en-US"/>
              </w:rPr>
              <w:t>-</w:t>
            </w:r>
          </w:p>
        </w:tc>
        <w:tc>
          <w:tcPr>
            <w:tcW w:w="2918" w:type="dxa"/>
            <w:tcBorders>
              <w:left w:val="single" w:sz="4" w:space="0" w:color="000000"/>
            </w:tcBorders>
          </w:tcPr>
          <w:p w:rsidR="00F451C3" w:rsidRPr="00F451C3" w:rsidRDefault="00F451C3" w:rsidP="00F451C3">
            <w:pPr>
              <w:widowControl w:val="0"/>
              <w:contextualSpacing/>
              <w:jc w:val="center"/>
              <w:rPr>
                <w:rFonts w:ascii="Times New Roman" w:hAnsi="Times New Roman"/>
                <w:sz w:val="24"/>
                <w:szCs w:val="24"/>
                <w:lang w:val="en-US"/>
              </w:rPr>
            </w:pPr>
            <w:r w:rsidRPr="00F451C3">
              <w:rPr>
                <w:rFonts w:ascii="Times New Roman" w:hAnsi="Times New Roman"/>
                <w:sz w:val="24"/>
                <w:szCs w:val="24"/>
                <w:lang w:val="en-US"/>
              </w:rPr>
              <w:t>-</w:t>
            </w:r>
          </w:p>
        </w:tc>
      </w:tr>
    </w:tbl>
    <w:p w:rsidR="00F451C3" w:rsidRPr="00F451C3" w:rsidRDefault="00F451C3" w:rsidP="00F451C3">
      <w:pPr>
        <w:widowControl w:val="0"/>
        <w:spacing w:after="0" w:line="240" w:lineRule="auto"/>
        <w:ind w:firstLine="709"/>
        <w:contextualSpacing/>
        <w:jc w:val="both"/>
        <w:rPr>
          <w:rFonts w:ascii="Times New Roman" w:eastAsia="Times New Roman" w:hAnsi="Times New Roman" w:cs="Times New Roman"/>
          <w:sz w:val="28"/>
          <w:lang w:eastAsia="ru-RU"/>
        </w:rPr>
      </w:pPr>
      <w:r w:rsidRPr="00F451C3">
        <w:rPr>
          <w:rFonts w:ascii="Times New Roman" w:eastAsia="Times New Roman" w:hAnsi="Times New Roman" w:cs="Times New Roman"/>
          <w:sz w:val="28"/>
          <w:lang w:eastAsia="ru-RU"/>
        </w:rPr>
        <w:t xml:space="preserve">Таким образом, данные таблицы показывают, что методика расчета показателей платежеспособности в Республики Беларусь, Российской Федерации и Республики Казахстан практически совпадают. Однако, существует различие в подходах </w:t>
      </w:r>
      <w:proofErr w:type="gramStart"/>
      <w:r w:rsidRPr="00F451C3">
        <w:rPr>
          <w:rFonts w:ascii="Times New Roman" w:eastAsia="Times New Roman" w:hAnsi="Times New Roman" w:cs="Times New Roman"/>
          <w:sz w:val="28"/>
          <w:lang w:eastAsia="ru-RU"/>
        </w:rPr>
        <w:t>к оценки</w:t>
      </w:r>
      <w:proofErr w:type="gramEnd"/>
      <w:r w:rsidRPr="00F451C3">
        <w:rPr>
          <w:rFonts w:ascii="Times New Roman" w:eastAsia="Times New Roman" w:hAnsi="Times New Roman" w:cs="Times New Roman"/>
          <w:sz w:val="28"/>
          <w:lang w:eastAsia="ru-RU"/>
        </w:rPr>
        <w:t xml:space="preserve"> платежеспособности. Все представленные показатели рассчитываются по статьям бухгалтерского баланса, и во всех проанализированных методиках предприятия признаются неплатежеспособными, если фактические значения коэффициентов текущий ликвидности, абсолютной ликвидности, обеспеченности собственными средствами оказываются ниже утвержденных нормативных значений.</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82"/>
        <w:gridCol w:w="4605"/>
      </w:tblGrid>
      <w:tr w:rsidR="00F451C3" w:rsidRPr="00F451C3" w:rsidTr="001543A5">
        <w:tc>
          <w:tcPr>
            <w:tcW w:w="4819" w:type="dxa"/>
            <w:gridSpan w:val="2"/>
          </w:tcPr>
          <w:p w:rsidR="00F451C3" w:rsidRPr="00F451C3" w:rsidRDefault="00F451C3" w:rsidP="00F451C3">
            <w:pPr>
              <w:widowControl w:val="0"/>
              <w:jc w:val="both"/>
              <w:rPr>
                <w:rFonts w:ascii="Times New Roman" w:hAnsi="Times New Roman"/>
                <w:sz w:val="28"/>
                <w:szCs w:val="28"/>
              </w:rPr>
            </w:pPr>
          </w:p>
        </w:tc>
        <w:tc>
          <w:tcPr>
            <w:tcW w:w="4820" w:type="dxa"/>
          </w:tcPr>
          <w:p w:rsidR="00F451C3" w:rsidRPr="00F451C3" w:rsidRDefault="00F451C3" w:rsidP="00F451C3">
            <w:pPr>
              <w:widowControl w:val="0"/>
              <w:jc w:val="both"/>
              <w:rPr>
                <w:rFonts w:ascii="Times New Roman" w:hAnsi="Times New Roman"/>
                <w:sz w:val="28"/>
                <w:szCs w:val="28"/>
              </w:rPr>
            </w:pPr>
          </w:p>
        </w:tc>
      </w:tr>
      <w:tr w:rsidR="00F451C3" w:rsidRPr="00F451C3" w:rsidTr="001543A5">
        <w:tc>
          <w:tcPr>
            <w:tcW w:w="9639" w:type="dxa"/>
            <w:gridSpan w:val="3"/>
          </w:tcPr>
          <w:p w:rsidR="00F451C3" w:rsidRPr="00F451C3" w:rsidRDefault="00F451C3" w:rsidP="00F451C3">
            <w:pPr>
              <w:widowControl w:val="0"/>
              <w:jc w:val="center"/>
              <w:rPr>
                <w:rFonts w:ascii="Times New Roman" w:hAnsi="Times New Roman"/>
                <w:sz w:val="28"/>
                <w:szCs w:val="28"/>
              </w:rPr>
            </w:pPr>
            <w:r w:rsidRPr="00F451C3">
              <w:rPr>
                <w:rFonts w:ascii="Times New Roman" w:hAnsi="Times New Roman"/>
                <w:b/>
                <w:sz w:val="28"/>
                <w:szCs w:val="28"/>
              </w:rPr>
              <w:t>Список литературы</w:t>
            </w:r>
          </w:p>
        </w:tc>
      </w:tr>
      <w:tr w:rsidR="00F451C3" w:rsidRPr="00F451C3" w:rsidTr="001543A5">
        <w:tc>
          <w:tcPr>
            <w:tcW w:w="567" w:type="dxa"/>
          </w:tcPr>
          <w:p w:rsidR="00F451C3" w:rsidRPr="00F451C3" w:rsidRDefault="00F451C3" w:rsidP="00F451C3">
            <w:pPr>
              <w:widowControl w:val="0"/>
              <w:numPr>
                <w:ilvl w:val="0"/>
                <w:numId w:val="2"/>
              </w:numPr>
              <w:contextualSpacing/>
              <w:jc w:val="both"/>
              <w:rPr>
                <w:rFonts w:ascii="Times New Roman" w:hAnsi="Times New Roman"/>
                <w:sz w:val="24"/>
                <w:szCs w:val="24"/>
              </w:rPr>
            </w:pPr>
          </w:p>
        </w:tc>
        <w:tc>
          <w:tcPr>
            <w:tcW w:w="9072" w:type="dxa"/>
            <w:gridSpan w:val="2"/>
          </w:tcPr>
          <w:p w:rsidR="00F451C3" w:rsidRPr="00F451C3" w:rsidRDefault="00F451C3" w:rsidP="00F451C3">
            <w:pPr>
              <w:widowControl w:val="0"/>
              <w:rPr>
                <w:rFonts w:ascii="Times New Roman" w:hAnsi="Times New Roman"/>
                <w:sz w:val="24"/>
                <w:szCs w:val="24"/>
              </w:rPr>
            </w:pPr>
            <w:r w:rsidRPr="00F451C3">
              <w:rPr>
                <w:rFonts w:ascii="Times New Roman" w:hAnsi="Times New Roman"/>
                <w:sz w:val="24"/>
                <w:szCs w:val="24"/>
              </w:rPr>
              <w:t xml:space="preserve">Савицкая Г. В. Анализ хозяйственной деятельности предприятия: Учеб. пособие / Г.В. Савицкая. — 7-е изд., </w:t>
            </w:r>
            <w:proofErr w:type="spellStart"/>
            <w:r w:rsidRPr="00F451C3">
              <w:rPr>
                <w:rFonts w:ascii="Times New Roman" w:hAnsi="Times New Roman"/>
                <w:sz w:val="24"/>
                <w:szCs w:val="24"/>
              </w:rPr>
              <w:t>испр</w:t>
            </w:r>
            <w:proofErr w:type="spellEnd"/>
            <w:r w:rsidRPr="00F451C3">
              <w:rPr>
                <w:rFonts w:ascii="Times New Roman" w:hAnsi="Times New Roman"/>
                <w:sz w:val="24"/>
                <w:szCs w:val="24"/>
              </w:rPr>
              <w:t>. — Мн.: Новое знание, 2002. — 704 с. — (Экономическое образование).</w:t>
            </w:r>
          </w:p>
        </w:tc>
      </w:tr>
      <w:tr w:rsidR="00F451C3" w:rsidRPr="00F451C3" w:rsidTr="001543A5">
        <w:tc>
          <w:tcPr>
            <w:tcW w:w="567" w:type="dxa"/>
          </w:tcPr>
          <w:p w:rsidR="00F451C3" w:rsidRPr="00F451C3" w:rsidRDefault="00F451C3" w:rsidP="00F451C3">
            <w:pPr>
              <w:widowControl w:val="0"/>
              <w:numPr>
                <w:ilvl w:val="0"/>
                <w:numId w:val="2"/>
              </w:numPr>
              <w:contextualSpacing/>
              <w:jc w:val="both"/>
              <w:rPr>
                <w:rFonts w:ascii="Times New Roman" w:hAnsi="Times New Roman"/>
                <w:sz w:val="24"/>
                <w:szCs w:val="24"/>
              </w:rPr>
            </w:pPr>
          </w:p>
        </w:tc>
        <w:tc>
          <w:tcPr>
            <w:tcW w:w="9072" w:type="dxa"/>
            <w:gridSpan w:val="2"/>
          </w:tcPr>
          <w:p w:rsidR="00F451C3" w:rsidRPr="00F451C3" w:rsidRDefault="00F451C3" w:rsidP="00F451C3">
            <w:pPr>
              <w:widowControl w:val="0"/>
              <w:rPr>
                <w:rFonts w:ascii="Times New Roman" w:hAnsi="Times New Roman"/>
                <w:sz w:val="24"/>
                <w:szCs w:val="24"/>
              </w:rPr>
            </w:pPr>
            <w:proofErr w:type="spellStart"/>
            <w:r w:rsidRPr="00F451C3">
              <w:rPr>
                <w:rFonts w:ascii="Times New Roman" w:hAnsi="Times New Roman"/>
                <w:sz w:val="24"/>
                <w:szCs w:val="24"/>
              </w:rPr>
              <w:t>Сайбитинова</w:t>
            </w:r>
            <w:proofErr w:type="spellEnd"/>
            <w:r w:rsidRPr="00F451C3">
              <w:rPr>
                <w:rFonts w:ascii="Times New Roman" w:hAnsi="Times New Roman"/>
                <w:sz w:val="24"/>
                <w:szCs w:val="24"/>
              </w:rPr>
              <w:t xml:space="preserve"> Н. Б. Анализ ликвидности и платежеспособности организации </w:t>
            </w:r>
            <w:proofErr w:type="gramStart"/>
            <w:r w:rsidRPr="00F451C3">
              <w:rPr>
                <w:rFonts w:ascii="Times New Roman" w:hAnsi="Times New Roman"/>
                <w:sz w:val="24"/>
                <w:szCs w:val="24"/>
              </w:rPr>
              <w:t>/  Н.</w:t>
            </w:r>
            <w:proofErr w:type="gramEnd"/>
            <w:r w:rsidRPr="00F451C3">
              <w:rPr>
                <w:rFonts w:ascii="Times New Roman" w:hAnsi="Times New Roman"/>
                <w:sz w:val="24"/>
                <w:szCs w:val="24"/>
              </w:rPr>
              <w:t xml:space="preserve"> Б. </w:t>
            </w:r>
            <w:proofErr w:type="spellStart"/>
            <w:r w:rsidRPr="00F451C3">
              <w:rPr>
                <w:rFonts w:ascii="Times New Roman" w:hAnsi="Times New Roman"/>
                <w:sz w:val="24"/>
                <w:szCs w:val="24"/>
              </w:rPr>
              <w:t>Сайбитинова</w:t>
            </w:r>
            <w:proofErr w:type="spellEnd"/>
            <w:r w:rsidRPr="00F451C3">
              <w:rPr>
                <w:rFonts w:ascii="Times New Roman" w:hAnsi="Times New Roman"/>
                <w:sz w:val="24"/>
                <w:szCs w:val="24"/>
              </w:rPr>
              <w:t xml:space="preserve"> // Вестник Омского университета.. - 2004. - № 1. - С. 122–130.</w:t>
            </w:r>
          </w:p>
        </w:tc>
      </w:tr>
      <w:tr w:rsidR="00F451C3" w:rsidRPr="00F451C3" w:rsidTr="001543A5">
        <w:tc>
          <w:tcPr>
            <w:tcW w:w="567" w:type="dxa"/>
          </w:tcPr>
          <w:p w:rsidR="00F451C3" w:rsidRPr="00F451C3" w:rsidRDefault="00F451C3" w:rsidP="00F451C3">
            <w:pPr>
              <w:widowControl w:val="0"/>
              <w:numPr>
                <w:ilvl w:val="0"/>
                <w:numId w:val="2"/>
              </w:numPr>
              <w:contextualSpacing/>
              <w:jc w:val="both"/>
              <w:rPr>
                <w:rFonts w:ascii="Times New Roman" w:hAnsi="Times New Roman"/>
                <w:sz w:val="24"/>
                <w:szCs w:val="24"/>
              </w:rPr>
            </w:pPr>
          </w:p>
        </w:tc>
        <w:tc>
          <w:tcPr>
            <w:tcW w:w="9072" w:type="dxa"/>
            <w:gridSpan w:val="2"/>
          </w:tcPr>
          <w:p w:rsidR="00F451C3" w:rsidRPr="00F451C3" w:rsidRDefault="00F451C3" w:rsidP="00F451C3">
            <w:pPr>
              <w:widowControl w:val="0"/>
              <w:rPr>
                <w:rFonts w:ascii="Times New Roman" w:hAnsi="Times New Roman"/>
                <w:sz w:val="24"/>
                <w:szCs w:val="24"/>
              </w:rPr>
            </w:pPr>
            <w:r w:rsidRPr="00F451C3">
              <w:rPr>
                <w:rFonts w:ascii="Times New Roman" w:hAnsi="Times New Roman"/>
                <w:sz w:val="24"/>
                <w:szCs w:val="24"/>
              </w:rPr>
              <w:t>Экономический анализ: Учебник для вузов / Под ред. профессора Л.Т. Гиляровской. М.: ЮНИТИ-ДАНА, 2001. 527 с.</w:t>
            </w:r>
          </w:p>
        </w:tc>
      </w:tr>
      <w:tr w:rsidR="00F451C3" w:rsidRPr="00F451C3" w:rsidTr="001543A5">
        <w:tc>
          <w:tcPr>
            <w:tcW w:w="567" w:type="dxa"/>
          </w:tcPr>
          <w:p w:rsidR="00F451C3" w:rsidRPr="00F451C3" w:rsidRDefault="00F451C3" w:rsidP="00F451C3">
            <w:pPr>
              <w:widowControl w:val="0"/>
              <w:numPr>
                <w:ilvl w:val="0"/>
                <w:numId w:val="2"/>
              </w:numPr>
              <w:contextualSpacing/>
              <w:jc w:val="both"/>
              <w:rPr>
                <w:rFonts w:ascii="Times New Roman" w:hAnsi="Times New Roman"/>
                <w:sz w:val="24"/>
                <w:szCs w:val="24"/>
              </w:rPr>
            </w:pPr>
          </w:p>
        </w:tc>
        <w:tc>
          <w:tcPr>
            <w:tcW w:w="9072" w:type="dxa"/>
            <w:gridSpan w:val="2"/>
          </w:tcPr>
          <w:p w:rsidR="00F451C3" w:rsidRPr="00F451C3" w:rsidRDefault="00F451C3" w:rsidP="00F451C3">
            <w:pPr>
              <w:widowControl w:val="0"/>
              <w:rPr>
                <w:rFonts w:ascii="Times New Roman" w:hAnsi="Times New Roman"/>
                <w:sz w:val="24"/>
                <w:szCs w:val="24"/>
              </w:rPr>
            </w:pPr>
            <w:proofErr w:type="spellStart"/>
            <w:r w:rsidRPr="00F451C3">
              <w:rPr>
                <w:rFonts w:ascii="Times New Roman" w:hAnsi="Times New Roman"/>
                <w:sz w:val="24"/>
                <w:szCs w:val="24"/>
              </w:rPr>
              <w:t>Колмыкова</w:t>
            </w:r>
            <w:proofErr w:type="spellEnd"/>
            <w:r w:rsidRPr="00F451C3">
              <w:rPr>
                <w:rFonts w:ascii="Times New Roman" w:hAnsi="Times New Roman"/>
                <w:sz w:val="24"/>
                <w:szCs w:val="24"/>
              </w:rPr>
              <w:t xml:space="preserve"> Е. С. Соотношение понятий «платежеспособность» и «ликвидность» // Молодой ученый. — 2014. — №3. — С. 458-460.</w:t>
            </w:r>
          </w:p>
        </w:tc>
      </w:tr>
    </w:tbl>
    <w:p w:rsidR="00F451C3" w:rsidRPr="00F451C3" w:rsidRDefault="00F451C3" w:rsidP="00F451C3">
      <w:pPr>
        <w:widowControl w:val="0"/>
        <w:spacing w:after="0" w:line="240" w:lineRule="auto"/>
        <w:ind w:firstLine="709"/>
        <w:jc w:val="both"/>
        <w:rPr>
          <w:rFonts w:ascii="Times New Roman" w:eastAsia="Times New Roman" w:hAnsi="Times New Roman" w:cs="Times New Roman"/>
          <w:sz w:val="28"/>
          <w:szCs w:val="28"/>
          <w:lang w:eastAsia="ru-RU"/>
        </w:rPr>
      </w:pPr>
    </w:p>
    <w:p w:rsidR="009E0DB7" w:rsidRDefault="009E0DB7">
      <w:bookmarkStart w:id="6" w:name="_GoBack"/>
      <w:bookmarkEnd w:id="6"/>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0FB7"/>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2F5CCE"/>
    <w:multiLevelType w:val="hybridMultilevel"/>
    <w:tmpl w:val="442CA052"/>
    <w:lvl w:ilvl="0" w:tplc="0C0C6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C3"/>
    <w:rsid w:val="009E0DB7"/>
    <w:rsid w:val="00F4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03121-765A-4600-AD15-8E033555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1C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2017-12-03T09:51:00Z</dcterms:created>
  <dcterms:modified xsi:type="dcterms:W3CDTF">2017-12-03T09:51:00Z</dcterms:modified>
</cp:coreProperties>
</file>