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4260"/>
      </w:tblGrid>
      <w:tr w:rsidR="00AE380E" w:rsidRPr="00AE380E" w:rsidTr="0098283A">
        <w:tc>
          <w:tcPr>
            <w:tcW w:w="9520" w:type="dxa"/>
            <w:gridSpan w:val="2"/>
            <w:tcMar>
              <w:left w:w="0" w:type="dxa"/>
              <w:right w:w="0" w:type="dxa"/>
            </w:tcMar>
          </w:tcPr>
          <w:p w:rsidR="00AE380E" w:rsidRPr="00AE380E" w:rsidRDefault="00AE380E" w:rsidP="00AE380E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80E">
              <w:rPr>
                <w:rFonts w:ascii="Times New Roman" w:hAnsi="Times New Roman"/>
                <w:b/>
                <w:sz w:val="28"/>
                <w:szCs w:val="28"/>
              </w:rPr>
              <w:t>УДК332.1</w:t>
            </w:r>
          </w:p>
          <w:p w:rsidR="00AE380E" w:rsidRPr="00AE380E" w:rsidRDefault="00AE380E" w:rsidP="00AE380E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AE380E" w:rsidRPr="00AE380E" w:rsidTr="0098283A">
        <w:tc>
          <w:tcPr>
            <w:tcW w:w="9520" w:type="dxa"/>
            <w:gridSpan w:val="2"/>
            <w:tcMar>
              <w:left w:w="0" w:type="dxa"/>
              <w:right w:w="0" w:type="dxa"/>
            </w:tcMar>
          </w:tcPr>
          <w:p w:rsidR="00AE380E" w:rsidRPr="00AE380E" w:rsidRDefault="00AE380E" w:rsidP="00AE380E">
            <w:pPr>
              <w:widowControl w:val="0"/>
              <w:ind w:firstLine="555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929"/>
            <w:bookmarkStart w:id="1" w:name="_Toc480537153"/>
            <w:r w:rsidRPr="00AE380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Проблемы развития региональных социально-экономических систем постконфликтных территорий</w:t>
            </w:r>
            <w:bookmarkEnd w:id="0"/>
            <w:bookmarkEnd w:id="1"/>
          </w:p>
        </w:tc>
      </w:tr>
      <w:tr w:rsidR="00AE380E" w:rsidRPr="00AE380E" w:rsidTr="0098283A">
        <w:tc>
          <w:tcPr>
            <w:tcW w:w="5189" w:type="dxa"/>
            <w:tcMar>
              <w:left w:w="0" w:type="dxa"/>
              <w:right w:w="0" w:type="dxa"/>
            </w:tcMar>
          </w:tcPr>
          <w:p w:rsidR="00AE380E" w:rsidRPr="00AE380E" w:rsidRDefault="00AE380E" w:rsidP="00AE380E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1" w:type="dxa"/>
            <w:tcMar>
              <w:left w:w="0" w:type="dxa"/>
              <w:right w:w="0" w:type="dxa"/>
            </w:tcMar>
          </w:tcPr>
          <w:p w:rsidR="00AE380E" w:rsidRPr="00AE380E" w:rsidRDefault="00AE380E" w:rsidP="00AE38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80E" w:rsidRPr="00AE380E" w:rsidTr="0098283A">
        <w:tc>
          <w:tcPr>
            <w:tcW w:w="5189" w:type="dxa"/>
            <w:tcMar>
              <w:left w:w="0" w:type="dxa"/>
              <w:right w:w="0" w:type="dxa"/>
            </w:tcMar>
          </w:tcPr>
          <w:p w:rsidR="00AE380E" w:rsidRPr="00AE380E" w:rsidRDefault="00AE380E" w:rsidP="00AE380E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31" w:type="dxa"/>
            <w:tcMar>
              <w:left w:w="0" w:type="dxa"/>
              <w:right w:w="0" w:type="dxa"/>
            </w:tcMar>
          </w:tcPr>
          <w:p w:rsidR="00AE380E" w:rsidRPr="00AE380E" w:rsidRDefault="00AE380E" w:rsidP="00AE380E">
            <w:pPr>
              <w:widowControl w:val="0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Toc480490930"/>
            <w:bookmarkStart w:id="3" w:name="_Toc480537154"/>
            <w:r w:rsidRPr="00AE380E">
              <w:rPr>
                <w:rFonts w:ascii="Times New Roman" w:hAnsi="Times New Roman"/>
                <w:b/>
                <w:bCs/>
                <w:sz w:val="28"/>
                <w:szCs w:val="26"/>
              </w:rPr>
              <w:t>А.А. Кужелева</w:t>
            </w:r>
            <w:bookmarkEnd w:id="2"/>
            <w:bookmarkEnd w:id="3"/>
            <w:r w:rsidRPr="00AE380E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AE380E">
              <w:rPr>
                <w:rFonts w:ascii="Times New Roman" w:hAnsi="Times New Roman"/>
                <w:i/>
                <w:sz w:val="28"/>
                <w:szCs w:val="28"/>
              </w:rPr>
              <w:t>к.э.н., доцент</w:t>
            </w:r>
          </w:p>
          <w:p w:rsidR="00AE380E" w:rsidRPr="00AE380E" w:rsidRDefault="00AE380E" w:rsidP="00AE380E">
            <w:pPr>
              <w:widowControl w:val="0"/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</w:rPr>
            </w:pPr>
            <w:r w:rsidRPr="00AE380E">
              <w:rPr>
                <w:rFonts w:ascii="Times New Roman" w:hAnsi="Times New Roman"/>
                <w:i/>
                <w:sz w:val="28"/>
                <w:szCs w:val="28"/>
              </w:rPr>
              <w:t xml:space="preserve">ГОУ ВПО «Донецкий национальный университет» </w:t>
            </w:r>
          </w:p>
          <w:p w:rsidR="00AE380E" w:rsidRPr="00AE380E" w:rsidRDefault="00AE380E" w:rsidP="00AE380E">
            <w:pPr>
              <w:widowControl w:val="0"/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</w:rPr>
            </w:pPr>
            <w:r w:rsidRPr="00AE380E">
              <w:rPr>
                <w:rFonts w:ascii="Times New Roman" w:hAnsi="Times New Roman"/>
                <w:i/>
                <w:sz w:val="28"/>
                <w:szCs w:val="28"/>
              </w:rPr>
              <w:t>г. Донецк, Донецкая Народная Республика</w:t>
            </w:r>
          </w:p>
        </w:tc>
      </w:tr>
    </w:tbl>
    <w:p w:rsidR="00AE380E" w:rsidRPr="00AE380E" w:rsidRDefault="00AE380E" w:rsidP="00AE380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lang w:eastAsia="ru-RU"/>
        </w:rPr>
      </w:pP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статье рассмотрены некоторые аспекты региональных социально-экономических систем постконфликтных территорий и выявлены проблемы, связанные с их дальнейшим восстановлением и развитием.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слова: регион, социально-экономические системы, постконфликтные территории, региональные социально-экономические системы.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AE380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Summary. </w:t>
      </w:r>
      <w:proofErr w:type="gramStart"/>
      <w:r w:rsidRPr="00AE380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The article discusses some aspects of regional socio-economic systems in post-conflict areas and identified the problems associated with their further rehabilitation and development.</w:t>
      </w:r>
      <w:proofErr w:type="gramEnd"/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AE380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Keywords: region, socio-economic systems, post-conflict areas, regional socio-economic system.</w:t>
      </w:r>
    </w:p>
    <w:p w:rsidR="00AE380E" w:rsidRPr="00AE380E" w:rsidRDefault="00AE380E" w:rsidP="00AE380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AE380E" w:rsidRPr="00AE380E" w:rsidRDefault="00AE380E" w:rsidP="00AE380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проблемы. </w:t>
      </w: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геополитическом пространстве существует целый ряд регионов, которые охвачены различными вооруженными конфликтами, влекущими за собой человеческие жертвы и разрушение целых региональных социально-экономических систем. Нужно отметить, что такие конфликты сопровождаются разрушением инфраструктуры, всех систем жизнеобеспечения, социально-экономических объектов.</w:t>
      </w:r>
    </w:p>
    <w:p w:rsidR="00AE380E" w:rsidRPr="00AE380E" w:rsidRDefault="00AE380E" w:rsidP="00AE380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таких регионов, их восстановление и дальнейшее развитие относится к ответственности государства, которое стало причиной такого явления, либо находится под его юрисдикцией. Это государство должно не только восстановить постконфликтные последствия, но и создать достойные условия для жизнедеятельности всех участников данного конфликта. </w:t>
      </w:r>
    </w:p>
    <w:p w:rsidR="00AE380E" w:rsidRPr="00AE380E" w:rsidRDefault="00AE380E" w:rsidP="00AE380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Подобные задачи в свое время стояли перед Грузией, </w:t>
      </w:r>
      <w:proofErr w:type="gramStart"/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Азербайджаном  и</w:t>
      </w:r>
      <w:proofErr w:type="gramEnd"/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другими. Но, как показывает мировой опыт, не каждое государство признает свою виновность и необходимость участвовать в подобном процессе восстановления региональных социально-экономических систем постконфликтных территорий.</w:t>
      </w:r>
    </w:p>
    <w:p w:rsidR="00AE380E" w:rsidRPr="00AE380E" w:rsidRDefault="00AE380E" w:rsidP="00AE380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региональных социально-экономических систем постконфликтных территорий и мероприятия, связанные с их дальнейшим восстановлением и развитием, остаются актуальными и дискуссионными. Среди ведущих ученых </w:t>
      </w: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РФ, занимающихся данной проблемой, являются Аджикова А.С., Дубовикова Е.Ю., Расторцева С.Н.; а также </w:t>
      </w:r>
      <w:r w:rsidRPr="00AE38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выдающие основоположники различных научных школ Сей Ж.Б., Смит А., Рикардо Д., Кейнс Дж. М., Куллох М.; и другие Белл </w:t>
      </w:r>
      <w:proofErr w:type="gramStart"/>
      <w:r w:rsidRPr="00AE38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Д. ,</w:t>
      </w:r>
      <w:proofErr w:type="gramEnd"/>
      <w:r w:rsidRPr="00AE38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Брю С., Валент Ф., Вальрас Л., Гелбрейт Дж. К., Маршалл А., Макконнелл К., Минцберг  Р., Ойкен В., Портер М., Хакен Г., Шумпетер И., Эшби Р.</w:t>
      </w:r>
    </w:p>
    <w:p w:rsidR="00AE380E" w:rsidRPr="00AE380E" w:rsidRDefault="00AE380E" w:rsidP="00AE380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является изучение некоторых аспектов региональных социально-экономических систем постконфликтных территорий и выявлены проблемы, связанные с их дальнейшим восстановлением и развитием.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 исследования. </w:t>
      </w: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устойчивого развития как целенаправленного движения региональной системы от некого исходного состояния к перспективному, характеризующемуся более высоким качеством жизни населения, обуславливает необходимость анализа социально-экономических процессов, влияющих на направленность и успешность этого движения. План развития постконфликтных территорий сам по себе является сложной задачей, что обосновано отсутствием полной картины реальных последствий и оценки существующих возможностей. Здесь нужно учитывать, что потенциал постконфликтной территории – это, прежде всего, то, что было до начала конфликта и степень его разрушения и возможностей относительное значение.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214"/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экономическая литература, основные проблемы, связанные с социально-экономическим развитием регионов, обобщенно классифицируют по следующим признакам [2]:</w:t>
      </w:r>
    </w:p>
    <w:p w:rsidR="00AE380E" w:rsidRPr="00AE380E" w:rsidRDefault="00AE380E" w:rsidP="00AE380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генезису, то есть по особенностям возникновения или зарождения;</w:t>
      </w:r>
    </w:p>
    <w:p w:rsidR="00AE380E" w:rsidRPr="00AE380E" w:rsidRDefault="00AE380E" w:rsidP="00AE380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 возникновения или зарождения;</w:t>
      </w:r>
    </w:p>
    <w:p w:rsidR="00AE380E" w:rsidRPr="00AE380E" w:rsidRDefault="00AE380E" w:rsidP="00AE380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продолжительностью существования до начала смягчения или нейтрализации (кратковременные, долговременные);</w:t>
      </w:r>
    </w:p>
    <w:p w:rsidR="00AE380E" w:rsidRPr="00AE380E" w:rsidRDefault="00AE380E" w:rsidP="00AE380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объемом средств, которые необходимы для их нейтрализации или разрешения (малозатратные, крупнозатратные);</w:t>
      </w:r>
    </w:p>
    <w:p w:rsidR="00AE380E" w:rsidRPr="00AE380E" w:rsidRDefault="00AE380E" w:rsidP="00AE380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важнейшими признаками (общественно-политические, социально-экономические, организационно-правовые, экологические и тому подобное);</w:t>
      </w:r>
    </w:p>
    <w:p w:rsidR="00AE380E" w:rsidRPr="00AE380E" w:rsidRDefault="00AE380E" w:rsidP="00AE380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диспропорциями, что они порождают.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Теоретическое осмысление понятия региональных социально-экономических систем постконфликтных территорий находится на стадии обсуждения и анализа. Современный анализ взглядов основывается на трех сферах: экономической, социальной и экологической. Они и положены в основу выявления первоочередных проблем постконфликтных территорий. Известно, что все исследования базируются на генезисе устойчивости, </w:t>
      </w:r>
      <w:proofErr w:type="gramStart"/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т.е  модели</w:t>
      </w:r>
      <w:proofErr w:type="gramEnd"/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устойчивого развития социально</w:t>
      </w:r>
      <w:bookmarkEnd w:id="4"/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-экономической системы. Однако, равновесное состояние существующей региональной социально-экономической системы постконфликтных территорий носит временный характер и определяется количественно-качественными показателями.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Учитывая рассмотренные теоретические аспекты, нужно выделить реальные оценки экономических возможностей постконфликтных территорий. Здесь нужно учитывать: глубину конфликта, его этап и продолжительность. Если рассматривать Донецкую Народную Республику, то будем учитывать, что конфликт находится на стадии активной фазы и его продолжительность неизвестна, а, следовательно, и степень негативных последствий. Также необходимо иметь принципиальные ответы на вопросы, которые важны и имеют первоочередное значение. 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развития Донецкой области до начала конфликта, согласно Результатов развития регионов Украины на 01.01.2014 г., показывают достаточно высокий индекс конкурентоспособности среди областей Украины, который составлял 4 место. Причем такой показатель является лучше результата Украины в целом в глобальном рейтинге. Сейчас, согласно карте, Донецкая Народная Республика (ДНР) по состоянию на </w:t>
      </w:r>
      <w:hyperlink r:id="rId5" w:tooltip="30 января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января</w:t>
        </w:r>
      </w:hyperlink>
      <w:r w:rsidRPr="00AE380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hyperlink r:id="rId6" w:tooltip="2017 год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2017 года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подразделяется на 4 района и 15 городов республиканского подчинения: Амвросиевский район, </w:t>
      </w:r>
      <w:hyperlink r:id="rId7" w:tooltip="Новоазовский район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Новоазовский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hyperlink r:id="rId8" w:tooltip="Старобешевский район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Старобешевский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hyperlink r:id="rId9" w:tooltip="Тельмановский район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Тельмановский район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tooltip="Донецкий городской совет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Донецкий городской совет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tooltip="Дебальцевский городской совет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Дебальцевский городской совет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tooltip="Докучаевский городской совет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Докучаевский городской совет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tooltip="Горловский городской совет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Горловский городской совет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tooltip="Енакиевский городской совет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Енакиевский городской совет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tooltip="Ждановский городской совет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Ждановский городской совет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tooltip="Кировский городской совет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Кировский городской совет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tooltip="Макеевский городской совет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Макеевский городской совет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tooltip="Снежнянский городской совет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Снежнянский городской совет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tooltip="Торезский городской совет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Торезский городской совет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0" w:tooltip="Шахтёрский городской совет (Донецкая область)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Шахтёрский городской совет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tooltip="Ясиноватский городской совет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Ясиноватский городской совет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2" w:tooltip="Харцызский городской совет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Харцызский городской совет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23" w:tooltip="Зугрэс" w:history="1">
        <w:r w:rsidRPr="00AE3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Зугрэс</w:t>
        </w:r>
      </w:hyperlink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Территория ДНР находится не в пределах области, что привносит определенные трудности и несоответствия в нормальную работу субъектов хозяйствования.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возникает настоятельная необходимость юридического признания ДНР в мировом пространстве, что упростило бы межгосударственные отношения и использование норм международного права. Сегодня перед ведущими странами мирового сообщества существует задача – это установление Мира. Это отправная точка в процессе развития региональных социально-экономический систем постконфликтных территорий и, в частности, ДНР.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программ восстановления и развития постконфликтных территорий должна учитывать и включать: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Специфические особенности самого военного конфликта и возможности его приостановления. Здесь нужно учитывать два сценария развития: военным путем или путем мирных переговоров, а также необходимость вовлечения третьей стороны. Учитывая ситуацию, сложившуюся в результате конфликта ДНР, участие третьих сторон – это единственная возможность окончания военного конфликта.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Разработка и поэтапное внедрение программ по восстановлению пострадавшей территории. Тут нужно определится с объемом капитальных и финансовых вложений, которые государство сможет мобилизовать и вложить в восстановление и развитие постконфликтоной территории. Нужно учитывать и временные рамки, так как расширение этого параметра является позитивным фактором повышения эффективности развития территории, так </w:t>
      </w: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дает возможность восстановления большего количества предприятий.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 обратить внимание и на привлечение помощи со стороны государств, которые поддерживают постконфликтную территорию, но не являются причиной сложившегося конфликта. Например, помощь РФ ДНР.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3.  Оценка политической ситуации. Это доверие пострадавшего населения правительству. Если жители не доверяют государству, то возможно социальное недовольство и пристальное внимание к действиям правительства, которые могут оцениваться негативно. В таких условиях реализация масштабных программ может быть заторможена и неэффективна.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беженцев и вынуждено перемещенных лиц. Известно, что чем больше их количество и менее благоприятны условия их существования, тем сильнее будет социальное давление на правительство. Учитывать нужно и желание такого населения вернуться на пострадавшую территорию и желание участвовать в восстановлении. Или требовать от правительства социальных гарантий на временном месте пребывания, которое, по всей видимости, станет постоянным.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 перечисленные аспекты должны быть зафиксированы в программе восстановления и развития постконфликтной территории. Однако, нужно учитывать, что программа может существенно отличаться, если потсконфликтная территория в результате военных действий обособится и будет активно поддерживаться другим государством. Сценарий развития ДНР остается на стадии неизвестности. Как будет развиваться этот конфликт и в каком статусе будет пострадавшая территория, неизвестно.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нужно отметить, что программа должна быть направлена на достижение политического согласия между двумя воинствующими сторонами и планирование обязательного восстановления и дальнейшего развития постконфликтоной территории.</w:t>
      </w:r>
    </w:p>
    <w:p w:rsidR="00AE380E" w:rsidRPr="00AE380E" w:rsidRDefault="00AE380E" w:rsidP="00AE3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Выводы. </w:t>
      </w:r>
      <w:r w:rsidRPr="00AE38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мире существует целый ряд регионов, которые охвачены различными вооруженными конфликтами, влекущими за собой человеческие жертвы и разрушение целых региональных социально-экономических систем. Разработка программ развития постконфликтных территорий сама по себе является сложной задачей, что обосновано отсутствием полной картины реальных последствий и оценки существующих возможностей. Именно в такой плоскости нужно выделить основные проблемы, которые для каждой конфликтной или постконфликтной территории являются специфическими. Поэтому, по нашему мнению, разработка программ должна учитывать рассмотренные аспекты и интегрировать их.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4092"/>
        <w:gridCol w:w="4596"/>
      </w:tblGrid>
      <w:tr w:rsidR="00AE380E" w:rsidRPr="00AE380E" w:rsidTr="0098283A">
        <w:tc>
          <w:tcPr>
            <w:tcW w:w="4819" w:type="dxa"/>
            <w:gridSpan w:val="2"/>
          </w:tcPr>
          <w:p w:rsidR="00AE380E" w:rsidRPr="00AE380E" w:rsidRDefault="00AE380E" w:rsidP="00AE380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E380E" w:rsidRPr="00AE380E" w:rsidRDefault="00AE380E" w:rsidP="00AE380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80E" w:rsidRPr="00AE380E" w:rsidTr="0098283A">
        <w:tc>
          <w:tcPr>
            <w:tcW w:w="9639" w:type="dxa"/>
            <w:gridSpan w:val="3"/>
          </w:tcPr>
          <w:p w:rsidR="00AE380E" w:rsidRPr="00AE380E" w:rsidRDefault="00AE380E" w:rsidP="00AE38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80E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AE380E" w:rsidRPr="00AE380E" w:rsidTr="0098283A">
        <w:tc>
          <w:tcPr>
            <w:tcW w:w="567" w:type="dxa"/>
          </w:tcPr>
          <w:p w:rsidR="00AE380E" w:rsidRPr="00AE380E" w:rsidRDefault="00AE380E" w:rsidP="00AE380E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E380E" w:rsidRPr="00AE380E" w:rsidRDefault="00AE380E" w:rsidP="00AE380E">
            <w:pPr>
              <w:widowControl w:val="0"/>
              <w:shd w:val="clear" w:color="auto" w:fill="FFFFFF"/>
              <w:tabs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0E">
              <w:rPr>
                <w:rFonts w:ascii="Times New Roman" w:hAnsi="Times New Roman"/>
                <w:sz w:val="24"/>
                <w:szCs w:val="24"/>
              </w:rPr>
              <w:t>Музаффарли (Иманов) Н. К вопросу о восстановлении постконфликтных территорий / Н. Музаффарли (Иманов), Э. Исмаилов // Кавказ и глобализация. - 2009. - № 2-3. Том 3. - Режим доступа: http://cyberleninka.ru/article/n/k-voprosu-o-vosstanovlenii-postkonfliktnyh-territoriy, свободный. (Дата обращения: 31.03.2017 г.).</w:t>
            </w:r>
          </w:p>
        </w:tc>
      </w:tr>
      <w:tr w:rsidR="00AE380E" w:rsidRPr="00AE380E" w:rsidTr="0098283A">
        <w:tc>
          <w:tcPr>
            <w:tcW w:w="567" w:type="dxa"/>
          </w:tcPr>
          <w:p w:rsidR="00AE380E" w:rsidRPr="00AE380E" w:rsidRDefault="00AE380E" w:rsidP="00AE380E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E380E" w:rsidRPr="00AE380E" w:rsidRDefault="00AE380E" w:rsidP="00AE380E">
            <w:pPr>
              <w:widowControl w:val="0"/>
              <w:shd w:val="clear" w:color="auto" w:fill="FFFFFF"/>
              <w:tabs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0E">
              <w:rPr>
                <w:rFonts w:ascii="Times New Roman" w:hAnsi="Times New Roman"/>
                <w:sz w:val="24"/>
                <w:szCs w:val="24"/>
              </w:rPr>
              <w:t>Кормановская И.Р. Устойчивость развития региональных социально-</w:t>
            </w:r>
            <w:r w:rsidRPr="00AE380E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экономических систем в условиях турбулентности / И.Р. Кормановская // ЕВРАЗИЙСКИЙ МЕЖДУНАРОДНЫЙ НАУЧНО-АНАЛИТИЧЕСКИЙ ЖУРНАЛ: Проблемы современной экономики. - 2015. - № 4 (56). - Режим доступа: http://www.m-economy.ru/art.php?nArtId=5624, свободный. (Дата обращения: 31.03.2017 г.).</w:t>
            </w:r>
          </w:p>
        </w:tc>
      </w:tr>
    </w:tbl>
    <w:p w:rsidR="00AC12A9" w:rsidRDefault="00AC12A9">
      <w:bookmarkStart w:id="5" w:name="_GoBack"/>
      <w:bookmarkEnd w:id="5"/>
    </w:p>
    <w:sectPr w:rsidR="00AC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2BA6"/>
    <w:multiLevelType w:val="hybridMultilevel"/>
    <w:tmpl w:val="27A4403C"/>
    <w:lvl w:ilvl="0" w:tplc="D3C6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46FF7"/>
    <w:multiLevelType w:val="hybridMultilevel"/>
    <w:tmpl w:val="33AA6D0C"/>
    <w:lvl w:ilvl="0" w:tplc="3056D6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0E"/>
    <w:rsid w:val="00AC12A9"/>
    <w:rsid w:val="00A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2F4E0-6A1C-4848-AEBF-DAAEC10F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0%B0%D1%80%D0%BE%D0%B1%D0%B5%D1%88%D0%B5%D0%B2%D1%81%D0%BA%D0%B8%D0%B9_%D1%80%D0%B0%D0%B9%D0%BE%D0%BD" TargetMode="External"/><Relationship Id="rId13" Type="http://schemas.openxmlformats.org/officeDocument/2006/relationships/hyperlink" Target="https://ru.wikipedia.org/wiki/%D0%93%D0%BE%D1%80%D0%BB%D0%BE%D0%B2%D1%81%D0%BA%D0%B8%D0%B9_%D0%B3%D0%BE%D1%80%D0%BE%D0%B4%D1%81%D0%BA%D0%BE%D0%B9_%D1%81%D0%BE%D0%B2%D0%B5%D1%82" TargetMode="External"/><Relationship Id="rId18" Type="http://schemas.openxmlformats.org/officeDocument/2006/relationships/hyperlink" Target="https://ru.wikipedia.org/wiki/%D0%A1%D0%BD%D0%B5%D0%B6%D0%BD%D1%8F%D0%BD%D1%81%D0%BA%D0%B8%D0%B9_%D0%B3%D0%BE%D1%80%D0%BE%D0%B4%D1%81%D0%BA%D0%BE%D0%B9_%D1%81%D0%BE%D0%B2%D0%B5%D1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F%D1%81%D0%B8%D0%BD%D0%BE%D0%B2%D0%B0%D1%82%D1%81%D0%BA%D0%B8%D0%B9_%D0%B3%D0%BE%D1%80%D0%BE%D0%B4%D1%81%D0%BA%D0%BE%D0%B9_%D1%81%D0%BE%D0%B2%D0%B5%D1%82" TargetMode="External"/><Relationship Id="rId7" Type="http://schemas.openxmlformats.org/officeDocument/2006/relationships/hyperlink" Target="https://ru.wikipedia.org/wiki/%D0%9D%D0%BE%D0%B2%D0%BE%D0%B0%D0%B7%D0%BE%D0%B2%D1%81%D0%BA%D0%B8%D0%B9_%D1%80%D0%B0%D0%B9%D0%BE%D0%BD" TargetMode="External"/><Relationship Id="rId12" Type="http://schemas.openxmlformats.org/officeDocument/2006/relationships/hyperlink" Target="https://ru.wikipedia.org/wiki/%D0%94%D0%BE%D0%BA%D1%83%D1%87%D0%B0%D0%B5%D0%B2%D1%81%D0%BA%D0%B8%D0%B9_%D0%B3%D0%BE%D1%80%D0%BE%D0%B4%D1%81%D0%BA%D0%BE%D0%B9_%D1%81%D0%BE%D0%B2%D0%B5%D1%82" TargetMode="External"/><Relationship Id="rId17" Type="http://schemas.openxmlformats.org/officeDocument/2006/relationships/hyperlink" Target="https://ru.wikipedia.org/wiki/%D0%9C%D0%B0%D0%BA%D0%B5%D0%B5%D0%B2%D1%81%D0%BA%D0%B8%D0%B9_%D0%B3%D0%BE%D1%80%D0%BE%D0%B4%D1%81%D0%BA%D0%BE%D0%B9_%D1%81%D0%BE%D0%B2%D0%B5%D1%8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8%D1%80%D0%BE%D0%B2%D1%81%D0%BA%D0%B8%D0%B9_%D0%B3%D0%BE%D1%80%D0%BE%D0%B4%D1%81%D0%BA%D0%BE%D0%B9_%D1%81%D0%BE%D0%B2%D0%B5%D1%82" TargetMode="External"/><Relationship Id="rId20" Type="http://schemas.openxmlformats.org/officeDocument/2006/relationships/hyperlink" Target="https://ru.wikipedia.org/wiki/%D0%A8%D0%B0%D1%85%D1%82%D1%91%D1%80%D1%81%D0%BA%D0%B8%D0%B9_%D0%B3%D0%BE%D1%80%D0%BE%D0%B4%D1%81%D0%BA%D0%BE%D0%B9_%D1%81%D0%BE%D0%B2%D0%B5%D1%82_%28%D0%94%D0%BE%D0%BD%D0%B5%D1%86%D0%BA%D0%B0%D1%8F_%D0%BE%D0%B1%D0%BB%D0%B0%D1%81%D1%82%D1%8C%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2017_%D0%B3%D0%BE%D0%B4" TargetMode="External"/><Relationship Id="rId11" Type="http://schemas.openxmlformats.org/officeDocument/2006/relationships/hyperlink" Target="https://ru.wikipedia.org/wiki/%D0%94%D0%B5%D0%B1%D0%B0%D0%BB%D1%8C%D1%86%D0%B5%D0%B2%D1%81%D0%BA%D0%B8%D0%B9_%D0%B3%D0%BE%D1%80%D0%BE%D0%B4%D1%81%D0%BA%D0%BE%D0%B9_%D1%81%D0%BE%D0%B2%D0%B5%D1%8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30_%D1%8F%D0%BD%D0%B2%D0%B0%D1%80%D1%8F" TargetMode="External"/><Relationship Id="rId15" Type="http://schemas.openxmlformats.org/officeDocument/2006/relationships/hyperlink" Target="https://ru.wikipedia.org/wiki/%D0%96%D0%B4%D0%B0%D0%BD%D0%BE%D0%B2%D1%81%D0%BA%D0%B8%D0%B9_%D0%B3%D0%BE%D1%80%D0%BE%D0%B4%D1%81%D0%BA%D0%BE%D0%B9_%D1%81%D0%BE%D0%B2%D0%B5%D1%82" TargetMode="External"/><Relationship Id="rId23" Type="http://schemas.openxmlformats.org/officeDocument/2006/relationships/hyperlink" Target="https://ru.wikipedia.org/wiki/%D0%97%D1%83%D0%B3%D1%80%D1%8D%D1%81" TargetMode="External"/><Relationship Id="rId10" Type="http://schemas.openxmlformats.org/officeDocument/2006/relationships/hyperlink" Target="https://ru.wikipedia.org/wiki/%D0%94%D0%BE%D0%BD%D0%B5%D1%86%D0%BA%D0%B8%D0%B9_%D0%B3%D0%BE%D1%80%D0%BE%D0%B4%D1%81%D0%BA%D0%BE%D0%B9_%D1%81%D0%BE%D0%B2%D0%B5%D1%82" TargetMode="External"/><Relationship Id="rId19" Type="http://schemas.openxmlformats.org/officeDocument/2006/relationships/hyperlink" Target="https://ru.wikipedia.org/wiki/%D0%A2%D0%BE%D1%80%D0%B5%D0%B7%D1%81%D0%BA%D0%B8%D0%B9_%D0%B3%D0%BE%D1%80%D0%BE%D0%B4%D1%81%D0%BA%D0%BE%D0%B9_%D1%81%D0%BE%D0%B2%D0%B5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5%D0%BB%D1%8C%D0%BC%D0%B0%D0%BD%D0%BE%D0%B2%D1%81%D0%BA%D0%B8%D0%B9_%D1%80%D0%B0%D0%B9%D0%BE%D0%BD" TargetMode="External"/><Relationship Id="rId14" Type="http://schemas.openxmlformats.org/officeDocument/2006/relationships/hyperlink" Target="https://ru.wikipedia.org/wiki/%D0%95%D0%BD%D0%B0%D0%BA%D0%B8%D0%B5%D0%B2%D1%81%D0%BA%D0%B8%D0%B9_%D0%B3%D0%BE%D1%80%D0%BE%D0%B4%D1%81%D0%BA%D0%BE%D0%B9_%D1%81%D0%BE%D0%B2%D0%B5%D1%82" TargetMode="External"/><Relationship Id="rId22" Type="http://schemas.openxmlformats.org/officeDocument/2006/relationships/hyperlink" Target="https://ru.wikipedia.org/wiki/%D0%A5%D0%B0%D1%80%D1%86%D1%8B%D0%B7%D1%81%D0%BA%D0%B8%D0%B9_%D0%B3%D0%BE%D1%80%D0%BE%D0%B4%D1%81%D0%BA%D0%BE%D0%B9_%D1%81%D0%BE%D0%B2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2017-12-03T10:10:00Z</dcterms:created>
  <dcterms:modified xsi:type="dcterms:W3CDTF">2017-12-03T10:10:00Z</dcterms:modified>
</cp:coreProperties>
</file>