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8"/>
        <w:gridCol w:w="4307"/>
      </w:tblGrid>
      <w:tr w:rsidR="00BE0441" w:rsidRPr="00BE0441" w:rsidTr="0098283A">
        <w:tc>
          <w:tcPr>
            <w:tcW w:w="9648" w:type="dxa"/>
            <w:gridSpan w:val="2"/>
            <w:tcMar>
              <w:left w:w="0" w:type="dxa"/>
              <w:right w:w="0" w:type="dxa"/>
            </w:tcMar>
          </w:tcPr>
          <w:p w:rsidR="00BE0441" w:rsidRPr="00BE0441" w:rsidRDefault="00BE0441" w:rsidP="00BE0441">
            <w:pPr>
              <w:widowControl w:val="0"/>
              <w:jc w:val="both"/>
              <w:rPr>
                <w:rFonts w:ascii="Times New Roman" w:hAnsi="Times New Roman"/>
                <w:b/>
                <w:sz w:val="28"/>
              </w:rPr>
            </w:pPr>
            <w:r w:rsidRPr="00BE0441">
              <w:rPr>
                <w:rFonts w:ascii="Times New Roman" w:hAnsi="Times New Roman"/>
                <w:b/>
                <w:sz w:val="28"/>
                <w:szCs w:val="28"/>
              </w:rPr>
              <w:t>УДК 338.246.2</w:t>
            </w:r>
          </w:p>
        </w:tc>
      </w:tr>
      <w:tr w:rsidR="00BE0441" w:rsidRPr="00BE0441" w:rsidTr="0098283A">
        <w:tc>
          <w:tcPr>
            <w:tcW w:w="9648" w:type="dxa"/>
            <w:gridSpan w:val="2"/>
            <w:tcMar>
              <w:left w:w="0" w:type="dxa"/>
              <w:right w:w="0" w:type="dxa"/>
            </w:tcMar>
          </w:tcPr>
          <w:p w:rsidR="00BE0441" w:rsidRPr="00BE0441" w:rsidRDefault="00BE0441" w:rsidP="00BE0441">
            <w:pPr>
              <w:widowControl w:val="0"/>
              <w:jc w:val="center"/>
              <w:outlineLvl w:val="0"/>
              <w:rPr>
                <w:rFonts w:ascii="Times New Roman" w:hAnsi="Times New Roman"/>
                <w:b/>
                <w:bCs/>
                <w:sz w:val="28"/>
                <w:szCs w:val="28"/>
              </w:rPr>
            </w:pPr>
            <w:bookmarkStart w:id="0" w:name="_Toc480490933"/>
            <w:bookmarkStart w:id="1" w:name="_Toc480537157"/>
            <w:r w:rsidRPr="00BE0441">
              <w:rPr>
                <w:rFonts w:ascii="Times New Roman" w:hAnsi="Times New Roman"/>
                <w:b/>
                <w:bCs/>
                <w:sz w:val="28"/>
                <w:szCs w:val="28"/>
              </w:rPr>
              <w:t>ФОРМИРОВАНИЕ И РАЗВИТИЕ СТРУКТУРНО-ИНФОРМАЦИОННОЙ СОСТАВЛЯЮЩЕЙ КАК ОСНОВЫ КОНЦЕПЦИИ ПОЛИТИКИ ПРОМЫШЛЕННОГО РОСТА</w:t>
            </w:r>
            <w:bookmarkEnd w:id="0"/>
            <w:bookmarkEnd w:id="1"/>
          </w:p>
        </w:tc>
      </w:tr>
      <w:tr w:rsidR="00BE0441" w:rsidRPr="00BE0441" w:rsidTr="0098283A">
        <w:tc>
          <w:tcPr>
            <w:tcW w:w="5250" w:type="dxa"/>
            <w:tcMar>
              <w:left w:w="0" w:type="dxa"/>
              <w:right w:w="0" w:type="dxa"/>
            </w:tcMar>
          </w:tcPr>
          <w:p w:rsidR="00BE0441" w:rsidRPr="00BE0441" w:rsidRDefault="00BE0441" w:rsidP="00BE0441">
            <w:pPr>
              <w:widowControl w:val="0"/>
              <w:jc w:val="right"/>
              <w:rPr>
                <w:rFonts w:ascii="Times New Roman" w:hAnsi="Times New Roman"/>
                <w:sz w:val="28"/>
                <w:szCs w:val="28"/>
              </w:rPr>
            </w:pPr>
          </w:p>
        </w:tc>
        <w:tc>
          <w:tcPr>
            <w:tcW w:w="4398" w:type="dxa"/>
            <w:tcMar>
              <w:left w:w="0" w:type="dxa"/>
              <w:right w:w="0" w:type="dxa"/>
            </w:tcMar>
          </w:tcPr>
          <w:p w:rsidR="00BE0441" w:rsidRPr="00BE0441" w:rsidRDefault="00BE0441" w:rsidP="00BE0441">
            <w:pPr>
              <w:widowControl w:val="0"/>
              <w:rPr>
                <w:rFonts w:ascii="Times New Roman" w:hAnsi="Times New Roman"/>
                <w:sz w:val="28"/>
                <w:szCs w:val="28"/>
              </w:rPr>
            </w:pPr>
          </w:p>
        </w:tc>
      </w:tr>
      <w:tr w:rsidR="00BE0441" w:rsidRPr="00BE0441" w:rsidTr="0098283A">
        <w:tc>
          <w:tcPr>
            <w:tcW w:w="5250" w:type="dxa"/>
            <w:tcMar>
              <w:left w:w="0" w:type="dxa"/>
              <w:right w:w="0" w:type="dxa"/>
            </w:tcMar>
          </w:tcPr>
          <w:p w:rsidR="00BE0441" w:rsidRPr="00BE0441" w:rsidRDefault="00BE0441" w:rsidP="00BE0441">
            <w:pPr>
              <w:widowControl w:val="0"/>
              <w:jc w:val="center"/>
              <w:outlineLvl w:val="0"/>
              <w:rPr>
                <w:rFonts w:ascii="Times New Roman" w:hAnsi="Times New Roman"/>
                <w:b/>
                <w:bCs/>
                <w:sz w:val="28"/>
                <w:szCs w:val="28"/>
              </w:rPr>
            </w:pPr>
          </w:p>
        </w:tc>
        <w:tc>
          <w:tcPr>
            <w:tcW w:w="4398" w:type="dxa"/>
            <w:tcMar>
              <w:left w:w="0" w:type="dxa"/>
              <w:right w:w="0" w:type="dxa"/>
            </w:tcMar>
          </w:tcPr>
          <w:p w:rsidR="00BE0441" w:rsidRPr="00BE0441" w:rsidRDefault="00BE0441" w:rsidP="00BE0441">
            <w:pPr>
              <w:widowControl w:val="0"/>
              <w:shd w:val="clear" w:color="auto" w:fill="FFFFFF"/>
              <w:rPr>
                <w:rFonts w:ascii="Times New Roman" w:hAnsi="Times New Roman"/>
                <w:b/>
                <w:sz w:val="28"/>
                <w:szCs w:val="28"/>
              </w:rPr>
            </w:pPr>
            <w:bookmarkStart w:id="2" w:name="_Toc480490934"/>
            <w:bookmarkStart w:id="3" w:name="_Toc480537158"/>
            <w:r w:rsidRPr="00BE0441">
              <w:rPr>
                <w:rFonts w:ascii="Times New Roman" w:hAnsi="Times New Roman"/>
                <w:b/>
                <w:bCs/>
                <w:sz w:val="28"/>
                <w:szCs w:val="26"/>
              </w:rPr>
              <w:t>Р.В. Кузьменко</w:t>
            </w:r>
            <w:bookmarkEnd w:id="2"/>
            <w:bookmarkEnd w:id="3"/>
            <w:r w:rsidRPr="00BE0441">
              <w:rPr>
                <w:rFonts w:ascii="Times New Roman" w:hAnsi="Times New Roman"/>
                <w:b/>
                <w:sz w:val="28"/>
                <w:szCs w:val="28"/>
              </w:rPr>
              <w:t xml:space="preserve">, </w:t>
            </w:r>
            <w:r w:rsidRPr="00BE0441">
              <w:rPr>
                <w:rFonts w:ascii="Times New Roman" w:hAnsi="Times New Roman"/>
                <w:i/>
                <w:sz w:val="28"/>
                <w:szCs w:val="28"/>
              </w:rPr>
              <w:t>к.э.н., доцент</w:t>
            </w:r>
          </w:p>
          <w:p w:rsidR="00BE0441" w:rsidRPr="00BE0441" w:rsidRDefault="00BE0441" w:rsidP="00BE0441">
            <w:pPr>
              <w:widowControl w:val="0"/>
              <w:shd w:val="clear" w:color="auto" w:fill="FFFFFF"/>
              <w:rPr>
                <w:rFonts w:ascii="Times New Roman" w:hAnsi="Times New Roman"/>
                <w:i/>
                <w:sz w:val="28"/>
                <w:szCs w:val="28"/>
              </w:rPr>
            </w:pPr>
            <w:r w:rsidRPr="00BE0441">
              <w:rPr>
                <w:rFonts w:ascii="Times New Roman" w:hAnsi="Times New Roman"/>
                <w:i/>
                <w:sz w:val="28"/>
                <w:szCs w:val="28"/>
              </w:rPr>
              <w:t xml:space="preserve">ГУ «Институт Экономических Исследований» </w:t>
            </w:r>
          </w:p>
          <w:p w:rsidR="00BE0441" w:rsidRPr="00BE0441" w:rsidRDefault="00BE0441" w:rsidP="00BE0441">
            <w:pPr>
              <w:widowControl w:val="0"/>
              <w:shd w:val="clear" w:color="auto" w:fill="FFFFFF"/>
              <w:rPr>
                <w:rFonts w:ascii="Times New Roman" w:hAnsi="Times New Roman"/>
                <w:sz w:val="28"/>
              </w:rPr>
            </w:pPr>
            <w:r w:rsidRPr="00BE0441">
              <w:rPr>
                <w:rFonts w:ascii="Times New Roman" w:hAnsi="Times New Roman"/>
                <w:i/>
                <w:sz w:val="28"/>
                <w:szCs w:val="28"/>
              </w:rPr>
              <w:t>г. Донецк, Донецкая Народная Республика</w:t>
            </w:r>
          </w:p>
        </w:tc>
      </w:tr>
    </w:tbl>
    <w:p w:rsidR="00BE0441" w:rsidRPr="00BE0441" w:rsidRDefault="00BE0441" w:rsidP="00BE0441">
      <w:pPr>
        <w:widowControl w:val="0"/>
        <w:spacing w:after="0" w:line="240" w:lineRule="auto"/>
        <w:ind w:firstLine="709"/>
        <w:jc w:val="both"/>
        <w:rPr>
          <w:rFonts w:ascii="Times New Roman" w:eastAsia="Times New Roman" w:hAnsi="Times New Roman" w:cs="Times New Roman"/>
          <w:i/>
          <w:sz w:val="28"/>
          <w:szCs w:val="28"/>
          <w:lang w:eastAsia="ru-RU"/>
        </w:rPr>
      </w:pPr>
    </w:p>
    <w:p w:rsidR="00BE0441" w:rsidRPr="00BE0441" w:rsidRDefault="00BE0441" w:rsidP="00BE0441">
      <w:pPr>
        <w:widowControl w:val="0"/>
        <w:spacing w:after="0" w:line="240" w:lineRule="auto"/>
        <w:ind w:firstLine="709"/>
        <w:jc w:val="both"/>
        <w:rPr>
          <w:rFonts w:ascii="Times New Roman" w:eastAsia="Times New Roman" w:hAnsi="Times New Roman" w:cs="Times New Roman"/>
          <w:i/>
          <w:sz w:val="28"/>
          <w:szCs w:val="28"/>
          <w:lang w:eastAsia="ru-RU"/>
        </w:rPr>
      </w:pPr>
      <w:r w:rsidRPr="00BE0441">
        <w:rPr>
          <w:rFonts w:ascii="Times New Roman" w:eastAsia="Times New Roman" w:hAnsi="Times New Roman" w:cs="Times New Roman"/>
          <w:i/>
          <w:sz w:val="28"/>
          <w:szCs w:val="28"/>
          <w:lang w:eastAsia="ru-RU"/>
        </w:rPr>
        <w:t>Аннотация. В статье рассмотрены некоторые аспекты исследования информационной составляющей политики промышленного роста как основы динамичного экономического развития государства. Сформулированы базовые принципы структурно-информационной составляющей промышленного роста в обеспечении сбалансированного развития экономических систем.</w:t>
      </w:r>
    </w:p>
    <w:p w:rsidR="00BE0441" w:rsidRPr="00BE0441" w:rsidRDefault="00BE0441" w:rsidP="00BE0441">
      <w:pPr>
        <w:widowControl w:val="0"/>
        <w:spacing w:after="0" w:line="240" w:lineRule="auto"/>
        <w:ind w:firstLine="709"/>
        <w:jc w:val="both"/>
        <w:rPr>
          <w:rFonts w:ascii="Times New Roman" w:eastAsia="Times New Roman" w:hAnsi="Times New Roman" w:cs="Times New Roman"/>
          <w:i/>
          <w:sz w:val="28"/>
          <w:szCs w:val="28"/>
          <w:lang w:eastAsia="ru-RU"/>
        </w:rPr>
      </w:pPr>
      <w:r w:rsidRPr="00BE0441">
        <w:rPr>
          <w:rFonts w:ascii="Times New Roman" w:eastAsia="Times New Roman" w:hAnsi="Times New Roman" w:cs="Times New Roman"/>
          <w:i/>
          <w:sz w:val="28"/>
          <w:szCs w:val="28"/>
          <w:lang w:eastAsia="ru-RU"/>
        </w:rPr>
        <w:t>Ключевые слова: промышленный рост, структурно-информационнонная составляющая, инновации, реиндустриализация.</w:t>
      </w:r>
    </w:p>
    <w:p w:rsidR="00BE0441" w:rsidRPr="00BE0441" w:rsidRDefault="00BE0441" w:rsidP="00BE0441">
      <w:pPr>
        <w:widowControl w:val="0"/>
        <w:spacing w:after="0" w:line="240" w:lineRule="auto"/>
        <w:ind w:firstLine="709"/>
        <w:jc w:val="both"/>
        <w:rPr>
          <w:rFonts w:ascii="Times New Roman" w:eastAsia="Times New Roman" w:hAnsi="Times New Roman" w:cs="Times New Roman"/>
          <w:i/>
          <w:sz w:val="28"/>
          <w:szCs w:val="28"/>
          <w:lang w:eastAsia="ru-RU"/>
        </w:rPr>
      </w:pPr>
    </w:p>
    <w:p w:rsidR="00BE0441" w:rsidRPr="00BE0441" w:rsidRDefault="00BE0441" w:rsidP="00BE0441">
      <w:pPr>
        <w:widowControl w:val="0"/>
        <w:spacing w:after="0" w:line="240" w:lineRule="auto"/>
        <w:ind w:firstLine="709"/>
        <w:jc w:val="both"/>
        <w:rPr>
          <w:rFonts w:ascii="Times New Roman" w:eastAsia="Times New Roman" w:hAnsi="Times New Roman" w:cs="Times New Roman"/>
          <w:i/>
          <w:sz w:val="28"/>
          <w:szCs w:val="28"/>
          <w:lang w:val="en-US" w:eastAsia="ru-RU"/>
        </w:rPr>
      </w:pPr>
      <w:r w:rsidRPr="00BE0441">
        <w:rPr>
          <w:rFonts w:ascii="Times New Roman" w:eastAsia="Times New Roman" w:hAnsi="Times New Roman" w:cs="Times New Roman"/>
          <w:i/>
          <w:sz w:val="28"/>
          <w:szCs w:val="28"/>
          <w:lang w:val="en-US" w:eastAsia="ru-RU"/>
        </w:rPr>
        <w:t>Summary. In the article some aspects of the research of the information component of the policy of industrial growth as the basis of the dynamic economic development of the state are examined. The basic principles of the structural and information component of industrial growth in ensuring a balanced development of economic systems are formulated.</w:t>
      </w:r>
    </w:p>
    <w:p w:rsidR="00BE0441" w:rsidRPr="00BE0441" w:rsidRDefault="00BE0441" w:rsidP="00BE0441">
      <w:pPr>
        <w:widowControl w:val="0"/>
        <w:shd w:val="clear" w:color="auto" w:fill="FFFFFF"/>
        <w:spacing w:after="0" w:line="240" w:lineRule="auto"/>
        <w:ind w:firstLine="709"/>
        <w:jc w:val="both"/>
        <w:rPr>
          <w:rFonts w:ascii="Times New Roman" w:eastAsia="Times New Roman" w:hAnsi="Times New Roman" w:cs="Times New Roman"/>
          <w:i/>
          <w:sz w:val="28"/>
          <w:szCs w:val="28"/>
          <w:lang w:val="en-US" w:eastAsia="ru-RU"/>
        </w:rPr>
      </w:pPr>
      <w:r w:rsidRPr="00BE0441">
        <w:rPr>
          <w:rFonts w:ascii="Times New Roman" w:eastAsia="Times New Roman" w:hAnsi="Times New Roman" w:cs="Times New Roman"/>
          <w:i/>
          <w:sz w:val="28"/>
          <w:szCs w:val="28"/>
          <w:lang w:val="en-US" w:eastAsia="ru-RU"/>
        </w:rPr>
        <w:t>Keywords: industrial growth, structural information component, innovation, reindustrialization.</w:t>
      </w:r>
    </w:p>
    <w:p w:rsidR="00BE0441" w:rsidRPr="00BE0441" w:rsidRDefault="00BE0441" w:rsidP="00BE0441">
      <w:pPr>
        <w:widowControl w:val="0"/>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BE0441" w:rsidRPr="00BE0441" w:rsidRDefault="00BE0441" w:rsidP="00BE0441">
      <w:pPr>
        <w:widowControl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b/>
          <w:sz w:val="28"/>
          <w:szCs w:val="28"/>
          <w:lang w:eastAsia="ru-RU"/>
        </w:rPr>
        <w:t>Постановка проблемы.</w:t>
      </w:r>
      <w:r w:rsidRPr="00BE0441">
        <w:rPr>
          <w:rFonts w:ascii="Times New Roman" w:eastAsia="Times New Roman" w:hAnsi="Times New Roman" w:cs="Times New Roman"/>
          <w:sz w:val="28"/>
          <w:szCs w:val="28"/>
          <w:lang w:eastAsia="ru-RU"/>
        </w:rPr>
        <w:t xml:space="preserve"> В современном мире в любом государстве возникает объективная потребность в ускорении своего экономического роста за счет внедрения более эффективных рыночных механизмов, которые могут компенсировать различные стихийные процессы, дестабилизирующие его развитие. Решить эту задачу можно за счет создания гибких форм сотрудничества, кооперации, координации и интеграции отдельных субъектов хозяйственной деятельности. В этом заключается новая логика промышленного производства в будущем, где будет доминировать более гибкая специализация, которая станет альтернативой традиционному массовому производству.</w:t>
      </w:r>
    </w:p>
    <w:p w:rsidR="00BE0441" w:rsidRPr="00BE0441" w:rsidRDefault="00BE0441" w:rsidP="00BE0441">
      <w:pPr>
        <w:widowControl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 xml:space="preserve">Задача выбора нового, наиболее эффективного пути, будущего развития в полном объеме стоит как перед экономически развитыми государствами, так и интенсивно развивающимися.  Многие специфические проблемы, характерные для экономики большинства государств, не находят решения в условиях кризисных явлений и усиления внешних и внутренних вызовов. Поэтому особую актуальность приобретает необходимость внедрения нового системно-функционального механизма, с помощью которого станет </w:t>
      </w:r>
      <w:r w:rsidRPr="00BE0441">
        <w:rPr>
          <w:rFonts w:ascii="Times New Roman" w:eastAsia="Times New Roman" w:hAnsi="Times New Roman" w:cs="Times New Roman"/>
          <w:sz w:val="28"/>
          <w:szCs w:val="28"/>
          <w:lang w:eastAsia="ru-RU"/>
        </w:rPr>
        <w:lastRenderedPageBreak/>
        <w:t xml:space="preserve">возможным стратегическое управление промышленным ростом в целях повышения эффективности реализации программ экономического и социального развития как отдельных регионов, так и государства в целом. </w:t>
      </w:r>
    </w:p>
    <w:p w:rsidR="00BE0441" w:rsidRPr="00BE0441" w:rsidRDefault="00BE0441" w:rsidP="00BE0441">
      <w:pPr>
        <w:widowControl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b/>
          <w:sz w:val="28"/>
          <w:szCs w:val="28"/>
          <w:lang w:eastAsia="ru-RU"/>
        </w:rPr>
        <w:t>Анализ предыдущих исследований и публикаций.</w:t>
      </w:r>
      <w:r w:rsidRPr="00BE0441">
        <w:rPr>
          <w:rFonts w:ascii="Times New Roman" w:eastAsia="Times New Roman" w:hAnsi="Times New Roman" w:cs="Times New Roman"/>
          <w:sz w:val="28"/>
          <w:szCs w:val="28"/>
          <w:lang w:eastAsia="ru-RU"/>
        </w:rPr>
        <w:t xml:space="preserve"> Исследования показали, что в комплексных программах развития для обеспечения конкурентоспособности экономик промышленно развитых стран акцент делается на решение технологических проблем инновационного предпринимательства, построении информационного общества, развития электронных технологий и повышения качества образования граждан в течение всей их жизни. Раскрытие аспектов взаимодействия производственно-экономических, системно-универсальных, логистических или когнитивно-информационных систем в пределах реального сектора национальной экономики при решении проблем сбалансированности и надежности ее функционирования возможно только на основе использования многовекторного подхода к определению ее приоритетов. При этом следует учитывать структурно-динамические измерения в контексте генерирования признаков устойчивого развития государства в целом. Поэтому, используя результаты научных разработок, по комплексному подходу к определению влияния структурных сдвигов, иерархии и промышленной структуры, а также результативности управления реальным сектором с учетом неопределенности информации, для такой отрасли науки как экономика и управление национальным хозяйством целесообразно и своевременно сформулировать интегрированную концепцию структурно-информационной составляющей для обеспечения безопасности промышленного роста. </w:t>
      </w:r>
    </w:p>
    <w:p w:rsidR="00BE0441" w:rsidRPr="00BE0441" w:rsidRDefault="00BE0441" w:rsidP="00BE0441">
      <w:pPr>
        <w:widowControl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 xml:space="preserve">Развитие теории построения многокомпонентных систем, их стратегического инструментария и адаптации последних к требованиям обеспечения сбалансированного развития промышленности позволяет утверждать о неоднозначности содержательного наполнения и трактовки ее базовых положений. Следует также уточнить методические подходы к идентификации результативности реализации структурной политики, в частности, в плоскости количественной оценки. Современные эволюционные методики формирования и реализации такой политики строятся на основе постмодернистской рациональности. Они используют теории неуравновешенных состояний И. Пригожина, математических теорий алгоритмов, информации, бифуркаций, катастроф, особенностей Е. Уитни и синергетики Г. Хакена. Исследование современных теорий содержат сравнения, классификации и оценки структурных сдвигов в пределах сложных систем, формирование эффективных и «смешанных» типов промышленной политики [1]. Известен опыт разработки и прогнозирования последствий реализации промышленной политики различной природы, проведенный учеными-экономистами С. Глазьевым, А. Алимовым, Б. Данилишиным, В. Никитенко и другими учеными, в частности, их результаты представлены в научных работах [2 - 7]. Однако следует отметить, что содержание, механизмы и технологии структурно-информационной составляющей промышленного роста до сих пор остаются раскрытыми не полностью. </w:t>
      </w:r>
    </w:p>
    <w:p w:rsidR="00BE0441" w:rsidRPr="00BE0441" w:rsidRDefault="00BE0441" w:rsidP="00BE0441">
      <w:pPr>
        <w:widowControl w:val="0"/>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BE0441">
        <w:rPr>
          <w:rFonts w:ascii="Times New Roman" w:eastAsia="Times New Roman" w:hAnsi="Times New Roman" w:cs="Times New Roman"/>
          <w:b/>
          <w:sz w:val="28"/>
          <w:szCs w:val="28"/>
          <w:lang w:eastAsia="ru-RU"/>
        </w:rPr>
        <w:lastRenderedPageBreak/>
        <w:t xml:space="preserve">Целью </w:t>
      </w:r>
      <w:r w:rsidRPr="00BE0441">
        <w:rPr>
          <w:rFonts w:ascii="Times New Roman" w:eastAsia="Times New Roman" w:hAnsi="Times New Roman" w:cs="Times New Roman"/>
          <w:sz w:val="28"/>
          <w:szCs w:val="28"/>
          <w:lang w:eastAsia="ru-RU"/>
        </w:rPr>
        <w:t xml:space="preserve">исследования является обоснование применения структурно-информационной составляющей промышленного роста при разработке концептуальных основ политики промышленного развития. Обоснование применения новых организационно-информационных технологий, ориентированных на развитие промышленного производства с широким внедрением инноваций, как наиболее перспективного пути развития экономики. </w:t>
      </w:r>
    </w:p>
    <w:p w:rsidR="00BE0441" w:rsidRPr="00BE0441" w:rsidRDefault="00BE0441" w:rsidP="00BE0441">
      <w:pPr>
        <w:widowControl w:val="0"/>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BE0441">
        <w:rPr>
          <w:rFonts w:ascii="Times New Roman" w:eastAsia="Times New Roman" w:hAnsi="Times New Roman" w:cs="Times New Roman"/>
          <w:b/>
          <w:sz w:val="28"/>
          <w:szCs w:val="28"/>
          <w:lang w:eastAsia="ru-RU"/>
        </w:rPr>
        <w:t xml:space="preserve">Основные результаты исследования. </w:t>
      </w:r>
      <w:r w:rsidRPr="00BE0441">
        <w:rPr>
          <w:rFonts w:ascii="Times New Roman" w:eastAsia="Times New Roman" w:hAnsi="Times New Roman" w:cs="Times New Roman"/>
          <w:sz w:val="28"/>
          <w:szCs w:val="28"/>
          <w:lang w:eastAsia="ru-RU"/>
        </w:rPr>
        <w:t xml:space="preserve">Обеспечение конкурентоспособности национальных и региональных экономик на всех уровнях – приоритетная задача промышленной политики всех стран с динамичным развитием экономики. Целевая функция различных программ научно-технического, технологического, образовательного и информационного развития должна быть направлена на преодоление отставания экономики, удержание лидирующих позиций в промышленном сотрудничестве с деловыми партнерами на мировом рынке. При этом центром тяжести таких программ будет решение задачи по реиндустриализации экономики государства, то есть повторной индустриализации на качественно новом уровне в условиях постиндустриального развития мировой экономики из-за крайней неоднородности экономического, промышленного, культурного и интеллектуального ландшафта. В этих условиях приоритетными направлениями государственной промышленной политики является создание информационной инфраструктуры промышленного бизнеса, благоприятной инвестиционной среды для создания, роста и капитализации активов малых и средних технологически ориентированных, специализированных промышленных предприятий, инжиниринговых компаний, предприятий выпускающих инновационный продукт. Большое значение приобретают также вопросы создания эффективных механизмов двусторонней связи на принципах партнерства и сотрудничества крупного и малого бизнеса, эффективной межотраслевой кооперации и специализации. </w:t>
      </w:r>
    </w:p>
    <w:p w:rsidR="00BE0441" w:rsidRPr="00BE0441" w:rsidRDefault="00BE0441" w:rsidP="00BE0441">
      <w:pPr>
        <w:widowControl w:val="0"/>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BE0441">
        <w:rPr>
          <w:rFonts w:ascii="Times New Roman" w:eastAsia="Times New Roman" w:hAnsi="Times New Roman" w:cs="Times New Roman"/>
          <w:sz w:val="28"/>
          <w:szCs w:val="28"/>
          <w:lang w:eastAsia="ru-RU"/>
        </w:rPr>
        <w:t>Важное место следует уделить вопросам технического и технологического перевооружения не только крупного, но и малого и среднего производственного бизнеса, созданию условий для обеспечения его стабильной работы, выхода на внутренние и внешние рынки. Для этого нужен благоприятный инвестиционный климат, своевременное решение вопросов ресурсного обеспечения, включая финансово-страховые схемы, выполнение производственных заказов, оптимизацию технологических маршрутов, ускорение оборачиваемости и повышение прозрачности оборотных средств на предприятиях. Поэтому, руководствуясь актуальностью этой проблемы, можно отметить, что разработка и обоснование концептуальных основ формирования эффективной структурно-информационной  составляющей промышленного роста, с использованием положений развития технологии объектно-целевого стратегического управления, а также развитием реального сектора экономики при соблюдении в них принципов структурно-информационной теории надежности функционирования сложных систем – является одной из главных задач в современном экономическом развитии.</w:t>
      </w:r>
    </w:p>
    <w:p w:rsidR="00BE0441" w:rsidRPr="00BE0441" w:rsidRDefault="00BE0441" w:rsidP="00BE0441">
      <w:pPr>
        <w:widowControl w:val="0"/>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BE0441">
        <w:rPr>
          <w:rFonts w:ascii="Times New Roman" w:eastAsia="Times New Roman" w:hAnsi="Times New Roman" w:cs="Times New Roman"/>
          <w:sz w:val="28"/>
          <w:szCs w:val="28"/>
          <w:lang w:eastAsia="ru-RU"/>
        </w:rPr>
        <w:lastRenderedPageBreak/>
        <w:t xml:space="preserve">Насущная необходимость использования эффективных регуляторов в контексте устойчивого развития государства по разработке соответствующей промышленной политики, в указанном направлении, получила обоснование ранее [8]. Поэтому обобщая предыдущий опыт, можно утверждать, что структурно-информационная составляющая промышленного роста является стратегическим инструментарием, включающим: </w:t>
      </w:r>
    </w:p>
    <w:p w:rsidR="00BE0441" w:rsidRPr="00BE0441" w:rsidRDefault="00BE0441" w:rsidP="00BE0441">
      <w:pPr>
        <w:widowControl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 xml:space="preserve">а) генерирование специфических признаков к устойчивому развитию; </w:t>
      </w:r>
    </w:p>
    <w:p w:rsidR="00BE0441" w:rsidRPr="00BE0441" w:rsidRDefault="00BE0441" w:rsidP="00BE0441">
      <w:pPr>
        <w:widowControl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 xml:space="preserve">б) привлечение факторов промышленного роста; </w:t>
      </w:r>
    </w:p>
    <w:p w:rsidR="00BE0441" w:rsidRPr="00BE0441" w:rsidRDefault="00BE0441" w:rsidP="00BE0441">
      <w:pPr>
        <w:widowControl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 xml:space="preserve">в) корректировку фазовой траектории развития промышленности, при определенных целевых ориентирах. </w:t>
      </w:r>
    </w:p>
    <w:p w:rsidR="00BE0441" w:rsidRPr="00BE0441" w:rsidRDefault="00BE0441" w:rsidP="00BE0441">
      <w:pPr>
        <w:widowControl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 xml:space="preserve">Такая оптимизация состава идентифицирована по детерминантам и рычагам влияния на системно-универсальные, материальные и факторные группы стратегического потенциала реального сектора экономики. Поэтому, его можно представить в виде сложной динамической структуры целеориентированных механизмов по управлению устойчивым развитием, действенность которого достигается за счет разделения функций по уровням управления и получения последними информационных свойств.   </w:t>
      </w:r>
    </w:p>
    <w:p w:rsidR="00BE0441" w:rsidRPr="00BE0441" w:rsidRDefault="00BE0441" w:rsidP="00BE0441">
      <w:pPr>
        <w:widowControl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 xml:space="preserve">При решении проблем формирования и реализации современной политики промышленного роста, с использованием структурно-информационной составляющей, необходимо отметить, что для реализации структурной, инновационно-инвестиционной, технологической стратегии развития промышленности следует, в первую очередь создать объективную информационную базу данных. После этого по результатам ее формализации необходимо разработать методические подходы к оценке прогнозирования масштабов структурно-информационных сдвигов в промышленности, согласованных с реальными производственно-хозяйственными и социально-экономическими процессами. Это является необходимым условием, поскольку трансформации в пределах реального сектора экономики государства  обусловливают развитие и возникновение новой формы и качества расширенного промышленного производства инновационно-информационного типа, а такжепозволяют объективно оценить траекторию промышленного роста. </w:t>
      </w:r>
    </w:p>
    <w:p w:rsidR="00BE0441" w:rsidRPr="00BE0441" w:rsidRDefault="00BE0441" w:rsidP="00BE0441">
      <w:pPr>
        <w:widowControl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 xml:space="preserve">Исследования показывают, что результативность использования структурно-информационной составляющей промышленного роста зависит от многих факторов. Отдельные исследователи признают существование закономерностей, которые формируют характер взаимодействия субъекта и объекта управления, связи между ними и способность во взаимодействии обеспечить достижение стратегических целей. Поэтому, второстепенной задачей данного исследования является определение не только состава и содержания, но и направлений действия закономерностей для того, чтобы избежать деструктивных явлений и предупреждать деструктивные структурные сдвиги, которые делают невозможным промышленный рост. </w:t>
      </w:r>
    </w:p>
    <w:p w:rsidR="00BE0441" w:rsidRPr="00BE0441" w:rsidRDefault="00BE0441" w:rsidP="00BE0441">
      <w:pPr>
        <w:widowControl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 xml:space="preserve">Определение состава закономерностей  основных принципов структурно-информационной составляющей промышленного роста позволит в дальнейшем сформировать правила принципиального характера, </w:t>
      </w:r>
      <w:r w:rsidRPr="00BE0441">
        <w:rPr>
          <w:rFonts w:ascii="Times New Roman" w:eastAsia="Times New Roman" w:hAnsi="Times New Roman" w:cs="Times New Roman"/>
          <w:sz w:val="28"/>
          <w:szCs w:val="28"/>
          <w:lang w:eastAsia="ru-RU"/>
        </w:rPr>
        <w:lastRenderedPageBreak/>
        <w:t xml:space="preserve">соблюдение которых и обеспечит корректировку деятельности в структурно-информационной сфере. Однако целесообразно признать, что это касается определенного уровня обобщения. Сущность и содержание закономерностей основных принципов структурно-информационной составляющей промышленного роста можно рассматривать как формирование условий, при разработке политики промышленного развития и представить в следующем виде: </w:t>
      </w:r>
    </w:p>
    <w:p w:rsidR="00BE0441" w:rsidRPr="00BE0441" w:rsidRDefault="00BE0441" w:rsidP="00BE0441">
      <w:pPr>
        <w:widowControl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 xml:space="preserve">1. Учет масштабов диверсификации промышленного производства и результативности существующей системы управления, заключающийся в: </w:t>
      </w:r>
    </w:p>
    <w:p w:rsidR="00BE0441" w:rsidRPr="00BE0441" w:rsidRDefault="00BE0441" w:rsidP="00BE0441">
      <w:pPr>
        <w:widowControl w:val="0"/>
        <w:spacing w:after="0" w:line="240" w:lineRule="auto"/>
        <w:ind w:firstLine="709"/>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 xml:space="preserve">а) освоении новых сфер экономической деятельности; </w:t>
      </w:r>
    </w:p>
    <w:p w:rsidR="00BE0441" w:rsidRPr="00BE0441" w:rsidRDefault="00BE0441" w:rsidP="00BE0441">
      <w:pPr>
        <w:widowControl w:val="0"/>
        <w:spacing w:after="0" w:line="240" w:lineRule="auto"/>
        <w:ind w:firstLine="709"/>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 xml:space="preserve">б) расширении номенклатуры; </w:t>
      </w:r>
    </w:p>
    <w:p w:rsidR="00BE0441" w:rsidRPr="00BE0441" w:rsidRDefault="00BE0441" w:rsidP="00BE0441">
      <w:pPr>
        <w:widowControl w:val="0"/>
        <w:spacing w:after="0" w:line="240" w:lineRule="auto"/>
        <w:ind w:firstLine="709"/>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 xml:space="preserve">в) преобразовании архитектуры системы управления при развитии комплексов и кластеров; </w:t>
      </w:r>
    </w:p>
    <w:p w:rsidR="00BE0441" w:rsidRPr="00BE0441" w:rsidRDefault="00BE0441" w:rsidP="00BE0441">
      <w:pPr>
        <w:widowControl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г) изменении форм внутри- и межотраслевых связей;</w:t>
      </w:r>
    </w:p>
    <w:p w:rsidR="00BE0441" w:rsidRPr="00BE0441" w:rsidRDefault="00BE0441" w:rsidP="00BE044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2. При разработке и подборе регуляторов и рычагов влияния на структурную составляющую производственно-хозяйственной деятельности отраслей промышленности необходимо учитывать следующие доминанты:</w:t>
      </w:r>
    </w:p>
    <w:p w:rsidR="00BE0441" w:rsidRPr="00BE0441" w:rsidRDefault="00BE0441" w:rsidP="00BE044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а) элементного содержания для определения перечня составляющих и степени их влияния на уровень экономической безопасности в промышленности;</w:t>
      </w:r>
    </w:p>
    <w:p w:rsidR="00BE0441" w:rsidRPr="00BE0441" w:rsidRDefault="00BE0441" w:rsidP="00BE044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б) структурного взаимодействия для выявления внутренних связей и между группами потенциалов устойчивого развития (факторный, системно-универсальный, материальный), а также зависимостей между подсистемами в их составе и показателями, по которым их можно идентифицировать;</w:t>
      </w:r>
    </w:p>
    <w:p w:rsidR="00BE0441" w:rsidRPr="00BE0441" w:rsidRDefault="00BE0441" w:rsidP="00BE044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в) функционального содержания для определения функционалов управления при синхронном привлечении информационной доминанты с возможностью выявления зависимостей между подсистемами, а также коммуникативной доминантой с целью определения внешних связей;</w:t>
      </w:r>
    </w:p>
    <w:p w:rsidR="00BE0441" w:rsidRPr="00BE0441" w:rsidRDefault="00BE0441" w:rsidP="00BE044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г) факторного для раскрытия определения факторов стабилизации, а также для формирования оценки стратегического потенциала реального сектора экономики в контексте идентификации целесообразных трансформаций его структуры;</w:t>
      </w:r>
    </w:p>
    <w:p w:rsidR="00BE0441" w:rsidRPr="00BE0441" w:rsidRDefault="00BE0441" w:rsidP="00BE044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 xml:space="preserve">д) целевого, для формулировки целей в развитии, а также для выработки направлений в поиске решения возникающих задач. </w:t>
      </w:r>
    </w:p>
    <w:p w:rsidR="00BE0441" w:rsidRPr="00BE0441" w:rsidRDefault="00BE0441" w:rsidP="00BE044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 xml:space="preserve">Следует также отметить, что необходимо учитывать реальные особенности и специфику промышленного производства, хозяйственных и социально-экономических процессов в пределах отдельных видов экономической деятельности. Поэтому сформулированные выше принципы требуют уточнения. А именно, они определяют содержание структурно-информационной составляющей промышленного роста, но еще не имеют связи с непосредственным решением научной проблематики в контексте объективного решения прикладных комплексных задач. Важно также акцентировать внимание на том, что они могут служить теоретической основой для отбора мероприятий, средств и прикладного инструментария решения этой национально-хозяйственной проблемы на следующих этапах </w:t>
      </w:r>
      <w:r w:rsidRPr="00BE0441">
        <w:rPr>
          <w:rFonts w:ascii="Times New Roman" w:eastAsia="Times New Roman" w:hAnsi="Times New Roman" w:cs="Times New Roman"/>
          <w:sz w:val="28"/>
          <w:szCs w:val="28"/>
          <w:lang w:eastAsia="ru-RU"/>
        </w:rPr>
        <w:lastRenderedPageBreak/>
        <w:t xml:space="preserve">материализации политики промышленного развития. </w:t>
      </w:r>
    </w:p>
    <w:p w:rsidR="00BE0441" w:rsidRPr="00BE0441" w:rsidRDefault="00BE0441" w:rsidP="00BE044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Проектирование регуляторов и рычагов влияния и практика их использования способны исповедовать разные концепции отбора различных, целевых функционалов, моделей, схем и алгоритмов. С учетом этого, можно привести трактовку оригинальных принципов формирования политики промышленного роста в государстве, если под концепцией понимать систему взглядов, направленную на оптимизацию:</w:t>
      </w:r>
    </w:p>
    <w:p w:rsidR="00BE0441" w:rsidRPr="00BE0441" w:rsidRDefault="00BE0441" w:rsidP="00BE0441">
      <w:pPr>
        <w:widowControl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1) структуры управления развитием промышленности;</w:t>
      </w:r>
    </w:p>
    <w:p w:rsidR="00BE0441" w:rsidRPr="00BE0441" w:rsidRDefault="00BE0441" w:rsidP="00BE0441">
      <w:pPr>
        <w:widowControl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2) отраслевой структуры промышленности;</w:t>
      </w:r>
    </w:p>
    <w:p w:rsidR="00BE0441" w:rsidRPr="00BE0441" w:rsidRDefault="00BE0441" w:rsidP="00BE0441">
      <w:pPr>
        <w:widowControl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 xml:space="preserve">3) когнитивно-информационных связей в пределах реального сектора экономики. </w:t>
      </w:r>
    </w:p>
    <w:p w:rsidR="00BE0441" w:rsidRPr="00BE0441" w:rsidRDefault="00BE0441" w:rsidP="00BE0441">
      <w:pPr>
        <w:widowControl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sz w:val="28"/>
          <w:szCs w:val="28"/>
          <w:lang w:eastAsia="ru-RU"/>
        </w:rPr>
        <w:t xml:space="preserve">Еще одним важным условием является то, что такие когнитивно-информационные связи следует рассматривать через: теоретико-методологические подходы к управлению; рационализацию системно-универсальной функции показателей; диверсификацию внешнеэкономической и коммерческой деятельности. Следует учесть, что одновременное осуществление анализа возможностей эволюционного развития национальной промышленности на основе реализации базовых положений интегральной концепции с последовательной диагностикой социально-политических, методологических и научно-практических основ обеспечения достаточных темпов промышленного роста поможет объективно оценить (в количественном выражении) способности реального сектора экономики к регенерации. Важно также учитывать необходимость привлечения и рационального использования стратегических ресурсов и всего комплекса факторов устойчивого развития государства. </w:t>
      </w:r>
    </w:p>
    <w:p w:rsidR="00BE0441" w:rsidRPr="00BE0441" w:rsidRDefault="00BE0441" w:rsidP="00BE0441">
      <w:pPr>
        <w:widowControl w:val="0"/>
        <w:spacing w:after="0" w:line="240" w:lineRule="auto"/>
        <w:ind w:firstLine="709"/>
        <w:jc w:val="both"/>
        <w:rPr>
          <w:rFonts w:ascii="Times New Roman" w:eastAsia="Times New Roman" w:hAnsi="Times New Roman" w:cs="Times New Roman"/>
          <w:sz w:val="28"/>
          <w:szCs w:val="28"/>
          <w:lang w:eastAsia="ru-RU"/>
        </w:rPr>
      </w:pPr>
      <w:r w:rsidRPr="00BE0441">
        <w:rPr>
          <w:rFonts w:ascii="Times New Roman" w:eastAsia="Times New Roman" w:hAnsi="Times New Roman" w:cs="Times New Roman"/>
          <w:b/>
          <w:sz w:val="28"/>
          <w:szCs w:val="28"/>
          <w:lang w:eastAsia="ru-RU"/>
        </w:rPr>
        <w:t>Выводы.</w:t>
      </w:r>
      <w:r w:rsidRPr="00BE0441">
        <w:rPr>
          <w:rFonts w:ascii="Times New Roman" w:eastAsia="Times New Roman" w:hAnsi="Times New Roman" w:cs="Times New Roman"/>
          <w:sz w:val="28"/>
          <w:szCs w:val="28"/>
          <w:lang w:eastAsia="ru-RU"/>
        </w:rPr>
        <w:t xml:space="preserve"> Определение состава закономерностей  основных принципов структурно-информационной составляющей промышленного роста позволит в дальнейшем наиболее эффективно сформировать направления и наполнить актуальным содержанием государственные стратегии промышленного и социально-экономического развития.  Поэтому возникла необходимость в разработке (в связи с разнообразием природы процессов по реструктуризации промышленности: реформирование, реорганизация, оптимизация, модернизация, и т.п.) – современной концепции промышленного развития, основанной на широком использовании возможностей информационного поля. При этом базовые положения программ по развитию экономики будут определяться синхронным взаимодействием структурно-функциональной, информационной, системно-технологической составляющими.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3946"/>
        <w:gridCol w:w="4607"/>
      </w:tblGrid>
      <w:tr w:rsidR="00BE0441" w:rsidRPr="00BE0441" w:rsidTr="0098283A">
        <w:tc>
          <w:tcPr>
            <w:tcW w:w="4819" w:type="dxa"/>
            <w:gridSpan w:val="2"/>
          </w:tcPr>
          <w:p w:rsidR="00BE0441" w:rsidRPr="00BE0441" w:rsidRDefault="00BE0441" w:rsidP="00BE0441">
            <w:pPr>
              <w:widowControl w:val="0"/>
              <w:jc w:val="both"/>
              <w:rPr>
                <w:rFonts w:ascii="Times New Roman" w:hAnsi="Times New Roman"/>
                <w:sz w:val="28"/>
                <w:szCs w:val="28"/>
              </w:rPr>
            </w:pPr>
          </w:p>
        </w:tc>
        <w:tc>
          <w:tcPr>
            <w:tcW w:w="4820" w:type="dxa"/>
          </w:tcPr>
          <w:p w:rsidR="00BE0441" w:rsidRPr="00BE0441" w:rsidRDefault="00BE0441" w:rsidP="00BE0441">
            <w:pPr>
              <w:widowControl w:val="0"/>
              <w:jc w:val="both"/>
              <w:rPr>
                <w:rFonts w:ascii="Times New Roman" w:hAnsi="Times New Roman"/>
                <w:sz w:val="28"/>
                <w:szCs w:val="28"/>
              </w:rPr>
            </w:pPr>
          </w:p>
        </w:tc>
      </w:tr>
      <w:tr w:rsidR="00BE0441" w:rsidRPr="00BE0441" w:rsidTr="0098283A">
        <w:tc>
          <w:tcPr>
            <w:tcW w:w="9639" w:type="dxa"/>
            <w:gridSpan w:val="3"/>
          </w:tcPr>
          <w:p w:rsidR="00BE0441" w:rsidRPr="00BE0441" w:rsidRDefault="00BE0441" w:rsidP="00BE0441">
            <w:pPr>
              <w:widowControl w:val="0"/>
              <w:jc w:val="center"/>
              <w:rPr>
                <w:rFonts w:ascii="Times New Roman" w:hAnsi="Times New Roman"/>
                <w:sz w:val="28"/>
                <w:szCs w:val="28"/>
              </w:rPr>
            </w:pPr>
            <w:r w:rsidRPr="00BE0441">
              <w:rPr>
                <w:rFonts w:ascii="Times New Roman" w:hAnsi="Times New Roman"/>
                <w:b/>
                <w:sz w:val="28"/>
                <w:szCs w:val="28"/>
              </w:rPr>
              <w:t>Список литературы</w:t>
            </w:r>
          </w:p>
        </w:tc>
      </w:tr>
      <w:tr w:rsidR="00BE0441" w:rsidRPr="00BE0441" w:rsidTr="0098283A">
        <w:tc>
          <w:tcPr>
            <w:tcW w:w="709" w:type="dxa"/>
          </w:tcPr>
          <w:p w:rsidR="00BE0441" w:rsidRPr="00BE0441" w:rsidRDefault="00BE0441" w:rsidP="00BE0441">
            <w:pPr>
              <w:widowControl w:val="0"/>
              <w:numPr>
                <w:ilvl w:val="0"/>
                <w:numId w:val="1"/>
              </w:numPr>
              <w:contextualSpacing/>
              <w:jc w:val="right"/>
              <w:rPr>
                <w:rFonts w:ascii="Times New Roman" w:hAnsi="Times New Roman"/>
                <w:sz w:val="24"/>
                <w:szCs w:val="24"/>
              </w:rPr>
            </w:pPr>
          </w:p>
        </w:tc>
        <w:tc>
          <w:tcPr>
            <w:tcW w:w="8930" w:type="dxa"/>
            <w:gridSpan w:val="2"/>
          </w:tcPr>
          <w:p w:rsidR="00BE0441" w:rsidRPr="00BE0441" w:rsidRDefault="00BE0441" w:rsidP="00BE0441">
            <w:pPr>
              <w:widowControl w:val="0"/>
              <w:tabs>
                <w:tab w:val="left" w:pos="993"/>
              </w:tabs>
              <w:contextualSpacing/>
              <w:jc w:val="both"/>
              <w:rPr>
                <w:rFonts w:ascii="Times New Roman" w:hAnsi="Times New Roman"/>
                <w:sz w:val="24"/>
                <w:szCs w:val="24"/>
              </w:rPr>
            </w:pPr>
            <w:r w:rsidRPr="00BE0441">
              <w:rPr>
                <w:rFonts w:ascii="Times New Roman" w:hAnsi="Times New Roman"/>
                <w:sz w:val="24"/>
                <w:szCs w:val="24"/>
              </w:rPr>
              <w:t>Структурні трансформації економіки: світовий досвід, інститути, стратегії для України: монографія/ О. І. Амоша, М. Г. Білопольский, В. В. Микитенко та ін. – Інститут економіки промисловості НАН України, ТНЕУ МОНмолодьспорту України. – Тернопіль: Економічна думка ТНЕУ МОНмолодьспорту України. 2011. – 848 с.</w:t>
            </w:r>
          </w:p>
        </w:tc>
      </w:tr>
      <w:tr w:rsidR="00BE0441" w:rsidRPr="00BE0441" w:rsidTr="0098283A">
        <w:tc>
          <w:tcPr>
            <w:tcW w:w="709" w:type="dxa"/>
          </w:tcPr>
          <w:p w:rsidR="00BE0441" w:rsidRPr="00BE0441" w:rsidRDefault="00BE0441" w:rsidP="00BE0441">
            <w:pPr>
              <w:widowControl w:val="0"/>
              <w:numPr>
                <w:ilvl w:val="0"/>
                <w:numId w:val="1"/>
              </w:numPr>
              <w:contextualSpacing/>
              <w:jc w:val="right"/>
              <w:rPr>
                <w:rFonts w:ascii="Times New Roman" w:hAnsi="Times New Roman"/>
                <w:sz w:val="24"/>
                <w:szCs w:val="24"/>
              </w:rPr>
            </w:pPr>
          </w:p>
        </w:tc>
        <w:tc>
          <w:tcPr>
            <w:tcW w:w="8930" w:type="dxa"/>
            <w:gridSpan w:val="2"/>
          </w:tcPr>
          <w:p w:rsidR="00BE0441" w:rsidRPr="00BE0441" w:rsidRDefault="00BE0441" w:rsidP="00BE0441">
            <w:pPr>
              <w:widowControl w:val="0"/>
              <w:tabs>
                <w:tab w:val="left" w:pos="114"/>
                <w:tab w:val="left" w:pos="228"/>
                <w:tab w:val="left" w:pos="399"/>
                <w:tab w:val="left" w:pos="567"/>
                <w:tab w:val="left" w:pos="709"/>
                <w:tab w:val="left" w:pos="1080"/>
              </w:tabs>
              <w:jc w:val="both"/>
              <w:rPr>
                <w:rFonts w:ascii="Times New Roman" w:eastAsia="Calibri" w:hAnsi="Times New Roman"/>
                <w:sz w:val="24"/>
                <w:szCs w:val="24"/>
              </w:rPr>
            </w:pPr>
            <w:r w:rsidRPr="00BE0441">
              <w:rPr>
                <w:rFonts w:ascii="Times New Roman" w:eastAsia="Calibri" w:hAnsi="Times New Roman"/>
                <w:sz w:val="24"/>
                <w:szCs w:val="24"/>
              </w:rPr>
              <w:t xml:space="preserve">Алимов О. М. Стратегічний потенціал – сукупні можливості національної економіки по досягненню цілей збалансованого розвитку / Алимов О. М., </w:t>
            </w:r>
            <w:r w:rsidRPr="00BE0441">
              <w:rPr>
                <w:rFonts w:ascii="Times New Roman" w:eastAsia="Calibri" w:hAnsi="Times New Roman"/>
                <w:sz w:val="24"/>
                <w:szCs w:val="24"/>
              </w:rPr>
              <w:lastRenderedPageBreak/>
              <w:t xml:space="preserve">Микитенко В. В. // Продуктивні сили України. науково-теоретичний економічний журнал. К.: – РВПС України НАН України, 2006. – № 1. – С. 135–151. </w:t>
            </w:r>
          </w:p>
        </w:tc>
      </w:tr>
      <w:tr w:rsidR="00BE0441" w:rsidRPr="00BE0441" w:rsidTr="0098283A">
        <w:tc>
          <w:tcPr>
            <w:tcW w:w="709" w:type="dxa"/>
          </w:tcPr>
          <w:p w:rsidR="00BE0441" w:rsidRPr="00BE0441" w:rsidRDefault="00BE0441" w:rsidP="00BE0441">
            <w:pPr>
              <w:widowControl w:val="0"/>
              <w:numPr>
                <w:ilvl w:val="0"/>
                <w:numId w:val="1"/>
              </w:numPr>
              <w:contextualSpacing/>
              <w:jc w:val="right"/>
              <w:rPr>
                <w:rFonts w:ascii="Times New Roman" w:hAnsi="Times New Roman"/>
                <w:sz w:val="24"/>
                <w:szCs w:val="24"/>
              </w:rPr>
            </w:pPr>
          </w:p>
        </w:tc>
        <w:tc>
          <w:tcPr>
            <w:tcW w:w="8930" w:type="dxa"/>
            <w:gridSpan w:val="2"/>
          </w:tcPr>
          <w:p w:rsidR="00BE0441" w:rsidRPr="00BE0441" w:rsidRDefault="00BE0441" w:rsidP="00BE0441">
            <w:pPr>
              <w:widowControl w:val="0"/>
              <w:tabs>
                <w:tab w:val="left" w:pos="114"/>
                <w:tab w:val="left" w:pos="228"/>
                <w:tab w:val="left" w:pos="399"/>
                <w:tab w:val="left" w:pos="567"/>
                <w:tab w:val="left" w:pos="709"/>
                <w:tab w:val="left" w:pos="1080"/>
              </w:tabs>
              <w:jc w:val="both"/>
              <w:rPr>
                <w:rFonts w:ascii="Times New Roman" w:eastAsia="Calibri" w:hAnsi="Times New Roman"/>
                <w:sz w:val="24"/>
                <w:szCs w:val="24"/>
              </w:rPr>
            </w:pPr>
            <w:r w:rsidRPr="00BE0441">
              <w:rPr>
                <w:rFonts w:ascii="Times New Roman" w:eastAsia="Calibri" w:hAnsi="Times New Roman"/>
                <w:sz w:val="24"/>
                <w:szCs w:val="24"/>
              </w:rPr>
              <w:t xml:space="preserve">Макросистемна еволюція української економіки: Монографія / Данилишин Б. М., Микитенко В. В. – У 2 т. – Т. 2. – К.: РВПС України НАН України, Вид-во ЗАТ «Нічлава», 2008. – 210 с. </w:t>
            </w:r>
          </w:p>
        </w:tc>
      </w:tr>
      <w:tr w:rsidR="00BE0441" w:rsidRPr="00BE0441" w:rsidTr="0098283A">
        <w:tc>
          <w:tcPr>
            <w:tcW w:w="709" w:type="dxa"/>
          </w:tcPr>
          <w:p w:rsidR="00BE0441" w:rsidRPr="00BE0441" w:rsidRDefault="00BE0441" w:rsidP="00BE0441">
            <w:pPr>
              <w:widowControl w:val="0"/>
              <w:numPr>
                <w:ilvl w:val="0"/>
                <w:numId w:val="1"/>
              </w:numPr>
              <w:contextualSpacing/>
              <w:jc w:val="right"/>
              <w:rPr>
                <w:rFonts w:ascii="Times New Roman" w:hAnsi="Times New Roman"/>
                <w:sz w:val="24"/>
                <w:szCs w:val="24"/>
              </w:rPr>
            </w:pPr>
          </w:p>
        </w:tc>
        <w:tc>
          <w:tcPr>
            <w:tcW w:w="8930" w:type="dxa"/>
            <w:gridSpan w:val="2"/>
          </w:tcPr>
          <w:p w:rsidR="00BE0441" w:rsidRPr="00BE0441" w:rsidRDefault="00BE0441" w:rsidP="00BE0441">
            <w:pPr>
              <w:widowControl w:val="0"/>
              <w:tabs>
                <w:tab w:val="left" w:pos="114"/>
                <w:tab w:val="left" w:pos="228"/>
                <w:tab w:val="left" w:pos="399"/>
                <w:tab w:val="left" w:pos="567"/>
                <w:tab w:val="left" w:pos="709"/>
                <w:tab w:val="left" w:pos="1080"/>
              </w:tabs>
              <w:jc w:val="both"/>
              <w:rPr>
                <w:rFonts w:ascii="Times New Roman" w:eastAsia="Calibri" w:hAnsi="Times New Roman"/>
                <w:sz w:val="24"/>
                <w:szCs w:val="24"/>
              </w:rPr>
            </w:pPr>
            <w:r w:rsidRPr="00BE0441">
              <w:rPr>
                <w:rFonts w:ascii="Times New Roman" w:eastAsia="Calibri" w:hAnsi="Times New Roman"/>
                <w:sz w:val="24"/>
                <w:szCs w:val="24"/>
              </w:rPr>
              <w:t>Потенціал національної промисловості: цілі та механізми ефективного розвитку: Монографія / [Кіндзерский Ю. В., Микитенко В. В. та ін.]; за ред. Ю. В. Кінзерского; НАН України; Ін-т економіки  та прогнозування НАН України. – К., 2009. – 928 с.</w:t>
            </w:r>
          </w:p>
        </w:tc>
      </w:tr>
      <w:tr w:rsidR="00BE0441" w:rsidRPr="00BE0441" w:rsidTr="0098283A">
        <w:tc>
          <w:tcPr>
            <w:tcW w:w="709" w:type="dxa"/>
          </w:tcPr>
          <w:p w:rsidR="00BE0441" w:rsidRPr="00BE0441" w:rsidRDefault="00BE0441" w:rsidP="00BE0441">
            <w:pPr>
              <w:widowControl w:val="0"/>
              <w:numPr>
                <w:ilvl w:val="0"/>
                <w:numId w:val="1"/>
              </w:numPr>
              <w:contextualSpacing/>
              <w:jc w:val="right"/>
              <w:rPr>
                <w:rFonts w:ascii="Times New Roman" w:hAnsi="Times New Roman"/>
                <w:sz w:val="24"/>
                <w:szCs w:val="24"/>
              </w:rPr>
            </w:pPr>
          </w:p>
        </w:tc>
        <w:tc>
          <w:tcPr>
            <w:tcW w:w="8930" w:type="dxa"/>
            <w:gridSpan w:val="2"/>
          </w:tcPr>
          <w:p w:rsidR="00BE0441" w:rsidRPr="00BE0441" w:rsidRDefault="00BE0441" w:rsidP="00BE0441">
            <w:pPr>
              <w:widowControl w:val="0"/>
              <w:tabs>
                <w:tab w:val="left" w:pos="540"/>
                <w:tab w:val="left" w:pos="567"/>
                <w:tab w:val="left" w:pos="709"/>
                <w:tab w:val="left" w:pos="900"/>
                <w:tab w:val="left" w:pos="1080"/>
              </w:tabs>
              <w:jc w:val="both"/>
              <w:rPr>
                <w:rFonts w:ascii="Times New Roman" w:hAnsi="Times New Roman"/>
                <w:sz w:val="24"/>
                <w:szCs w:val="24"/>
              </w:rPr>
            </w:pPr>
            <w:r w:rsidRPr="00BE0441">
              <w:rPr>
                <w:rFonts w:ascii="Times New Roman" w:hAnsi="Times New Roman"/>
                <w:sz w:val="24"/>
                <w:szCs w:val="24"/>
              </w:rPr>
              <w:t xml:space="preserve">Стратегічний потенціал продуктивних сил регіонів України: Монографія / [Алимов О. М., Бандур С. І., Дейнеко Л. В., Микитенко В. В. та ін.] / За ред. д.е.н., проф. Б. М. Данилишина. – К.: РВПС України НАН України., 2009. – 424 с.  </w:t>
            </w:r>
          </w:p>
        </w:tc>
      </w:tr>
      <w:tr w:rsidR="00BE0441" w:rsidRPr="00BE0441" w:rsidTr="0098283A">
        <w:tc>
          <w:tcPr>
            <w:tcW w:w="709" w:type="dxa"/>
          </w:tcPr>
          <w:p w:rsidR="00BE0441" w:rsidRPr="00BE0441" w:rsidRDefault="00BE0441" w:rsidP="00BE0441">
            <w:pPr>
              <w:widowControl w:val="0"/>
              <w:numPr>
                <w:ilvl w:val="0"/>
                <w:numId w:val="1"/>
              </w:numPr>
              <w:contextualSpacing/>
              <w:jc w:val="right"/>
              <w:rPr>
                <w:rFonts w:ascii="Times New Roman" w:hAnsi="Times New Roman"/>
                <w:sz w:val="24"/>
                <w:szCs w:val="24"/>
              </w:rPr>
            </w:pPr>
          </w:p>
        </w:tc>
        <w:tc>
          <w:tcPr>
            <w:tcW w:w="8930" w:type="dxa"/>
            <w:gridSpan w:val="2"/>
          </w:tcPr>
          <w:p w:rsidR="00BE0441" w:rsidRPr="00BE0441" w:rsidRDefault="00BE0441" w:rsidP="00BE0441">
            <w:pPr>
              <w:widowControl w:val="0"/>
              <w:tabs>
                <w:tab w:val="left" w:pos="540"/>
                <w:tab w:val="left" w:pos="567"/>
                <w:tab w:val="left" w:pos="709"/>
                <w:tab w:val="left" w:pos="900"/>
                <w:tab w:val="left" w:pos="1080"/>
              </w:tabs>
              <w:jc w:val="both"/>
              <w:rPr>
                <w:rFonts w:ascii="Times New Roman" w:hAnsi="Times New Roman"/>
                <w:sz w:val="24"/>
                <w:szCs w:val="24"/>
              </w:rPr>
            </w:pPr>
            <w:r w:rsidRPr="00BE0441">
              <w:rPr>
                <w:rFonts w:ascii="Times New Roman" w:hAnsi="Times New Roman"/>
                <w:sz w:val="24"/>
                <w:szCs w:val="24"/>
              </w:rPr>
              <w:t xml:space="preserve">Економічна безпека промисловості: цільовий функціонал та технології управління: Монографія. / Микитенко В. В., Демешок О. О. / За науковою редакцією д.е.н., проф. Микитенко В. В. – Київ, ДУ «Інститут економіки природокористування та сталого розвитку НАН України», МНТУ ім. Ю. Бугая, 2012. – 650 с. </w:t>
            </w:r>
          </w:p>
        </w:tc>
      </w:tr>
      <w:tr w:rsidR="00BE0441" w:rsidRPr="00BE0441" w:rsidTr="0098283A">
        <w:tc>
          <w:tcPr>
            <w:tcW w:w="709" w:type="dxa"/>
          </w:tcPr>
          <w:p w:rsidR="00BE0441" w:rsidRPr="00BE0441" w:rsidRDefault="00BE0441" w:rsidP="00BE0441">
            <w:pPr>
              <w:widowControl w:val="0"/>
              <w:numPr>
                <w:ilvl w:val="0"/>
                <w:numId w:val="1"/>
              </w:numPr>
              <w:contextualSpacing/>
              <w:jc w:val="right"/>
              <w:rPr>
                <w:rFonts w:ascii="Times New Roman" w:hAnsi="Times New Roman"/>
                <w:sz w:val="24"/>
                <w:szCs w:val="24"/>
              </w:rPr>
            </w:pPr>
          </w:p>
        </w:tc>
        <w:tc>
          <w:tcPr>
            <w:tcW w:w="8930" w:type="dxa"/>
            <w:gridSpan w:val="2"/>
          </w:tcPr>
          <w:p w:rsidR="00BE0441" w:rsidRPr="00BE0441" w:rsidRDefault="00BE0441" w:rsidP="00BE0441">
            <w:pPr>
              <w:widowControl w:val="0"/>
              <w:tabs>
                <w:tab w:val="left" w:pos="540"/>
                <w:tab w:val="left" w:pos="567"/>
                <w:tab w:val="left" w:pos="709"/>
                <w:tab w:val="left" w:pos="900"/>
                <w:tab w:val="left" w:pos="1080"/>
              </w:tabs>
              <w:jc w:val="both"/>
              <w:rPr>
                <w:rFonts w:ascii="Times New Roman" w:hAnsi="Times New Roman"/>
                <w:sz w:val="24"/>
                <w:szCs w:val="24"/>
              </w:rPr>
            </w:pPr>
            <w:r w:rsidRPr="00BE0441">
              <w:rPr>
                <w:rFonts w:ascii="Times New Roman" w:hAnsi="Times New Roman"/>
                <w:sz w:val="24"/>
                <w:szCs w:val="24"/>
              </w:rPr>
              <w:t xml:space="preserve">С.Ю. Глазьев </w:t>
            </w:r>
            <w:r w:rsidRPr="00BE0441">
              <w:rPr>
                <w:rFonts w:ascii="Times New Roman" w:hAnsi="Times New Roman"/>
                <w:sz w:val="24"/>
                <w:szCs w:val="24"/>
                <w:shd w:val="clear" w:color="auto" w:fill="FFFFFF"/>
              </w:rPr>
              <w:t>Стратегические предпосылки модернизации инновационного развития российской экономики. — ГУУ Москва, 2014. — С. 274.</w:t>
            </w:r>
          </w:p>
        </w:tc>
      </w:tr>
      <w:tr w:rsidR="00BE0441" w:rsidRPr="00BE0441" w:rsidTr="0098283A">
        <w:tc>
          <w:tcPr>
            <w:tcW w:w="709" w:type="dxa"/>
          </w:tcPr>
          <w:p w:rsidR="00BE0441" w:rsidRPr="00BE0441" w:rsidRDefault="00BE0441" w:rsidP="00BE0441">
            <w:pPr>
              <w:widowControl w:val="0"/>
              <w:numPr>
                <w:ilvl w:val="0"/>
                <w:numId w:val="1"/>
              </w:numPr>
              <w:contextualSpacing/>
              <w:jc w:val="right"/>
              <w:rPr>
                <w:rFonts w:ascii="Times New Roman" w:hAnsi="Times New Roman"/>
                <w:sz w:val="24"/>
                <w:szCs w:val="24"/>
              </w:rPr>
            </w:pPr>
          </w:p>
        </w:tc>
        <w:tc>
          <w:tcPr>
            <w:tcW w:w="8930" w:type="dxa"/>
            <w:gridSpan w:val="2"/>
          </w:tcPr>
          <w:p w:rsidR="00BE0441" w:rsidRPr="00BE0441" w:rsidRDefault="00BE0441" w:rsidP="00BE0441">
            <w:pPr>
              <w:widowControl w:val="0"/>
              <w:tabs>
                <w:tab w:val="left" w:pos="540"/>
                <w:tab w:val="left" w:pos="567"/>
                <w:tab w:val="left" w:pos="709"/>
                <w:tab w:val="left" w:pos="900"/>
                <w:tab w:val="left" w:pos="1080"/>
              </w:tabs>
              <w:jc w:val="both"/>
              <w:rPr>
                <w:rFonts w:ascii="Times New Roman" w:hAnsi="Times New Roman"/>
                <w:sz w:val="24"/>
                <w:szCs w:val="24"/>
              </w:rPr>
            </w:pPr>
            <w:r w:rsidRPr="00BE0441">
              <w:rPr>
                <w:rFonts w:ascii="Times New Roman" w:hAnsi="Times New Roman"/>
                <w:sz w:val="24"/>
                <w:szCs w:val="24"/>
              </w:rPr>
              <w:t>Народ, государсво, регионы: стабильность развития: монография / Уколов</w:t>
            </w:r>
            <w:r w:rsidRPr="00BE0441">
              <w:rPr>
                <w:rFonts w:ascii="Times New Roman" w:hAnsi="Times New Roman"/>
                <w:caps/>
                <w:sz w:val="24"/>
                <w:szCs w:val="24"/>
              </w:rPr>
              <w:t xml:space="preserve"> Ф. И., </w:t>
            </w:r>
            <w:r w:rsidRPr="00BE0441">
              <w:rPr>
                <w:rFonts w:ascii="Times New Roman" w:hAnsi="Times New Roman"/>
                <w:sz w:val="24"/>
                <w:szCs w:val="24"/>
              </w:rPr>
              <w:t>Афанасьев В. Я., Быстряков И. К., Видяпин В. И. и др. – М.: Изд-во «Молодая гвардия», 2002. – 560 с.</w:t>
            </w:r>
          </w:p>
        </w:tc>
      </w:tr>
    </w:tbl>
    <w:p w:rsidR="00AC12A9" w:rsidRDefault="00AC12A9">
      <w:bookmarkStart w:id="4" w:name="_GoBack"/>
      <w:bookmarkEnd w:id="4"/>
    </w:p>
    <w:sectPr w:rsidR="00AC1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004A"/>
    <w:multiLevelType w:val="hybridMultilevel"/>
    <w:tmpl w:val="6ED4431C"/>
    <w:lvl w:ilvl="0" w:tplc="32BCD450">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441"/>
    <w:rsid w:val="00AC12A9"/>
    <w:rsid w:val="00BE0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93B08-A660-43AD-AC66-1EBCB325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044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2657</Words>
  <Characters>15146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2017-12-03T10:13:00Z</dcterms:created>
  <dcterms:modified xsi:type="dcterms:W3CDTF">2017-12-03T10:13:00Z</dcterms:modified>
</cp:coreProperties>
</file>