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750"/>
      </w:tblGrid>
      <w:tr w:rsidR="002D5659" w:rsidRPr="002D5659" w:rsidTr="00DC10B6">
        <w:tc>
          <w:tcPr>
            <w:tcW w:w="9854" w:type="dxa"/>
            <w:gridSpan w:val="2"/>
            <w:hideMark/>
          </w:tcPr>
          <w:p w:rsidR="002D5659" w:rsidRPr="002D5659" w:rsidRDefault="002D5659" w:rsidP="002D5659">
            <w:pPr>
              <w:widowControl w:val="0"/>
              <w:jc w:val="both"/>
              <w:rPr>
                <w:rFonts w:ascii="Times New Roman" w:hAnsi="Times New Roman"/>
                <w:b/>
                <w:sz w:val="28"/>
              </w:rPr>
            </w:pPr>
            <w:r w:rsidRPr="002D5659">
              <w:rPr>
                <w:rFonts w:ascii="Times New Roman" w:hAnsi="Times New Roman"/>
                <w:b/>
                <w:sz w:val="28"/>
              </w:rPr>
              <w:t xml:space="preserve">УДК </w:t>
            </w:r>
            <w:r w:rsidRPr="002D5659">
              <w:rPr>
                <w:rFonts w:ascii="Times New Roman" w:hAnsi="Times New Roman"/>
                <w:b/>
                <w:bCs/>
                <w:kern w:val="36"/>
                <w:sz w:val="28"/>
                <w:szCs w:val="48"/>
              </w:rPr>
              <w:t>336</w:t>
            </w:r>
          </w:p>
        </w:tc>
      </w:tr>
      <w:tr w:rsidR="002D5659" w:rsidRPr="002D5659" w:rsidTr="00DC10B6">
        <w:tc>
          <w:tcPr>
            <w:tcW w:w="9854" w:type="dxa"/>
            <w:gridSpan w:val="2"/>
          </w:tcPr>
          <w:p w:rsidR="002D5659" w:rsidRPr="002D5659" w:rsidRDefault="002D5659" w:rsidP="002D5659">
            <w:pPr>
              <w:widowControl w:val="0"/>
              <w:jc w:val="center"/>
              <w:outlineLvl w:val="0"/>
              <w:rPr>
                <w:rFonts w:ascii="Times New Roman" w:hAnsi="Times New Roman"/>
                <w:b/>
                <w:bCs/>
                <w:sz w:val="28"/>
                <w:szCs w:val="28"/>
              </w:rPr>
            </w:pPr>
            <w:bookmarkStart w:id="0" w:name="_Toc480490944"/>
            <w:bookmarkStart w:id="1" w:name="_Toc480537168"/>
            <w:r w:rsidRPr="002D5659">
              <w:rPr>
                <w:rFonts w:ascii="Times New Roman" w:hAnsi="Times New Roman"/>
                <w:b/>
                <w:bCs/>
                <w:sz w:val="28"/>
                <w:szCs w:val="28"/>
              </w:rPr>
              <w:t>АНАЛИЗ ПРИБЫЛЬНОСТИ БАНКОВСКОГО СЕКТОРА В РОССИИ</w:t>
            </w:r>
            <w:bookmarkEnd w:id="0"/>
            <w:bookmarkEnd w:id="1"/>
          </w:p>
        </w:tc>
      </w:tr>
      <w:tr w:rsidR="002D5659" w:rsidRPr="002D5659" w:rsidTr="00DC10B6">
        <w:tc>
          <w:tcPr>
            <w:tcW w:w="4927" w:type="dxa"/>
          </w:tcPr>
          <w:p w:rsidR="002D5659" w:rsidRPr="002D5659" w:rsidRDefault="002D5659" w:rsidP="002D5659">
            <w:pPr>
              <w:widowControl w:val="0"/>
              <w:jc w:val="right"/>
              <w:rPr>
                <w:rFonts w:ascii="Times New Roman" w:hAnsi="Times New Roman"/>
                <w:sz w:val="28"/>
                <w:szCs w:val="28"/>
              </w:rPr>
            </w:pPr>
          </w:p>
        </w:tc>
        <w:tc>
          <w:tcPr>
            <w:tcW w:w="4927" w:type="dxa"/>
          </w:tcPr>
          <w:p w:rsidR="002D5659" w:rsidRPr="002D5659" w:rsidRDefault="002D5659" w:rsidP="002D5659">
            <w:pPr>
              <w:widowControl w:val="0"/>
              <w:jc w:val="right"/>
              <w:rPr>
                <w:rFonts w:ascii="Times New Roman" w:hAnsi="Times New Roman"/>
                <w:sz w:val="28"/>
                <w:szCs w:val="28"/>
              </w:rPr>
            </w:pPr>
          </w:p>
        </w:tc>
      </w:tr>
      <w:tr w:rsidR="002D5659" w:rsidRPr="002D5659" w:rsidTr="00DC10B6">
        <w:tc>
          <w:tcPr>
            <w:tcW w:w="4927" w:type="dxa"/>
          </w:tcPr>
          <w:p w:rsidR="002D5659" w:rsidRPr="002D5659" w:rsidRDefault="002D5659" w:rsidP="002D5659">
            <w:pPr>
              <w:widowControl w:val="0"/>
              <w:jc w:val="center"/>
              <w:outlineLvl w:val="0"/>
              <w:rPr>
                <w:rFonts w:ascii="Times New Roman" w:hAnsi="Times New Roman"/>
                <w:b/>
                <w:bCs/>
                <w:sz w:val="28"/>
                <w:szCs w:val="28"/>
              </w:rPr>
            </w:pPr>
          </w:p>
        </w:tc>
        <w:tc>
          <w:tcPr>
            <w:tcW w:w="4927" w:type="dxa"/>
          </w:tcPr>
          <w:p w:rsidR="002D5659" w:rsidRPr="002D5659" w:rsidRDefault="002D5659" w:rsidP="002D5659">
            <w:pPr>
              <w:widowControl w:val="0"/>
              <w:outlineLvl w:val="1"/>
              <w:rPr>
                <w:rFonts w:ascii="Times New Roman" w:hAnsi="Times New Roman"/>
                <w:b/>
                <w:bCs/>
                <w:sz w:val="28"/>
                <w:szCs w:val="26"/>
              </w:rPr>
            </w:pPr>
            <w:bookmarkStart w:id="2" w:name="_Toc480490945"/>
            <w:bookmarkStart w:id="3" w:name="_Toc480537169"/>
            <w:r w:rsidRPr="002D5659">
              <w:rPr>
                <w:rFonts w:ascii="Times New Roman" w:hAnsi="Times New Roman"/>
                <w:b/>
                <w:bCs/>
                <w:sz w:val="28"/>
                <w:szCs w:val="26"/>
              </w:rPr>
              <w:t>С.В. Логутова, Е. В. Дмитриева</w:t>
            </w:r>
            <w:bookmarkEnd w:id="2"/>
            <w:bookmarkEnd w:id="3"/>
          </w:p>
          <w:p w:rsidR="002D5659" w:rsidRPr="002D5659" w:rsidRDefault="002D5659" w:rsidP="002D5659">
            <w:pPr>
              <w:widowControl w:val="0"/>
              <w:rPr>
                <w:rFonts w:ascii="Times New Roman" w:hAnsi="Times New Roman"/>
                <w:i/>
                <w:sz w:val="28"/>
                <w:szCs w:val="28"/>
              </w:rPr>
            </w:pPr>
            <w:r w:rsidRPr="002D5659">
              <w:rPr>
                <w:rFonts w:ascii="Times New Roman" w:hAnsi="Times New Roman"/>
                <w:i/>
                <w:sz w:val="28"/>
                <w:szCs w:val="28"/>
              </w:rPr>
              <w:t>Новгородский государственный университет</w:t>
            </w:r>
          </w:p>
          <w:p w:rsidR="002D5659" w:rsidRPr="002D5659" w:rsidRDefault="002D5659" w:rsidP="002D5659">
            <w:pPr>
              <w:widowControl w:val="0"/>
              <w:rPr>
                <w:rFonts w:ascii="Times New Roman" w:hAnsi="Times New Roman"/>
                <w:i/>
                <w:sz w:val="28"/>
                <w:szCs w:val="28"/>
              </w:rPr>
            </w:pPr>
            <w:r w:rsidRPr="002D5659">
              <w:rPr>
                <w:rFonts w:ascii="Times New Roman" w:hAnsi="Times New Roman"/>
                <w:i/>
                <w:sz w:val="28"/>
                <w:szCs w:val="28"/>
              </w:rPr>
              <w:t>имени Ярослава Мудрого</w:t>
            </w:r>
          </w:p>
          <w:p w:rsidR="002D5659" w:rsidRPr="002D5659" w:rsidRDefault="002D5659" w:rsidP="002D5659">
            <w:pPr>
              <w:widowControl w:val="0"/>
              <w:rPr>
                <w:rFonts w:ascii="Times New Roman" w:hAnsi="Times New Roman"/>
                <w:sz w:val="28"/>
              </w:rPr>
            </w:pPr>
            <w:r w:rsidRPr="002D5659">
              <w:rPr>
                <w:rFonts w:ascii="Times New Roman" w:hAnsi="Times New Roman"/>
                <w:i/>
                <w:sz w:val="28"/>
                <w:szCs w:val="28"/>
              </w:rPr>
              <w:t>г. Великий Новгород, Российская Федерация</w:t>
            </w:r>
          </w:p>
        </w:tc>
      </w:tr>
    </w:tbl>
    <w:p w:rsidR="002D5659" w:rsidRPr="002D5659" w:rsidRDefault="002D5659" w:rsidP="002D5659">
      <w:pPr>
        <w:widowControl w:val="0"/>
        <w:tabs>
          <w:tab w:val="left" w:pos="9072"/>
        </w:tabs>
        <w:spacing w:after="0" w:line="240" w:lineRule="auto"/>
        <w:ind w:firstLine="709"/>
        <w:jc w:val="center"/>
        <w:rPr>
          <w:rFonts w:ascii="Times New Roman" w:eastAsia="Times New Roman" w:hAnsi="Times New Roman" w:cs="Times New Roman"/>
          <w:b/>
          <w:sz w:val="28"/>
          <w:szCs w:val="28"/>
          <w:lang w:eastAsia="ru-RU"/>
        </w:rPr>
      </w:pPr>
    </w:p>
    <w:p w:rsidR="002D5659" w:rsidRPr="002D5659" w:rsidRDefault="002D5659" w:rsidP="002D5659">
      <w:pPr>
        <w:widowControl w:val="0"/>
        <w:spacing w:after="0" w:line="240" w:lineRule="auto"/>
        <w:ind w:firstLine="709"/>
        <w:jc w:val="both"/>
        <w:rPr>
          <w:rFonts w:ascii="Times New Roman" w:eastAsia="Times New Roman" w:hAnsi="Times New Roman" w:cs="Times New Roman"/>
          <w:i/>
          <w:sz w:val="28"/>
          <w:szCs w:val="28"/>
          <w:lang w:eastAsia="ru-RU"/>
        </w:rPr>
      </w:pPr>
      <w:r w:rsidRPr="002D5659">
        <w:rPr>
          <w:rFonts w:ascii="Times New Roman" w:eastAsia="Times New Roman" w:hAnsi="Times New Roman" w:cs="Times New Roman"/>
          <w:i/>
          <w:sz w:val="28"/>
          <w:szCs w:val="28"/>
          <w:lang w:eastAsia="ru-RU"/>
        </w:rPr>
        <w:t>Аннотация. Статья посвящена проблемам повышения прибыльности банковского сектора России. Рассматриваются и анализируются самые прибыльные и самые убыточные банки страны за минувший год, а также причины такого результата. В процессе проведенного исследования выявлены основные направления по улучшению сложившейся ситуации.</w:t>
      </w:r>
    </w:p>
    <w:p w:rsidR="002D5659" w:rsidRPr="002D5659" w:rsidRDefault="002D5659" w:rsidP="002D5659">
      <w:pPr>
        <w:widowControl w:val="0"/>
        <w:spacing w:after="0" w:line="240" w:lineRule="auto"/>
        <w:ind w:firstLine="709"/>
        <w:jc w:val="both"/>
        <w:rPr>
          <w:rFonts w:ascii="Times New Roman" w:eastAsia="Times New Roman" w:hAnsi="Times New Roman" w:cs="Times New Roman"/>
          <w:i/>
          <w:sz w:val="28"/>
          <w:szCs w:val="28"/>
          <w:lang w:eastAsia="ru-RU"/>
        </w:rPr>
      </w:pPr>
      <w:r w:rsidRPr="002D5659">
        <w:rPr>
          <w:rFonts w:ascii="Times New Roman" w:eastAsia="Times New Roman" w:hAnsi="Times New Roman" w:cs="Times New Roman"/>
          <w:i/>
          <w:sz w:val="28"/>
          <w:szCs w:val="28"/>
          <w:lang w:eastAsia="ru-RU"/>
        </w:rPr>
        <w:t xml:space="preserve">Ключевые слова: коммерческий банк, прибыльность, убытки, процентные доходы, клиенты банка, банковские операции. </w:t>
      </w:r>
    </w:p>
    <w:p w:rsidR="002D5659" w:rsidRPr="002D5659" w:rsidRDefault="002D5659" w:rsidP="002D5659">
      <w:pPr>
        <w:widowControl w:val="0"/>
        <w:spacing w:after="0" w:line="240" w:lineRule="auto"/>
        <w:ind w:firstLine="709"/>
        <w:jc w:val="both"/>
        <w:rPr>
          <w:rFonts w:ascii="Times New Roman" w:eastAsia="Times New Roman" w:hAnsi="Times New Roman" w:cs="Times New Roman"/>
          <w:i/>
          <w:sz w:val="28"/>
          <w:szCs w:val="28"/>
          <w:lang w:val="en-US" w:eastAsia="ru-RU"/>
        </w:rPr>
      </w:pPr>
      <w:r w:rsidRPr="002D5659">
        <w:rPr>
          <w:rFonts w:ascii="Times New Roman" w:eastAsia="Times New Roman" w:hAnsi="Times New Roman" w:cs="Times New Roman"/>
          <w:i/>
          <w:sz w:val="28"/>
          <w:szCs w:val="28"/>
          <w:lang w:val="en-US" w:eastAsia="ru-RU"/>
        </w:rPr>
        <w:t>Summary. The article is devoted to the problems of profitability increase of the Russian banking sector. The most profitable and the most unprofitable banks in the country over the past year and the reasons for such result are reviewed and analyzed. The result of the study revealed key areas for improvement of the current situation.</w:t>
      </w:r>
    </w:p>
    <w:p w:rsidR="002D5659" w:rsidRPr="002D5659" w:rsidRDefault="002D5659" w:rsidP="002D5659">
      <w:pPr>
        <w:widowControl w:val="0"/>
        <w:spacing w:after="0" w:line="240" w:lineRule="auto"/>
        <w:ind w:firstLine="709"/>
        <w:jc w:val="both"/>
        <w:rPr>
          <w:rFonts w:ascii="Times New Roman" w:eastAsia="Times New Roman" w:hAnsi="Times New Roman" w:cs="Times New Roman"/>
          <w:i/>
          <w:sz w:val="28"/>
          <w:szCs w:val="28"/>
          <w:lang w:val="en-US" w:eastAsia="ru-RU"/>
        </w:rPr>
      </w:pPr>
      <w:r w:rsidRPr="002D5659">
        <w:rPr>
          <w:rFonts w:ascii="Times New Roman" w:eastAsia="Times New Roman" w:hAnsi="Times New Roman" w:cs="Times New Roman"/>
          <w:i/>
          <w:sz w:val="28"/>
          <w:szCs w:val="28"/>
          <w:lang w:val="en-US" w:eastAsia="ru-RU"/>
        </w:rPr>
        <w:t>Keywords:commercial Bank, profitability, losses, interest income, Bank customers, banking operations.</w:t>
      </w:r>
    </w:p>
    <w:p w:rsidR="002D5659" w:rsidRPr="002D5659" w:rsidRDefault="002D5659" w:rsidP="002D5659">
      <w:pPr>
        <w:widowControl w:val="0"/>
        <w:spacing w:after="0" w:line="240" w:lineRule="auto"/>
        <w:ind w:firstLine="709"/>
        <w:rPr>
          <w:rFonts w:ascii="Times New Roman" w:eastAsia="Times New Roman" w:hAnsi="Times New Roman" w:cs="Times New Roman"/>
          <w:i/>
          <w:sz w:val="28"/>
          <w:szCs w:val="28"/>
          <w:lang w:val="en-US" w:eastAsia="ru-RU"/>
        </w:rPr>
      </w:pPr>
    </w:p>
    <w:p w:rsidR="002D5659" w:rsidRPr="002D5659" w:rsidRDefault="002D5659" w:rsidP="002D5659">
      <w:pPr>
        <w:widowControl w:val="0"/>
        <w:spacing w:after="0" w:line="240" w:lineRule="auto"/>
        <w:ind w:firstLine="709"/>
        <w:jc w:val="both"/>
        <w:rPr>
          <w:rFonts w:ascii="Times New Roman" w:eastAsia="Times New Roman" w:hAnsi="Times New Roman" w:cs="Times New Roman"/>
          <w:sz w:val="28"/>
          <w:szCs w:val="28"/>
          <w:lang w:eastAsia="ru-RU"/>
        </w:rPr>
      </w:pPr>
      <w:r w:rsidRPr="002D5659">
        <w:rPr>
          <w:rFonts w:ascii="Times New Roman" w:eastAsia="Times New Roman" w:hAnsi="Times New Roman" w:cs="Times New Roman"/>
          <w:b/>
          <w:sz w:val="28"/>
          <w:szCs w:val="28"/>
          <w:lang w:eastAsia="ru-RU"/>
        </w:rPr>
        <w:t xml:space="preserve">Постановка проблемы. </w:t>
      </w:r>
      <w:r w:rsidRPr="002D5659">
        <w:rPr>
          <w:rFonts w:ascii="Times New Roman" w:eastAsia="Times New Roman" w:hAnsi="Times New Roman" w:cs="Times New Roman"/>
          <w:sz w:val="28"/>
          <w:szCs w:val="28"/>
          <w:lang w:eastAsia="ru-RU"/>
        </w:rPr>
        <w:t>Банковская система Российской Федерации в  настоящее время подвергается постоянным изменениям, а современное состояние рынка банковских услуг нельзя назвать достаточно стабильным. Многие российские банки испытывают трудности с наличием и распределением финансовых средств, активов, сокращается доверие со стороны населения. Поэтому продолжает расти число убыточных банков, которые не справляются со стоящими перед ними трудностями. Однако, несмотря на возникшие проблемы, банковский сектор России продолжает показывать положительные результаты.</w:t>
      </w:r>
    </w:p>
    <w:p w:rsidR="002D5659" w:rsidRPr="002D5659" w:rsidRDefault="002D5659" w:rsidP="002D5659">
      <w:pPr>
        <w:widowControl w:val="0"/>
        <w:spacing w:after="0" w:line="240" w:lineRule="auto"/>
        <w:ind w:firstLine="709"/>
        <w:jc w:val="both"/>
        <w:rPr>
          <w:rFonts w:ascii="Times New Roman" w:eastAsia="Times New Roman" w:hAnsi="Times New Roman" w:cs="Times New Roman"/>
          <w:sz w:val="28"/>
          <w:szCs w:val="28"/>
          <w:lang w:eastAsia="ru-RU"/>
        </w:rPr>
      </w:pPr>
      <w:r w:rsidRPr="002D5659">
        <w:rPr>
          <w:rFonts w:ascii="Times New Roman" w:eastAsia="Times New Roman" w:hAnsi="Times New Roman" w:cs="Times New Roman"/>
          <w:b/>
          <w:sz w:val="28"/>
          <w:szCs w:val="28"/>
          <w:lang w:eastAsia="ru-RU"/>
        </w:rPr>
        <w:t xml:space="preserve">Анализ предшествующих исследований и публикаций. </w:t>
      </w:r>
      <w:r w:rsidRPr="002D5659">
        <w:rPr>
          <w:rFonts w:ascii="Times New Roman" w:eastAsia="Times New Roman" w:hAnsi="Times New Roman" w:cs="Times New Roman"/>
          <w:sz w:val="28"/>
          <w:szCs w:val="28"/>
          <w:lang w:eastAsia="ru-RU"/>
        </w:rPr>
        <w:t xml:space="preserve">Вопросам исследования состояниябанковского сектора уделяется достаточно большое внимание не только со стороны отечественных ученых, но и зарубежных исследователей, а также в настоящее время текущие проблемы становятся предметом дискуссий экспертов и аналитиков рейтинговых агентств. </w:t>
      </w:r>
    </w:p>
    <w:p w:rsidR="002D5659" w:rsidRPr="002D5659" w:rsidRDefault="002D5659" w:rsidP="002D5659">
      <w:pPr>
        <w:widowControl w:val="0"/>
        <w:spacing w:after="0" w:line="240" w:lineRule="auto"/>
        <w:ind w:firstLine="709"/>
        <w:jc w:val="both"/>
        <w:rPr>
          <w:rFonts w:ascii="Times New Roman" w:eastAsia="Times New Roman" w:hAnsi="Times New Roman" w:cs="Times New Roman"/>
          <w:sz w:val="28"/>
          <w:szCs w:val="28"/>
          <w:lang w:eastAsia="ru-RU"/>
        </w:rPr>
      </w:pPr>
      <w:r w:rsidRPr="002D5659">
        <w:rPr>
          <w:rFonts w:ascii="Times New Roman" w:eastAsia="Times New Roman" w:hAnsi="Times New Roman" w:cs="Times New Roman"/>
          <w:sz w:val="28"/>
          <w:szCs w:val="28"/>
          <w:lang w:eastAsia="ru-RU"/>
        </w:rPr>
        <w:t>Некоторые исследователи рассматривают проблемы развития банковского сектора, банковских учреждений на уровне Банка России как главного регулятора их деятельности, среди них Бадалов Л.А.</w:t>
      </w:r>
    </w:p>
    <w:p w:rsidR="002D5659" w:rsidRPr="002D5659" w:rsidRDefault="002D5659" w:rsidP="002D5659">
      <w:pPr>
        <w:widowControl w:val="0"/>
        <w:spacing w:after="0" w:line="240" w:lineRule="auto"/>
        <w:ind w:firstLine="709"/>
        <w:jc w:val="both"/>
        <w:rPr>
          <w:rFonts w:ascii="Times New Roman" w:eastAsia="Times New Roman" w:hAnsi="Times New Roman" w:cs="Times New Roman"/>
          <w:sz w:val="28"/>
          <w:szCs w:val="28"/>
          <w:lang w:eastAsia="ru-RU"/>
        </w:rPr>
      </w:pPr>
      <w:r w:rsidRPr="002D5659">
        <w:rPr>
          <w:rFonts w:ascii="Times New Roman" w:eastAsia="Times New Roman" w:hAnsi="Times New Roman" w:cs="Times New Roman"/>
          <w:sz w:val="28"/>
          <w:szCs w:val="28"/>
          <w:lang w:eastAsia="ru-RU"/>
        </w:rPr>
        <w:t xml:space="preserve">По мнению Бадалова Л.А., для выявления и анализа проблем, связанных сдеятельностью банков, их прибыльностью,  функционированием системы внутреннего контроля, а также с разработкой предложений по улучшению </w:t>
      </w:r>
      <w:r w:rsidRPr="002D5659">
        <w:rPr>
          <w:rFonts w:ascii="Times New Roman" w:eastAsia="Times New Roman" w:hAnsi="Times New Roman" w:cs="Times New Roman"/>
          <w:sz w:val="28"/>
          <w:szCs w:val="28"/>
          <w:lang w:eastAsia="ru-RU"/>
        </w:rPr>
        <w:lastRenderedPageBreak/>
        <w:t>системы и повышению эффективности ее функционирования в банках, создается служба внутреннего контроля. Причем такая система создается с учетом рекомендаций Центрального банка РФ  по организации внутреннего контроля за рисками банковской деятельности [2].</w:t>
      </w:r>
    </w:p>
    <w:p w:rsidR="002D5659" w:rsidRPr="002D5659" w:rsidRDefault="002D5659" w:rsidP="002D5659">
      <w:pPr>
        <w:widowControl w:val="0"/>
        <w:spacing w:after="0" w:line="240" w:lineRule="auto"/>
        <w:ind w:firstLine="709"/>
        <w:jc w:val="both"/>
        <w:rPr>
          <w:rFonts w:ascii="Times New Roman" w:eastAsia="Times New Roman" w:hAnsi="Times New Roman" w:cs="Times New Roman"/>
          <w:sz w:val="28"/>
          <w:szCs w:val="28"/>
          <w:lang w:eastAsia="ru-RU"/>
        </w:rPr>
      </w:pPr>
      <w:r w:rsidRPr="002D5659">
        <w:rPr>
          <w:rFonts w:ascii="Times New Roman" w:eastAsia="Times New Roman" w:hAnsi="Times New Roman" w:cs="Times New Roman"/>
          <w:sz w:val="28"/>
          <w:szCs w:val="28"/>
          <w:lang w:eastAsia="ru-RU"/>
        </w:rPr>
        <w:t xml:space="preserve">Ряд работ посвящен вопросам непосредственной работы банков: Гусаров А.И., Гусарова О.М. [3] и др. </w:t>
      </w:r>
    </w:p>
    <w:p w:rsidR="002D5659" w:rsidRPr="002D5659" w:rsidRDefault="002D5659" w:rsidP="002D5659">
      <w:pPr>
        <w:widowControl w:val="0"/>
        <w:spacing w:after="0" w:line="240" w:lineRule="auto"/>
        <w:ind w:firstLine="709"/>
        <w:jc w:val="both"/>
        <w:rPr>
          <w:rFonts w:ascii="Times New Roman" w:eastAsia="Times New Roman" w:hAnsi="Times New Roman" w:cs="Times New Roman"/>
          <w:sz w:val="28"/>
          <w:szCs w:val="28"/>
          <w:lang w:eastAsia="ru-RU"/>
        </w:rPr>
      </w:pPr>
      <w:r w:rsidRPr="002D5659">
        <w:rPr>
          <w:rFonts w:ascii="Times New Roman" w:eastAsia="Times New Roman" w:hAnsi="Times New Roman" w:cs="Times New Roman"/>
          <w:sz w:val="28"/>
          <w:szCs w:val="28"/>
          <w:lang w:eastAsia="ru-RU"/>
        </w:rPr>
        <w:t xml:space="preserve">Гусаров А.И. утверждает, что кредитным организациям для сохранения конкурентоспособности в современное время требуется грамотное и эффективное управление финансовыми рисками, необходимость формирования единой нормативно-методической базы по управлению рисками и комплексной оценке финансового состояния коммерческих банков. Причем созданная система должна постоянно модифицироваться в соответствии с объемом и структурой проводимых банком операций, требованиями регулирующих и надзорных органов [3]. </w:t>
      </w:r>
    </w:p>
    <w:p w:rsidR="002D5659" w:rsidRPr="002D5659" w:rsidRDefault="002D5659" w:rsidP="002D5659">
      <w:pPr>
        <w:widowControl w:val="0"/>
        <w:spacing w:after="0" w:line="240" w:lineRule="auto"/>
        <w:ind w:firstLine="709"/>
        <w:jc w:val="both"/>
        <w:rPr>
          <w:rFonts w:ascii="Times New Roman" w:eastAsia="Times New Roman" w:hAnsi="Times New Roman" w:cs="Times New Roman"/>
          <w:sz w:val="28"/>
          <w:szCs w:val="28"/>
          <w:lang w:eastAsia="ru-RU"/>
        </w:rPr>
      </w:pPr>
      <w:r w:rsidRPr="002D5659">
        <w:rPr>
          <w:rFonts w:ascii="Times New Roman" w:eastAsia="Times New Roman" w:hAnsi="Times New Roman" w:cs="Times New Roman"/>
          <w:sz w:val="28"/>
          <w:szCs w:val="28"/>
          <w:lang w:eastAsia="ru-RU"/>
        </w:rPr>
        <w:t>Одним из ключевых показателей эффективной работы бизнеса является прибыль, банковская сфера – не исключение. Прибыль или убыток банков могут иметь разную природу происхождения – от комиссионных доходов за открытие и ведение счетов и процентных доходов (расходов) от операций с иностранной валютой, до увеличения (сокращения) объёмов резервов на возможные потери, из-за переоценки активов и роста расходов на персонал. Прибыль не свидетельствует о надёжности банка, но является одним из важных критериев, который учитывается Банком России при оценке финансового состояния. Из-за краткосрочного изменения доходов и расходов по определенным статьям или операциям, она может существенноувеличитьсяили сократиться.</w:t>
      </w:r>
    </w:p>
    <w:p w:rsidR="002D5659" w:rsidRPr="002D5659" w:rsidRDefault="002D5659" w:rsidP="002D5659">
      <w:pPr>
        <w:widowControl w:val="0"/>
        <w:spacing w:after="0" w:line="240" w:lineRule="auto"/>
        <w:ind w:firstLine="709"/>
        <w:jc w:val="both"/>
        <w:rPr>
          <w:rFonts w:ascii="Times New Roman" w:eastAsia="Times New Roman" w:hAnsi="Times New Roman" w:cs="Times New Roman"/>
          <w:sz w:val="28"/>
          <w:szCs w:val="28"/>
          <w:lang w:eastAsia="ru-RU"/>
        </w:rPr>
      </w:pPr>
      <w:r w:rsidRPr="002D5659">
        <w:rPr>
          <w:rFonts w:ascii="Times New Roman" w:eastAsia="Times New Roman" w:hAnsi="Times New Roman" w:cs="Times New Roman"/>
          <w:b/>
          <w:sz w:val="28"/>
          <w:szCs w:val="28"/>
          <w:lang w:eastAsia="ru-RU"/>
        </w:rPr>
        <w:t>Целью</w:t>
      </w:r>
      <w:r w:rsidRPr="002D5659">
        <w:rPr>
          <w:rFonts w:ascii="Times New Roman" w:eastAsia="Times New Roman" w:hAnsi="Times New Roman" w:cs="Times New Roman"/>
          <w:sz w:val="28"/>
          <w:szCs w:val="28"/>
          <w:lang w:eastAsia="ru-RU"/>
        </w:rPr>
        <w:t xml:space="preserve"> исследования является проведение анализадеятельности самых прибыльных и убыточных банков страныи выявление направлений повышенияприбыльности банковского сектора Российской Федерации. </w:t>
      </w:r>
    </w:p>
    <w:p w:rsidR="002D5659" w:rsidRPr="002D5659" w:rsidRDefault="002D5659" w:rsidP="002D5659">
      <w:pPr>
        <w:widowControl w:val="0"/>
        <w:spacing w:after="0" w:line="240" w:lineRule="auto"/>
        <w:ind w:firstLine="709"/>
        <w:jc w:val="both"/>
        <w:rPr>
          <w:rFonts w:ascii="Times New Roman" w:eastAsia="Times New Roman" w:hAnsi="Times New Roman" w:cs="Times New Roman"/>
          <w:sz w:val="16"/>
          <w:szCs w:val="16"/>
          <w:lang w:eastAsia="ru-RU"/>
        </w:rPr>
      </w:pPr>
      <w:r w:rsidRPr="002D5659">
        <w:rPr>
          <w:rFonts w:ascii="Times New Roman" w:eastAsia="Times New Roman" w:hAnsi="Times New Roman" w:cs="Times New Roman"/>
          <w:b/>
          <w:sz w:val="28"/>
          <w:szCs w:val="28"/>
          <w:lang w:eastAsia="ru-RU"/>
        </w:rPr>
        <w:t xml:space="preserve">Основные результаты исследования. </w:t>
      </w:r>
      <w:r w:rsidRPr="002D5659">
        <w:rPr>
          <w:rFonts w:ascii="Times New Roman" w:eastAsia="Times New Roman" w:hAnsi="Times New Roman" w:cs="Times New Roman"/>
          <w:sz w:val="28"/>
          <w:szCs w:val="28"/>
          <w:lang w:eastAsia="ru-RU"/>
        </w:rPr>
        <w:t>За последние годы количество банков в России постепенно снижается. Это подтверждают заключения экспертов, которые утверждают, что в ближайшее время в России останется около 500 - 600 банков. Динамика количества банков в России представлена на рис. 1 [4].</w:t>
      </w:r>
    </w:p>
    <w:p w:rsidR="002D5659" w:rsidRPr="002D5659" w:rsidRDefault="002D5659" w:rsidP="002D5659">
      <w:pPr>
        <w:widowControl w:val="0"/>
        <w:spacing w:after="0" w:line="240" w:lineRule="auto"/>
        <w:ind w:firstLine="709"/>
        <w:jc w:val="both"/>
        <w:rPr>
          <w:rFonts w:ascii="Times New Roman" w:eastAsia="Times New Roman" w:hAnsi="Times New Roman" w:cs="Times New Roman"/>
          <w:sz w:val="16"/>
          <w:szCs w:val="16"/>
          <w:lang w:eastAsia="ru-RU"/>
        </w:rPr>
      </w:pPr>
    </w:p>
    <w:p w:rsidR="002D5659" w:rsidRPr="002D5659" w:rsidRDefault="002D5659" w:rsidP="002D5659">
      <w:pPr>
        <w:widowControl w:val="0"/>
        <w:spacing w:after="0" w:line="240" w:lineRule="auto"/>
        <w:ind w:firstLine="709"/>
        <w:jc w:val="center"/>
        <w:rPr>
          <w:rFonts w:ascii="Times New Roman" w:eastAsia="Times New Roman" w:hAnsi="Times New Roman" w:cs="Times New Roman"/>
          <w:sz w:val="28"/>
          <w:szCs w:val="28"/>
          <w:lang w:eastAsia="ru-RU"/>
        </w:rPr>
      </w:pPr>
      <w:r w:rsidRPr="002D5659">
        <w:rPr>
          <w:rFonts w:ascii="Times New Roman" w:eastAsia="Times New Roman" w:hAnsi="Times New Roman" w:cs="Times New Roman"/>
          <w:noProof/>
          <w:sz w:val="28"/>
          <w:szCs w:val="28"/>
          <w:lang w:eastAsia="ru-RU"/>
        </w:rPr>
        <w:drawing>
          <wp:inline distT="0" distB="0" distL="0" distR="0" wp14:anchorId="04DE03C0" wp14:editId="54429C10">
            <wp:extent cx="4733925" cy="1381125"/>
            <wp:effectExtent l="0" t="0" r="9525" b="9525"/>
            <wp:docPr id="1411" name="Диаграмма 141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2D5659" w:rsidRPr="002D5659" w:rsidRDefault="002D5659" w:rsidP="002D5659">
      <w:pPr>
        <w:widowControl w:val="0"/>
        <w:spacing w:after="0" w:line="240" w:lineRule="auto"/>
        <w:ind w:firstLine="709"/>
        <w:jc w:val="center"/>
        <w:rPr>
          <w:rFonts w:ascii="Times New Roman" w:eastAsia="Times New Roman" w:hAnsi="Times New Roman" w:cs="Times New Roman"/>
          <w:sz w:val="28"/>
          <w:szCs w:val="28"/>
          <w:lang w:eastAsia="ru-RU"/>
        </w:rPr>
      </w:pPr>
      <w:r w:rsidRPr="002D5659">
        <w:rPr>
          <w:rFonts w:ascii="Times New Roman" w:eastAsia="Times New Roman" w:hAnsi="Times New Roman" w:cs="Times New Roman"/>
          <w:sz w:val="28"/>
          <w:szCs w:val="28"/>
          <w:lang w:eastAsia="ru-RU"/>
        </w:rPr>
        <w:t>Рисунок 1 – Динамика общего количества действующих банков России</w:t>
      </w:r>
    </w:p>
    <w:p w:rsidR="002D5659" w:rsidRPr="002D5659" w:rsidRDefault="002D5659" w:rsidP="002D5659">
      <w:pPr>
        <w:widowControl w:val="0"/>
        <w:spacing w:after="0" w:line="240" w:lineRule="auto"/>
        <w:ind w:firstLine="709"/>
        <w:jc w:val="both"/>
        <w:rPr>
          <w:rFonts w:ascii="Times New Roman" w:eastAsia="Times New Roman" w:hAnsi="Times New Roman" w:cs="Times New Roman"/>
          <w:sz w:val="20"/>
          <w:szCs w:val="20"/>
          <w:lang w:eastAsia="ru-RU"/>
        </w:rPr>
      </w:pPr>
    </w:p>
    <w:p w:rsidR="002D5659" w:rsidRPr="002D5659" w:rsidRDefault="002D5659" w:rsidP="002D5659">
      <w:pPr>
        <w:widowControl w:val="0"/>
        <w:spacing w:after="0" w:line="240" w:lineRule="auto"/>
        <w:ind w:firstLine="709"/>
        <w:jc w:val="both"/>
        <w:rPr>
          <w:rFonts w:ascii="Times New Roman" w:eastAsia="Times New Roman" w:hAnsi="Times New Roman" w:cs="Times New Roman"/>
          <w:sz w:val="28"/>
          <w:szCs w:val="28"/>
          <w:lang w:eastAsia="ru-RU"/>
        </w:rPr>
      </w:pPr>
      <w:r w:rsidRPr="002D5659">
        <w:rPr>
          <w:rFonts w:ascii="Times New Roman" w:eastAsia="Times New Roman" w:hAnsi="Times New Roman" w:cs="Times New Roman"/>
          <w:sz w:val="28"/>
          <w:szCs w:val="28"/>
          <w:lang w:eastAsia="ru-RU"/>
        </w:rPr>
        <w:t xml:space="preserve">Из диаграммы видно, что общее количество действующих банков в России постепенно сокращается, это связано с отзывом лицензий Центральным банком Российской Федерации (ЦБ РФ). Одной из основных </w:t>
      </w:r>
      <w:r w:rsidRPr="002D5659">
        <w:rPr>
          <w:rFonts w:ascii="Times New Roman" w:eastAsia="Times New Roman" w:hAnsi="Times New Roman" w:cs="Times New Roman"/>
          <w:sz w:val="28"/>
          <w:szCs w:val="28"/>
          <w:lang w:eastAsia="ru-RU"/>
        </w:rPr>
        <w:lastRenderedPageBreak/>
        <w:t xml:space="preserve">причин отзыва лицензий у банков является предоставление недостоверной отчетности. Каждый банк регулярно направляет отчетность о своей деятельности в Центробанк и при обнаружении попыток фальсификации повышается интерес к деятельности банка. Другим немаловажным основанием для отзыва лицензий служит недостаточность капитала и неспособность банка выполнять свои требования по кредитным обязательствам. </w:t>
      </w:r>
    </w:p>
    <w:p w:rsidR="002D5659" w:rsidRPr="002D5659" w:rsidRDefault="002D5659" w:rsidP="002D5659">
      <w:pPr>
        <w:widowControl w:val="0"/>
        <w:spacing w:after="0" w:line="240" w:lineRule="auto"/>
        <w:ind w:firstLine="709"/>
        <w:jc w:val="both"/>
        <w:rPr>
          <w:rFonts w:ascii="Times New Roman" w:eastAsia="Times New Roman" w:hAnsi="Times New Roman" w:cs="Times New Roman"/>
          <w:sz w:val="28"/>
          <w:szCs w:val="28"/>
          <w:lang w:eastAsia="ru-RU"/>
        </w:rPr>
      </w:pPr>
      <w:r w:rsidRPr="002D5659">
        <w:rPr>
          <w:rFonts w:ascii="Times New Roman" w:eastAsia="Times New Roman" w:hAnsi="Times New Roman" w:cs="Times New Roman"/>
          <w:sz w:val="28"/>
          <w:szCs w:val="28"/>
          <w:lang w:eastAsia="ru-RU"/>
        </w:rPr>
        <w:t>В 2016г.  по сравнению с 2014г. количество банков сократилось на 20,6%, т.е.  было закрыто 190 банков. Количество действующих банков в России на 01.01.2017 г. составило 623, т.е. за 2016 г. их число сократилось на 110 банков. Тогда как за 2015 г. количество банков сократилось только на 101, а в 2014 г. - на 89[4]. Сокращение банков в 2016 г. существенно ускорилось, но, несмотря на данный факт, банковский сектор продолжает наращивать прибыль.</w:t>
      </w:r>
    </w:p>
    <w:p w:rsidR="002D5659" w:rsidRPr="002D5659" w:rsidRDefault="002D5659" w:rsidP="002D5659">
      <w:pPr>
        <w:widowControl w:val="0"/>
        <w:spacing w:after="0" w:line="240" w:lineRule="auto"/>
        <w:ind w:firstLine="709"/>
        <w:jc w:val="both"/>
        <w:rPr>
          <w:rFonts w:ascii="Times New Roman" w:eastAsia="Times New Roman" w:hAnsi="Times New Roman" w:cs="Times New Roman"/>
          <w:sz w:val="28"/>
          <w:szCs w:val="28"/>
          <w:lang w:eastAsia="ru-RU"/>
        </w:rPr>
      </w:pPr>
      <w:r w:rsidRPr="002D5659">
        <w:rPr>
          <w:rFonts w:ascii="Times New Roman" w:eastAsia="Times New Roman" w:hAnsi="Times New Roman" w:cs="Times New Roman"/>
          <w:sz w:val="28"/>
          <w:szCs w:val="28"/>
          <w:lang w:eastAsia="ru-RU"/>
        </w:rPr>
        <w:t>По итогам 2016 г. совокупный финансовый результат банковского сектора составил930 млрд. рублей, аза 2015 г. был равен около 192 млрд.  рублей. Таким образом, по сравнению с 2015-м г. совокупная прибыль банков выросла почти в пять раз (рис. 2) [1].</w:t>
      </w:r>
    </w:p>
    <w:p w:rsidR="002D5659" w:rsidRPr="002D5659" w:rsidRDefault="002D5659" w:rsidP="002D5659">
      <w:pPr>
        <w:widowControl w:val="0"/>
        <w:spacing w:after="0" w:line="240" w:lineRule="auto"/>
        <w:ind w:firstLine="709"/>
        <w:jc w:val="both"/>
        <w:rPr>
          <w:rFonts w:ascii="Times New Roman" w:eastAsia="Times New Roman" w:hAnsi="Times New Roman" w:cs="Times New Roman"/>
          <w:sz w:val="28"/>
          <w:szCs w:val="28"/>
          <w:lang w:eastAsia="ru-RU"/>
        </w:rPr>
      </w:pPr>
    </w:p>
    <w:p w:rsidR="002D5659" w:rsidRPr="002D5659" w:rsidRDefault="002D5659" w:rsidP="002D5659">
      <w:pPr>
        <w:widowControl w:val="0"/>
        <w:spacing w:after="0" w:line="240" w:lineRule="auto"/>
        <w:ind w:firstLine="709"/>
        <w:jc w:val="center"/>
        <w:rPr>
          <w:rFonts w:ascii="Times New Roman" w:eastAsia="Times New Roman" w:hAnsi="Times New Roman" w:cs="Times New Roman"/>
          <w:sz w:val="28"/>
          <w:szCs w:val="28"/>
          <w:lang w:eastAsia="ru-RU"/>
        </w:rPr>
      </w:pPr>
      <w:r w:rsidRPr="002D5659">
        <w:rPr>
          <w:rFonts w:ascii="Times New Roman" w:eastAsia="Times New Roman" w:hAnsi="Times New Roman" w:cs="Times New Roman"/>
          <w:noProof/>
          <w:sz w:val="28"/>
          <w:szCs w:val="28"/>
          <w:lang w:eastAsia="ru-RU"/>
        </w:rPr>
        <w:drawing>
          <wp:inline distT="0" distB="0" distL="0" distR="0" wp14:anchorId="1A69FE50" wp14:editId="6F4DF723">
            <wp:extent cx="4295775" cy="1600200"/>
            <wp:effectExtent l="19050" t="0" r="9525" b="0"/>
            <wp:docPr id="1412" name="Диаграмма 141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D5659" w:rsidRPr="002D5659" w:rsidRDefault="002D5659" w:rsidP="002D5659">
      <w:pPr>
        <w:widowControl w:val="0"/>
        <w:spacing w:after="0" w:line="240" w:lineRule="auto"/>
        <w:ind w:firstLine="709"/>
        <w:jc w:val="center"/>
        <w:rPr>
          <w:rFonts w:ascii="Times New Roman" w:eastAsia="Times New Roman" w:hAnsi="Times New Roman" w:cs="Times New Roman"/>
          <w:sz w:val="16"/>
          <w:szCs w:val="16"/>
          <w:lang w:eastAsia="ru-RU"/>
        </w:rPr>
      </w:pPr>
    </w:p>
    <w:p w:rsidR="002D5659" w:rsidRPr="002D5659" w:rsidRDefault="002D5659" w:rsidP="002D5659">
      <w:pPr>
        <w:widowControl w:val="0"/>
        <w:spacing w:after="0" w:line="240" w:lineRule="auto"/>
        <w:ind w:firstLine="709"/>
        <w:jc w:val="center"/>
        <w:rPr>
          <w:rFonts w:ascii="Times New Roman" w:eastAsia="Times New Roman" w:hAnsi="Times New Roman" w:cs="Times New Roman"/>
          <w:sz w:val="28"/>
          <w:szCs w:val="28"/>
          <w:lang w:eastAsia="ru-RU"/>
        </w:rPr>
      </w:pPr>
      <w:r w:rsidRPr="002D5659">
        <w:rPr>
          <w:rFonts w:ascii="Times New Roman" w:eastAsia="Times New Roman" w:hAnsi="Times New Roman" w:cs="Times New Roman"/>
          <w:sz w:val="28"/>
          <w:szCs w:val="28"/>
          <w:lang w:eastAsia="ru-RU"/>
        </w:rPr>
        <w:t>Рисунок 2 – Динамика прибыльности банковского сектора РФ</w:t>
      </w:r>
    </w:p>
    <w:p w:rsidR="002D5659" w:rsidRPr="002D5659" w:rsidRDefault="002D5659" w:rsidP="002D5659">
      <w:pPr>
        <w:widowControl w:val="0"/>
        <w:spacing w:after="0" w:line="240" w:lineRule="auto"/>
        <w:ind w:firstLine="709"/>
        <w:jc w:val="center"/>
        <w:rPr>
          <w:rFonts w:ascii="Times New Roman" w:eastAsia="Times New Roman" w:hAnsi="Times New Roman" w:cs="Times New Roman"/>
          <w:sz w:val="28"/>
          <w:szCs w:val="28"/>
          <w:lang w:eastAsia="ru-RU"/>
        </w:rPr>
      </w:pPr>
    </w:p>
    <w:p w:rsidR="002D5659" w:rsidRPr="002D5659" w:rsidRDefault="002D5659" w:rsidP="002D5659">
      <w:pPr>
        <w:widowControl w:val="0"/>
        <w:spacing w:after="0" w:line="240" w:lineRule="auto"/>
        <w:ind w:firstLine="709"/>
        <w:jc w:val="both"/>
        <w:rPr>
          <w:rFonts w:ascii="Times New Roman" w:eastAsia="Times New Roman" w:hAnsi="Times New Roman" w:cs="Times New Roman"/>
          <w:sz w:val="28"/>
          <w:szCs w:val="28"/>
          <w:lang w:eastAsia="ru-RU"/>
        </w:rPr>
      </w:pPr>
      <w:r w:rsidRPr="002D5659">
        <w:rPr>
          <w:rFonts w:ascii="Times New Roman" w:eastAsia="Times New Roman" w:hAnsi="Times New Roman" w:cs="Times New Roman"/>
          <w:sz w:val="28"/>
          <w:szCs w:val="28"/>
          <w:lang w:eastAsia="ru-RU"/>
        </w:rPr>
        <w:t xml:space="preserve">Прибыль по итогам 2016 г. среди кредитных организаций, раскрывающих свою отчетность на сайте Банка России, в совокупном размере 1,05 трлн. рублей получили 442 кредитные организации. При этом отрицательный финансовый результат в размере минус 258 млрд. рублей продемонстрировали 163 кредитных учреждения. </w:t>
      </w:r>
    </w:p>
    <w:p w:rsidR="002D5659" w:rsidRPr="002D5659" w:rsidRDefault="002D5659" w:rsidP="002D5659">
      <w:pPr>
        <w:widowControl w:val="0"/>
        <w:spacing w:after="0" w:line="240" w:lineRule="auto"/>
        <w:ind w:firstLine="709"/>
        <w:jc w:val="both"/>
        <w:rPr>
          <w:rFonts w:ascii="Times New Roman" w:eastAsia="Times New Roman" w:hAnsi="Times New Roman" w:cs="Times New Roman"/>
          <w:sz w:val="28"/>
          <w:szCs w:val="28"/>
          <w:lang w:eastAsia="ru-RU"/>
        </w:rPr>
      </w:pPr>
      <w:r w:rsidRPr="002D5659">
        <w:rPr>
          <w:rFonts w:ascii="Times New Roman" w:eastAsia="Times New Roman" w:hAnsi="Times New Roman" w:cs="Times New Roman"/>
          <w:sz w:val="28"/>
          <w:szCs w:val="28"/>
          <w:lang w:eastAsia="ru-RU"/>
        </w:rPr>
        <w:t>Таким образом, выделяется группа успешных банков, активно наращивающих прибыль, и банков проблемных, убытки от деятельности которых продолжают расти.</w:t>
      </w:r>
    </w:p>
    <w:p w:rsidR="002D5659" w:rsidRPr="002D5659" w:rsidRDefault="002D5659" w:rsidP="002D5659">
      <w:pPr>
        <w:widowControl w:val="0"/>
        <w:spacing w:after="0" w:line="240" w:lineRule="auto"/>
        <w:ind w:firstLine="709"/>
        <w:jc w:val="both"/>
        <w:rPr>
          <w:rFonts w:ascii="Times New Roman" w:eastAsia="Times New Roman" w:hAnsi="Times New Roman" w:cs="Times New Roman"/>
          <w:sz w:val="28"/>
          <w:szCs w:val="28"/>
          <w:lang w:eastAsia="ru-RU"/>
        </w:rPr>
      </w:pPr>
      <w:r w:rsidRPr="002D5659">
        <w:rPr>
          <w:rFonts w:ascii="Times New Roman" w:eastAsia="Times New Roman" w:hAnsi="Times New Roman" w:cs="Times New Roman"/>
          <w:sz w:val="28"/>
          <w:szCs w:val="28"/>
          <w:lang w:eastAsia="ru-RU"/>
        </w:rPr>
        <w:t>Максимальную прибыль в абсолютном выражении по итогам минувшего года заработали следующие кредитные организации: Сбербанк России (517,0 млрд. рублей), Газпромбанк (109,7 млрд. рублей), ВТБ Банк Москвы (70 млрд. рублей), ВТБ 24 (43,1 млрд. рублей) и Райффайзенбанк (23,9 млрд. рублей) (табл. 1) [5].</w:t>
      </w:r>
    </w:p>
    <w:p w:rsidR="002D5659" w:rsidRPr="002D5659" w:rsidRDefault="002D5659" w:rsidP="002D5659">
      <w:pPr>
        <w:widowControl w:val="0"/>
        <w:spacing w:after="0" w:line="240" w:lineRule="auto"/>
        <w:ind w:firstLine="709"/>
        <w:jc w:val="right"/>
        <w:rPr>
          <w:rFonts w:ascii="Times New Roman" w:eastAsia="Times New Roman" w:hAnsi="Times New Roman" w:cs="Times New Roman"/>
          <w:sz w:val="28"/>
          <w:szCs w:val="28"/>
          <w:lang w:eastAsia="ru-RU"/>
        </w:rPr>
      </w:pPr>
      <w:r w:rsidRPr="002D5659">
        <w:rPr>
          <w:rFonts w:ascii="Times New Roman" w:eastAsia="Times New Roman" w:hAnsi="Times New Roman" w:cs="Times New Roman"/>
          <w:sz w:val="28"/>
          <w:szCs w:val="28"/>
          <w:lang w:eastAsia="ru-RU"/>
        </w:rPr>
        <w:t xml:space="preserve">Таблица 1 </w:t>
      </w:r>
    </w:p>
    <w:p w:rsidR="002D5659" w:rsidRPr="002D5659" w:rsidRDefault="002D5659" w:rsidP="002D5659">
      <w:pPr>
        <w:widowControl w:val="0"/>
        <w:spacing w:after="0" w:line="240" w:lineRule="auto"/>
        <w:ind w:firstLine="709"/>
        <w:jc w:val="center"/>
        <w:rPr>
          <w:rFonts w:ascii="Times New Roman" w:eastAsia="Times New Roman" w:hAnsi="Times New Roman" w:cs="Times New Roman"/>
          <w:sz w:val="28"/>
          <w:szCs w:val="28"/>
          <w:lang w:eastAsia="ru-RU"/>
        </w:rPr>
      </w:pPr>
      <w:r w:rsidRPr="002D5659">
        <w:rPr>
          <w:rFonts w:ascii="Times New Roman" w:eastAsia="Times New Roman" w:hAnsi="Times New Roman" w:cs="Times New Roman"/>
          <w:sz w:val="28"/>
          <w:szCs w:val="28"/>
          <w:lang w:eastAsia="ru-RU"/>
        </w:rPr>
        <w:t>Рейтинг десяти самых прибыльных банков России</w:t>
      </w:r>
    </w:p>
    <w:tbl>
      <w:tblPr>
        <w:tblW w:w="9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
        <w:gridCol w:w="2510"/>
        <w:gridCol w:w="1730"/>
        <w:gridCol w:w="1928"/>
        <w:gridCol w:w="1558"/>
        <w:gridCol w:w="1377"/>
      </w:tblGrid>
      <w:tr w:rsidR="002D5659" w:rsidRPr="002D5659" w:rsidTr="00DC10B6">
        <w:trPr>
          <w:trHeight w:val="306"/>
          <w:jc w:val="center"/>
        </w:trPr>
        <w:tc>
          <w:tcPr>
            <w:tcW w:w="496" w:type="dxa"/>
            <w:shd w:val="clear" w:color="auto" w:fill="auto"/>
            <w:noWrap/>
            <w:vAlign w:val="center"/>
            <w:hideMark/>
          </w:tcPr>
          <w:p w:rsidR="002D5659" w:rsidRPr="002D5659" w:rsidRDefault="002D5659" w:rsidP="002D5659">
            <w:pPr>
              <w:widowControl w:val="0"/>
              <w:spacing w:after="0" w:line="240" w:lineRule="auto"/>
              <w:jc w:val="center"/>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lastRenderedPageBreak/>
              <w:t>№</w:t>
            </w:r>
          </w:p>
        </w:tc>
        <w:tc>
          <w:tcPr>
            <w:tcW w:w="2510" w:type="dxa"/>
            <w:shd w:val="clear" w:color="auto" w:fill="auto"/>
            <w:noWrap/>
            <w:vAlign w:val="center"/>
            <w:hideMark/>
          </w:tcPr>
          <w:p w:rsidR="002D5659" w:rsidRPr="002D5659" w:rsidRDefault="002D5659" w:rsidP="002D5659">
            <w:pPr>
              <w:widowControl w:val="0"/>
              <w:spacing w:after="0" w:line="240" w:lineRule="auto"/>
              <w:jc w:val="center"/>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Название банка</w:t>
            </w:r>
          </w:p>
        </w:tc>
        <w:tc>
          <w:tcPr>
            <w:tcW w:w="1730" w:type="dxa"/>
            <w:shd w:val="clear" w:color="auto" w:fill="auto"/>
            <w:noWrap/>
            <w:vAlign w:val="center"/>
            <w:hideMark/>
          </w:tcPr>
          <w:p w:rsidR="002D5659" w:rsidRPr="002D5659" w:rsidRDefault="002D5659" w:rsidP="002D5659">
            <w:pPr>
              <w:widowControl w:val="0"/>
              <w:spacing w:after="0" w:line="240" w:lineRule="auto"/>
              <w:jc w:val="center"/>
              <w:rPr>
                <w:rFonts w:ascii="Times New Roman" w:eastAsia="Times New Roman" w:hAnsi="Times New Roman" w:cs="Times New Roman"/>
                <w:sz w:val="24"/>
                <w:szCs w:val="24"/>
                <w:lang w:eastAsia="ru-RU"/>
              </w:rPr>
            </w:pPr>
            <w:r w:rsidRPr="002D5659">
              <w:rPr>
                <w:rFonts w:ascii="Times New Roman" w:eastAsia="Times New Roman" w:hAnsi="Times New Roman" w:cs="Times New Roman"/>
                <w:spacing w:val="-6"/>
                <w:sz w:val="24"/>
                <w:szCs w:val="24"/>
                <w:lang w:eastAsia="ru-RU"/>
              </w:rPr>
              <w:t>01.01.2017 г.,</w:t>
            </w:r>
            <w:r w:rsidRPr="002D5659">
              <w:rPr>
                <w:rFonts w:ascii="Times New Roman" w:eastAsia="Times New Roman" w:hAnsi="Times New Roman" w:cs="Times New Roman"/>
                <w:sz w:val="24"/>
                <w:szCs w:val="24"/>
                <w:lang w:eastAsia="ru-RU"/>
              </w:rPr>
              <w:t xml:space="preserve"> млн. руб.</w:t>
            </w:r>
          </w:p>
        </w:tc>
        <w:tc>
          <w:tcPr>
            <w:tcW w:w="1928" w:type="dxa"/>
            <w:shd w:val="clear" w:color="auto" w:fill="auto"/>
            <w:noWrap/>
            <w:vAlign w:val="center"/>
            <w:hideMark/>
          </w:tcPr>
          <w:p w:rsidR="002D5659" w:rsidRPr="002D5659" w:rsidRDefault="002D5659" w:rsidP="002D5659">
            <w:pPr>
              <w:widowControl w:val="0"/>
              <w:spacing w:after="0" w:line="240" w:lineRule="auto"/>
              <w:jc w:val="center"/>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01.01.2016 г., млн. руб.</w:t>
            </w:r>
          </w:p>
        </w:tc>
        <w:tc>
          <w:tcPr>
            <w:tcW w:w="1558" w:type="dxa"/>
            <w:shd w:val="clear" w:color="auto" w:fill="auto"/>
            <w:noWrap/>
            <w:vAlign w:val="center"/>
            <w:hideMark/>
          </w:tcPr>
          <w:p w:rsidR="002D5659" w:rsidRPr="002D5659" w:rsidRDefault="002D5659" w:rsidP="002D5659">
            <w:pPr>
              <w:widowControl w:val="0"/>
              <w:spacing w:after="0" w:line="240" w:lineRule="auto"/>
              <w:jc w:val="center"/>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w:t>
            </w:r>
          </w:p>
          <w:p w:rsidR="002D5659" w:rsidRPr="002D5659" w:rsidRDefault="002D5659" w:rsidP="002D5659">
            <w:pPr>
              <w:widowControl w:val="0"/>
              <w:spacing w:after="0" w:line="240" w:lineRule="auto"/>
              <w:jc w:val="center"/>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млн. руб.</w:t>
            </w:r>
          </w:p>
        </w:tc>
        <w:tc>
          <w:tcPr>
            <w:tcW w:w="1377" w:type="dxa"/>
            <w:shd w:val="clear" w:color="auto" w:fill="auto"/>
            <w:noWrap/>
            <w:vAlign w:val="center"/>
            <w:hideMark/>
          </w:tcPr>
          <w:p w:rsidR="002D5659" w:rsidRPr="002D5659" w:rsidRDefault="002D5659" w:rsidP="002D5659">
            <w:pPr>
              <w:widowControl w:val="0"/>
              <w:spacing w:after="0" w:line="240" w:lineRule="auto"/>
              <w:jc w:val="center"/>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Темп прироста, %</w:t>
            </w:r>
          </w:p>
        </w:tc>
      </w:tr>
      <w:tr w:rsidR="002D5659" w:rsidRPr="002D5659" w:rsidTr="00DC10B6">
        <w:trPr>
          <w:trHeight w:val="306"/>
          <w:jc w:val="center"/>
        </w:trPr>
        <w:tc>
          <w:tcPr>
            <w:tcW w:w="496"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1</w:t>
            </w:r>
          </w:p>
        </w:tc>
        <w:tc>
          <w:tcPr>
            <w:tcW w:w="2510" w:type="dxa"/>
            <w:shd w:val="clear" w:color="auto" w:fill="auto"/>
            <w:noWrap/>
            <w:vAlign w:val="center"/>
            <w:hideMark/>
          </w:tcPr>
          <w:p w:rsidR="002D5659" w:rsidRPr="002D5659" w:rsidRDefault="002D5659" w:rsidP="002D5659">
            <w:pPr>
              <w:widowControl w:val="0"/>
              <w:spacing w:after="0" w:line="240" w:lineRule="auto"/>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Сбербанк России</w:t>
            </w:r>
          </w:p>
        </w:tc>
        <w:tc>
          <w:tcPr>
            <w:tcW w:w="1730"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516 987,00</w:t>
            </w:r>
          </w:p>
        </w:tc>
        <w:tc>
          <w:tcPr>
            <w:tcW w:w="1928"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236 256,00</w:t>
            </w:r>
          </w:p>
        </w:tc>
        <w:tc>
          <w:tcPr>
            <w:tcW w:w="1558"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280 731,00</w:t>
            </w:r>
          </w:p>
        </w:tc>
        <w:tc>
          <w:tcPr>
            <w:tcW w:w="1377"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118,83</w:t>
            </w:r>
          </w:p>
        </w:tc>
      </w:tr>
      <w:tr w:rsidR="002D5659" w:rsidRPr="002D5659" w:rsidTr="00DC10B6">
        <w:trPr>
          <w:trHeight w:val="306"/>
          <w:jc w:val="center"/>
        </w:trPr>
        <w:tc>
          <w:tcPr>
            <w:tcW w:w="496"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2</w:t>
            </w:r>
          </w:p>
        </w:tc>
        <w:tc>
          <w:tcPr>
            <w:tcW w:w="2510" w:type="dxa"/>
            <w:shd w:val="clear" w:color="auto" w:fill="auto"/>
            <w:noWrap/>
            <w:vAlign w:val="center"/>
            <w:hideMark/>
          </w:tcPr>
          <w:p w:rsidR="002D5659" w:rsidRPr="002D5659" w:rsidRDefault="002D5659" w:rsidP="002D5659">
            <w:pPr>
              <w:widowControl w:val="0"/>
              <w:spacing w:after="0" w:line="240" w:lineRule="auto"/>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Газпромбанк</w:t>
            </w:r>
          </w:p>
        </w:tc>
        <w:tc>
          <w:tcPr>
            <w:tcW w:w="1730"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109 685,00</w:t>
            </w:r>
          </w:p>
        </w:tc>
        <w:tc>
          <w:tcPr>
            <w:tcW w:w="1928"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-34 365,00</w:t>
            </w:r>
          </w:p>
        </w:tc>
        <w:tc>
          <w:tcPr>
            <w:tcW w:w="1558"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144 050,00</w:t>
            </w:r>
          </w:p>
        </w:tc>
        <w:tc>
          <w:tcPr>
            <w:tcW w:w="1377"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в 4,2 раза</w:t>
            </w:r>
          </w:p>
        </w:tc>
      </w:tr>
      <w:tr w:rsidR="002D5659" w:rsidRPr="002D5659" w:rsidTr="00DC10B6">
        <w:trPr>
          <w:trHeight w:val="306"/>
          <w:jc w:val="center"/>
        </w:trPr>
        <w:tc>
          <w:tcPr>
            <w:tcW w:w="496"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3</w:t>
            </w:r>
          </w:p>
        </w:tc>
        <w:tc>
          <w:tcPr>
            <w:tcW w:w="2510" w:type="dxa"/>
            <w:shd w:val="clear" w:color="auto" w:fill="auto"/>
            <w:noWrap/>
            <w:vAlign w:val="center"/>
            <w:hideMark/>
          </w:tcPr>
          <w:p w:rsidR="002D5659" w:rsidRPr="002D5659" w:rsidRDefault="002D5659" w:rsidP="002D5659">
            <w:pPr>
              <w:widowControl w:val="0"/>
              <w:spacing w:after="0" w:line="240" w:lineRule="auto"/>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ВТБ Банк Москвы</w:t>
            </w:r>
          </w:p>
        </w:tc>
        <w:tc>
          <w:tcPr>
            <w:tcW w:w="1730"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70 006,00</w:t>
            </w:r>
          </w:p>
        </w:tc>
        <w:tc>
          <w:tcPr>
            <w:tcW w:w="1928"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48 580,00</w:t>
            </w:r>
          </w:p>
        </w:tc>
        <w:tc>
          <w:tcPr>
            <w:tcW w:w="1558"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21 425,00</w:t>
            </w:r>
          </w:p>
        </w:tc>
        <w:tc>
          <w:tcPr>
            <w:tcW w:w="1377"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44,1</w:t>
            </w:r>
          </w:p>
        </w:tc>
      </w:tr>
      <w:tr w:rsidR="002D5659" w:rsidRPr="002D5659" w:rsidTr="00DC10B6">
        <w:trPr>
          <w:trHeight w:val="306"/>
          <w:jc w:val="center"/>
        </w:trPr>
        <w:tc>
          <w:tcPr>
            <w:tcW w:w="496"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4</w:t>
            </w:r>
          </w:p>
        </w:tc>
        <w:tc>
          <w:tcPr>
            <w:tcW w:w="2510" w:type="dxa"/>
            <w:shd w:val="clear" w:color="auto" w:fill="auto"/>
            <w:noWrap/>
            <w:vAlign w:val="center"/>
            <w:hideMark/>
          </w:tcPr>
          <w:p w:rsidR="002D5659" w:rsidRPr="002D5659" w:rsidRDefault="002D5659" w:rsidP="002D5659">
            <w:pPr>
              <w:widowControl w:val="0"/>
              <w:spacing w:after="0" w:line="240" w:lineRule="auto"/>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ВТБ 24</w:t>
            </w:r>
          </w:p>
        </w:tc>
        <w:tc>
          <w:tcPr>
            <w:tcW w:w="1730"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43 126,00</w:t>
            </w:r>
          </w:p>
        </w:tc>
        <w:tc>
          <w:tcPr>
            <w:tcW w:w="1928"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461,00</w:t>
            </w:r>
          </w:p>
        </w:tc>
        <w:tc>
          <w:tcPr>
            <w:tcW w:w="1558"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42 664,00</w:t>
            </w:r>
          </w:p>
        </w:tc>
        <w:tc>
          <w:tcPr>
            <w:tcW w:w="1377"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в 92,5раза</w:t>
            </w:r>
          </w:p>
        </w:tc>
      </w:tr>
      <w:tr w:rsidR="002D5659" w:rsidRPr="002D5659" w:rsidTr="00DC10B6">
        <w:trPr>
          <w:trHeight w:val="306"/>
          <w:jc w:val="center"/>
        </w:trPr>
        <w:tc>
          <w:tcPr>
            <w:tcW w:w="496"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5</w:t>
            </w:r>
          </w:p>
        </w:tc>
        <w:tc>
          <w:tcPr>
            <w:tcW w:w="2510" w:type="dxa"/>
            <w:shd w:val="clear" w:color="auto" w:fill="auto"/>
            <w:noWrap/>
            <w:vAlign w:val="center"/>
            <w:hideMark/>
          </w:tcPr>
          <w:p w:rsidR="002D5659" w:rsidRPr="002D5659" w:rsidRDefault="002D5659" w:rsidP="002D5659">
            <w:pPr>
              <w:widowControl w:val="0"/>
              <w:spacing w:after="0" w:line="240" w:lineRule="auto"/>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Райффайзенбанк</w:t>
            </w:r>
          </w:p>
        </w:tc>
        <w:tc>
          <w:tcPr>
            <w:tcW w:w="1730"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23 933,00</w:t>
            </w:r>
          </w:p>
        </w:tc>
        <w:tc>
          <w:tcPr>
            <w:tcW w:w="1928"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20 139,00</w:t>
            </w:r>
          </w:p>
        </w:tc>
        <w:tc>
          <w:tcPr>
            <w:tcW w:w="1558"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3 794,00</w:t>
            </w:r>
          </w:p>
        </w:tc>
        <w:tc>
          <w:tcPr>
            <w:tcW w:w="1377"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18,84</w:t>
            </w:r>
          </w:p>
        </w:tc>
      </w:tr>
      <w:tr w:rsidR="002D5659" w:rsidRPr="002D5659" w:rsidTr="00DC10B6">
        <w:trPr>
          <w:trHeight w:val="306"/>
          <w:jc w:val="center"/>
        </w:trPr>
        <w:tc>
          <w:tcPr>
            <w:tcW w:w="496"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6</w:t>
            </w:r>
          </w:p>
        </w:tc>
        <w:tc>
          <w:tcPr>
            <w:tcW w:w="2510" w:type="dxa"/>
            <w:shd w:val="clear" w:color="auto" w:fill="auto"/>
            <w:noWrap/>
            <w:vAlign w:val="center"/>
            <w:hideMark/>
          </w:tcPr>
          <w:p w:rsidR="002D5659" w:rsidRPr="002D5659" w:rsidRDefault="002D5659" w:rsidP="002D5659">
            <w:pPr>
              <w:widowControl w:val="0"/>
              <w:spacing w:after="0" w:line="240" w:lineRule="auto"/>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Национальный Клиринговый Центр</w:t>
            </w:r>
          </w:p>
        </w:tc>
        <w:tc>
          <w:tcPr>
            <w:tcW w:w="1730"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20 658,00</w:t>
            </w:r>
          </w:p>
        </w:tc>
        <w:tc>
          <w:tcPr>
            <w:tcW w:w="1928"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22 776,00</w:t>
            </w:r>
          </w:p>
        </w:tc>
        <w:tc>
          <w:tcPr>
            <w:tcW w:w="1558"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-2 118,00</w:t>
            </w:r>
          </w:p>
        </w:tc>
        <w:tc>
          <w:tcPr>
            <w:tcW w:w="1377"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-9,3</w:t>
            </w:r>
          </w:p>
        </w:tc>
      </w:tr>
      <w:tr w:rsidR="002D5659" w:rsidRPr="002D5659" w:rsidTr="00DC10B6">
        <w:trPr>
          <w:trHeight w:val="306"/>
          <w:jc w:val="center"/>
        </w:trPr>
        <w:tc>
          <w:tcPr>
            <w:tcW w:w="496"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7</w:t>
            </w:r>
          </w:p>
        </w:tc>
        <w:tc>
          <w:tcPr>
            <w:tcW w:w="2510" w:type="dxa"/>
            <w:shd w:val="clear" w:color="auto" w:fill="auto"/>
            <w:noWrap/>
            <w:vAlign w:val="center"/>
            <w:hideMark/>
          </w:tcPr>
          <w:p w:rsidR="002D5659" w:rsidRPr="002D5659" w:rsidRDefault="002D5659" w:rsidP="002D5659">
            <w:pPr>
              <w:widowControl w:val="0"/>
              <w:spacing w:after="0" w:line="240" w:lineRule="auto"/>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ЮниКредит Банк</w:t>
            </w:r>
          </w:p>
        </w:tc>
        <w:tc>
          <w:tcPr>
            <w:tcW w:w="1730"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16 655 ,00</w:t>
            </w:r>
          </w:p>
        </w:tc>
        <w:tc>
          <w:tcPr>
            <w:tcW w:w="1928"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6 003,00</w:t>
            </w:r>
          </w:p>
        </w:tc>
        <w:tc>
          <w:tcPr>
            <w:tcW w:w="1558"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10 651,00</w:t>
            </w:r>
          </w:p>
        </w:tc>
        <w:tc>
          <w:tcPr>
            <w:tcW w:w="1377"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177,44</w:t>
            </w:r>
          </w:p>
        </w:tc>
      </w:tr>
      <w:tr w:rsidR="002D5659" w:rsidRPr="002D5659" w:rsidTr="00DC10B6">
        <w:trPr>
          <w:trHeight w:val="306"/>
          <w:jc w:val="center"/>
        </w:trPr>
        <w:tc>
          <w:tcPr>
            <w:tcW w:w="496"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8</w:t>
            </w:r>
          </w:p>
        </w:tc>
        <w:tc>
          <w:tcPr>
            <w:tcW w:w="2510" w:type="dxa"/>
            <w:shd w:val="clear" w:color="auto" w:fill="auto"/>
            <w:noWrap/>
            <w:vAlign w:val="center"/>
            <w:hideMark/>
          </w:tcPr>
          <w:p w:rsidR="002D5659" w:rsidRPr="002D5659" w:rsidRDefault="002D5659" w:rsidP="002D5659">
            <w:pPr>
              <w:widowControl w:val="0"/>
              <w:spacing w:after="0" w:line="240" w:lineRule="auto"/>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Совкомбанк</w:t>
            </w:r>
          </w:p>
        </w:tc>
        <w:tc>
          <w:tcPr>
            <w:tcW w:w="1730"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16 649,00</w:t>
            </w:r>
          </w:p>
        </w:tc>
        <w:tc>
          <w:tcPr>
            <w:tcW w:w="1928"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11 112,00</w:t>
            </w:r>
          </w:p>
        </w:tc>
        <w:tc>
          <w:tcPr>
            <w:tcW w:w="1558"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5 537,00</w:t>
            </w:r>
          </w:p>
        </w:tc>
        <w:tc>
          <w:tcPr>
            <w:tcW w:w="1377"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49,83</w:t>
            </w:r>
          </w:p>
        </w:tc>
      </w:tr>
      <w:tr w:rsidR="002D5659" w:rsidRPr="002D5659" w:rsidTr="00DC10B6">
        <w:trPr>
          <w:trHeight w:val="306"/>
          <w:jc w:val="center"/>
        </w:trPr>
        <w:tc>
          <w:tcPr>
            <w:tcW w:w="496"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9</w:t>
            </w:r>
          </w:p>
        </w:tc>
        <w:tc>
          <w:tcPr>
            <w:tcW w:w="2510" w:type="dxa"/>
            <w:shd w:val="clear" w:color="auto" w:fill="auto"/>
            <w:noWrap/>
            <w:vAlign w:val="center"/>
            <w:hideMark/>
          </w:tcPr>
          <w:p w:rsidR="002D5659" w:rsidRPr="002D5659" w:rsidRDefault="002D5659" w:rsidP="002D5659">
            <w:pPr>
              <w:widowControl w:val="0"/>
              <w:spacing w:after="0" w:line="240" w:lineRule="auto"/>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ФК Открытие</w:t>
            </w:r>
          </w:p>
        </w:tc>
        <w:tc>
          <w:tcPr>
            <w:tcW w:w="1730"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14 150,00</w:t>
            </w:r>
          </w:p>
        </w:tc>
        <w:tc>
          <w:tcPr>
            <w:tcW w:w="1928"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2 282,00</w:t>
            </w:r>
          </w:p>
        </w:tc>
        <w:tc>
          <w:tcPr>
            <w:tcW w:w="1558"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11 867,00</w:t>
            </w:r>
          </w:p>
        </w:tc>
        <w:tc>
          <w:tcPr>
            <w:tcW w:w="1377"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в 5,2 раза</w:t>
            </w:r>
          </w:p>
        </w:tc>
      </w:tr>
      <w:tr w:rsidR="002D5659" w:rsidRPr="002D5659" w:rsidTr="00DC10B6">
        <w:trPr>
          <w:trHeight w:val="306"/>
          <w:jc w:val="center"/>
        </w:trPr>
        <w:tc>
          <w:tcPr>
            <w:tcW w:w="496"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10</w:t>
            </w:r>
          </w:p>
        </w:tc>
        <w:tc>
          <w:tcPr>
            <w:tcW w:w="2510" w:type="dxa"/>
            <w:shd w:val="clear" w:color="auto" w:fill="auto"/>
            <w:noWrap/>
            <w:vAlign w:val="center"/>
            <w:hideMark/>
          </w:tcPr>
          <w:p w:rsidR="002D5659" w:rsidRPr="002D5659" w:rsidRDefault="002D5659" w:rsidP="002D5659">
            <w:pPr>
              <w:widowControl w:val="0"/>
              <w:spacing w:after="0" w:line="240" w:lineRule="auto"/>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Бинбанк</w:t>
            </w:r>
          </w:p>
        </w:tc>
        <w:tc>
          <w:tcPr>
            <w:tcW w:w="1730"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12 901 ,00</w:t>
            </w:r>
          </w:p>
        </w:tc>
        <w:tc>
          <w:tcPr>
            <w:tcW w:w="1928"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4 546,00</w:t>
            </w:r>
          </w:p>
        </w:tc>
        <w:tc>
          <w:tcPr>
            <w:tcW w:w="1558"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8 355,00</w:t>
            </w:r>
          </w:p>
        </w:tc>
        <w:tc>
          <w:tcPr>
            <w:tcW w:w="1377" w:type="dxa"/>
            <w:shd w:val="clear" w:color="auto" w:fill="auto"/>
            <w:noWrap/>
            <w:vAlign w:val="center"/>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183,79</w:t>
            </w:r>
          </w:p>
        </w:tc>
      </w:tr>
    </w:tbl>
    <w:p w:rsidR="002D5659" w:rsidRPr="002D5659" w:rsidRDefault="002D5659" w:rsidP="002D5659">
      <w:pPr>
        <w:widowControl w:val="0"/>
        <w:spacing w:after="0" w:line="240" w:lineRule="auto"/>
        <w:ind w:firstLine="709"/>
        <w:jc w:val="both"/>
        <w:rPr>
          <w:rFonts w:ascii="Times New Roman" w:eastAsia="Times New Roman" w:hAnsi="Times New Roman" w:cs="Times New Roman"/>
          <w:sz w:val="28"/>
          <w:szCs w:val="28"/>
          <w:lang w:eastAsia="ru-RU"/>
        </w:rPr>
      </w:pPr>
      <w:r w:rsidRPr="002D5659">
        <w:rPr>
          <w:rFonts w:ascii="Times New Roman" w:eastAsia="Times New Roman" w:hAnsi="Times New Roman" w:cs="Times New Roman"/>
          <w:sz w:val="28"/>
          <w:szCs w:val="28"/>
          <w:lang w:eastAsia="ru-RU"/>
        </w:rPr>
        <w:t>Попавшие в рейтинг банки можно разделить на 3 группы:</w:t>
      </w:r>
    </w:p>
    <w:p w:rsidR="002D5659" w:rsidRPr="002D5659" w:rsidRDefault="002D5659" w:rsidP="002D5659">
      <w:pPr>
        <w:widowControl w:val="0"/>
        <w:spacing w:after="0" w:line="240" w:lineRule="auto"/>
        <w:ind w:firstLine="709"/>
        <w:jc w:val="both"/>
        <w:rPr>
          <w:rFonts w:ascii="Times New Roman" w:eastAsia="Times New Roman" w:hAnsi="Times New Roman" w:cs="Times New Roman"/>
          <w:sz w:val="28"/>
          <w:szCs w:val="28"/>
          <w:lang w:eastAsia="ru-RU"/>
        </w:rPr>
      </w:pPr>
      <w:r w:rsidRPr="002D5659">
        <w:rPr>
          <w:rFonts w:ascii="Times New Roman" w:eastAsia="Times New Roman" w:hAnsi="Times New Roman" w:cs="Times New Roman"/>
          <w:sz w:val="28"/>
          <w:szCs w:val="28"/>
          <w:lang w:eastAsia="ru-RU"/>
        </w:rPr>
        <w:t>1) «Госбанки» – это Сбербанк, ВТБ, ВТБ 24 и Газпромбанк. Их прибыль во многом сформирована доходами от «классического» банковского бизнеса – кредитования клиентов, расчётно-кассового обслуживания, ценных бумаг и др.</w:t>
      </w:r>
    </w:p>
    <w:p w:rsidR="002D5659" w:rsidRPr="002D5659" w:rsidRDefault="002D5659" w:rsidP="002D5659">
      <w:pPr>
        <w:widowControl w:val="0"/>
        <w:spacing w:after="0" w:line="240" w:lineRule="auto"/>
        <w:ind w:firstLine="709"/>
        <w:jc w:val="both"/>
        <w:rPr>
          <w:rFonts w:ascii="Times New Roman" w:eastAsia="Times New Roman" w:hAnsi="Times New Roman" w:cs="Times New Roman"/>
          <w:sz w:val="28"/>
          <w:szCs w:val="28"/>
          <w:lang w:eastAsia="ru-RU"/>
        </w:rPr>
      </w:pPr>
      <w:r w:rsidRPr="002D5659">
        <w:rPr>
          <w:rFonts w:ascii="Times New Roman" w:eastAsia="Times New Roman" w:hAnsi="Times New Roman" w:cs="Times New Roman"/>
          <w:sz w:val="28"/>
          <w:szCs w:val="28"/>
          <w:lang w:eastAsia="ru-RU"/>
        </w:rPr>
        <w:t xml:space="preserve">Сбербанк генерирует самую крупную прибыль. Его показатели по сравнению с январем 2016 г.  улучшились на 118,8%. Сбербанк продолжает наращивать прибыль, благодаря резкому снижению ставок по вкладам населения и депозитам юридических лиц. На рост процентных доходов банка повлияло, в том числе, ипотечное кредитование, так как Сбербанк занимает большую долю рынка в этом сегменте, а также субсидирование ипотечных ставок государством. </w:t>
      </w:r>
    </w:p>
    <w:p w:rsidR="002D5659" w:rsidRPr="002D5659" w:rsidRDefault="002D5659" w:rsidP="002D5659">
      <w:pPr>
        <w:widowControl w:val="0"/>
        <w:spacing w:after="0" w:line="240" w:lineRule="auto"/>
        <w:ind w:firstLine="709"/>
        <w:jc w:val="both"/>
        <w:rPr>
          <w:rFonts w:ascii="Times New Roman" w:eastAsia="Times New Roman" w:hAnsi="Times New Roman" w:cs="Times New Roman"/>
          <w:sz w:val="28"/>
          <w:szCs w:val="28"/>
          <w:lang w:eastAsia="ru-RU"/>
        </w:rPr>
      </w:pPr>
      <w:r w:rsidRPr="002D5659">
        <w:rPr>
          <w:rFonts w:ascii="Times New Roman" w:eastAsia="Times New Roman" w:hAnsi="Times New Roman" w:cs="Times New Roman"/>
          <w:sz w:val="28"/>
          <w:szCs w:val="28"/>
          <w:lang w:eastAsia="ru-RU"/>
        </w:rPr>
        <w:t>Вторым по абсолютному объему прибыли стал с заметным отрывом Газпромбанк, который за год заработал 109 млрд. рублей. Хорошая прибыль прошедшего года контрастирует с убытком в объеме 34 млрд. рублей в 2015 г., тогда Газпромбанк также был одним из лидеров, но только по объему отрицательного финансового результата.</w:t>
      </w:r>
    </w:p>
    <w:p w:rsidR="002D5659" w:rsidRPr="002D5659" w:rsidRDefault="002D5659" w:rsidP="002D5659">
      <w:pPr>
        <w:widowControl w:val="0"/>
        <w:spacing w:after="0" w:line="240" w:lineRule="auto"/>
        <w:ind w:firstLine="709"/>
        <w:jc w:val="both"/>
        <w:rPr>
          <w:rFonts w:ascii="Times New Roman" w:eastAsia="Times New Roman" w:hAnsi="Times New Roman" w:cs="Times New Roman"/>
          <w:sz w:val="28"/>
          <w:szCs w:val="28"/>
          <w:lang w:eastAsia="ru-RU"/>
        </w:rPr>
      </w:pPr>
      <w:r w:rsidRPr="002D5659">
        <w:rPr>
          <w:rFonts w:ascii="Times New Roman" w:eastAsia="Times New Roman" w:hAnsi="Times New Roman" w:cs="Times New Roman"/>
          <w:sz w:val="28"/>
          <w:szCs w:val="28"/>
          <w:lang w:eastAsia="ru-RU"/>
        </w:rPr>
        <w:t>Третьим по объему прибыли в 2016 г. стал Банк ВТБ (70 млрд. рублей), в 2015 г. данный банк также был третьим по прибыли.</w:t>
      </w:r>
    </w:p>
    <w:p w:rsidR="002D5659" w:rsidRPr="002D5659" w:rsidRDefault="002D5659" w:rsidP="002D5659">
      <w:pPr>
        <w:widowControl w:val="0"/>
        <w:spacing w:after="0" w:line="240" w:lineRule="auto"/>
        <w:ind w:firstLine="709"/>
        <w:jc w:val="both"/>
        <w:rPr>
          <w:rFonts w:ascii="Times New Roman" w:eastAsia="Times New Roman" w:hAnsi="Times New Roman" w:cs="Times New Roman"/>
          <w:sz w:val="28"/>
          <w:szCs w:val="28"/>
          <w:lang w:eastAsia="ru-RU"/>
        </w:rPr>
      </w:pPr>
      <w:r w:rsidRPr="002D5659">
        <w:rPr>
          <w:rFonts w:ascii="Times New Roman" w:eastAsia="Times New Roman" w:hAnsi="Times New Roman" w:cs="Times New Roman"/>
          <w:sz w:val="28"/>
          <w:szCs w:val="28"/>
          <w:lang w:eastAsia="ru-RU"/>
        </w:rPr>
        <w:t>2) Иностранные банки</w:t>
      </w:r>
      <w:r w:rsidRPr="002D5659">
        <w:rPr>
          <w:rFonts w:ascii="Times New Roman" w:eastAsia="Times New Roman" w:hAnsi="Times New Roman" w:cs="Times New Roman"/>
          <w:b/>
          <w:sz w:val="28"/>
          <w:szCs w:val="28"/>
          <w:lang w:eastAsia="ru-RU"/>
        </w:rPr>
        <w:t>.</w:t>
      </w:r>
      <w:r w:rsidRPr="002D5659">
        <w:rPr>
          <w:rFonts w:ascii="Times New Roman" w:eastAsia="Times New Roman" w:hAnsi="Times New Roman" w:cs="Times New Roman"/>
          <w:sz w:val="28"/>
          <w:szCs w:val="28"/>
          <w:lang w:eastAsia="ru-RU"/>
        </w:rPr>
        <w:t xml:space="preserve"> Среди прибыльных банков, попавших в рейтинг, немалую долю составляют дочерние организации иностранных банков. Лучший результат среди них показал Райффайзенбанк, заработавший почти 24 млрд рублей (прирост составил 18,8% по сравнению с аналогичным периодом прошлого года). В этом банке помимо стандартных процентных и комиссионных банковских доходов, большая доля приходится на доходы от операций с производными финансовыми инструментами. Несмотря на зарубежные корни, Центральный Банк РФ относит Райффайзенбанк к системно значимым кредитным организациям, наряду с Юникредит банком, Росбанком.</w:t>
      </w:r>
    </w:p>
    <w:p w:rsidR="002D5659" w:rsidRPr="002D5659" w:rsidRDefault="002D5659" w:rsidP="002D5659">
      <w:pPr>
        <w:widowControl w:val="0"/>
        <w:spacing w:after="0" w:line="240" w:lineRule="auto"/>
        <w:ind w:firstLine="709"/>
        <w:jc w:val="both"/>
        <w:rPr>
          <w:rFonts w:ascii="Times New Roman" w:eastAsia="Times New Roman" w:hAnsi="Times New Roman" w:cs="Times New Roman"/>
          <w:sz w:val="28"/>
          <w:szCs w:val="28"/>
          <w:lang w:eastAsia="ru-RU"/>
        </w:rPr>
      </w:pPr>
      <w:r w:rsidRPr="002D5659">
        <w:rPr>
          <w:rFonts w:ascii="Times New Roman" w:eastAsia="Times New Roman" w:hAnsi="Times New Roman" w:cs="Times New Roman"/>
          <w:sz w:val="28"/>
          <w:szCs w:val="28"/>
          <w:lang w:eastAsia="ru-RU"/>
        </w:rPr>
        <w:t>3) Санируемые банки.  В рейтинг самых прибыльных банков попал банк, находящихся в процессе финансового оздоровления – это Бинбанк. Его финансовый результат увеличился за год почти в 2 раза или на 8355 млн. руб.</w:t>
      </w:r>
    </w:p>
    <w:p w:rsidR="002D5659" w:rsidRPr="002D5659" w:rsidRDefault="002D5659" w:rsidP="002D5659">
      <w:pPr>
        <w:widowControl w:val="0"/>
        <w:spacing w:after="0" w:line="240" w:lineRule="auto"/>
        <w:ind w:firstLine="709"/>
        <w:jc w:val="both"/>
        <w:rPr>
          <w:rFonts w:ascii="Times New Roman" w:eastAsia="Times New Roman" w:hAnsi="Times New Roman" w:cs="Times New Roman"/>
          <w:sz w:val="28"/>
          <w:szCs w:val="28"/>
          <w:lang w:eastAsia="ru-RU"/>
        </w:rPr>
      </w:pPr>
      <w:r w:rsidRPr="002D5659">
        <w:rPr>
          <w:rFonts w:ascii="Times New Roman" w:eastAsia="Times New Roman" w:hAnsi="Times New Roman" w:cs="Times New Roman"/>
          <w:sz w:val="28"/>
          <w:szCs w:val="28"/>
          <w:lang w:eastAsia="ru-RU"/>
        </w:rPr>
        <w:lastRenderedPageBreak/>
        <w:t xml:space="preserve">Несмотря на значительный рост в целом совокупного финансового результата банковского сектора РФ, по итогам года более четверти российских кредитных учреждений остаются убыточными (табл. 2) [3]. </w:t>
      </w:r>
    </w:p>
    <w:p w:rsidR="002D5659" w:rsidRPr="002D5659" w:rsidRDefault="002D5659" w:rsidP="002D5659">
      <w:pPr>
        <w:widowControl w:val="0"/>
        <w:spacing w:after="0" w:line="240" w:lineRule="auto"/>
        <w:ind w:firstLine="708"/>
        <w:jc w:val="both"/>
        <w:rPr>
          <w:rFonts w:ascii="Times New Roman" w:eastAsia="Times New Roman" w:hAnsi="Times New Roman" w:cs="Times New Roman"/>
          <w:sz w:val="28"/>
          <w:szCs w:val="28"/>
          <w:lang w:eastAsia="ru-RU"/>
        </w:rPr>
      </w:pPr>
      <w:r w:rsidRPr="002D5659">
        <w:rPr>
          <w:rFonts w:ascii="Times New Roman" w:eastAsia="Times New Roman" w:hAnsi="Times New Roman" w:cs="Times New Roman"/>
          <w:sz w:val="28"/>
          <w:szCs w:val="28"/>
          <w:lang w:eastAsia="ru-RU"/>
        </w:rPr>
        <w:t>Банки, попавшие в рейтинг самых убыточных банков, проходят процедуру финансового оздоровления, это – БМ-банк, Национальный банк Траст, Российский капитал и Рост банк.</w:t>
      </w:r>
    </w:p>
    <w:p w:rsidR="002D5659" w:rsidRPr="002D5659" w:rsidRDefault="002D5659" w:rsidP="002D5659">
      <w:pPr>
        <w:widowControl w:val="0"/>
        <w:spacing w:after="0" w:line="240" w:lineRule="auto"/>
        <w:ind w:firstLine="709"/>
        <w:jc w:val="both"/>
        <w:rPr>
          <w:rFonts w:ascii="Times New Roman" w:eastAsia="Times New Roman" w:hAnsi="Times New Roman" w:cs="Times New Roman"/>
          <w:sz w:val="28"/>
          <w:szCs w:val="28"/>
          <w:lang w:eastAsia="ru-RU"/>
        </w:rPr>
      </w:pPr>
      <w:r w:rsidRPr="002D5659">
        <w:rPr>
          <w:rFonts w:ascii="Times New Roman" w:eastAsia="Times New Roman" w:hAnsi="Times New Roman" w:cs="Times New Roman"/>
          <w:sz w:val="28"/>
          <w:szCs w:val="28"/>
          <w:lang w:eastAsia="ru-RU"/>
        </w:rPr>
        <w:t>Лидером по объему убытков в 2016г. среди банковстал уже санируемый БМ-Банк с результатом – 45,76  млрд. рублей.</w:t>
      </w:r>
    </w:p>
    <w:p w:rsidR="002D5659" w:rsidRPr="002D5659" w:rsidRDefault="002D5659" w:rsidP="002D5659">
      <w:pPr>
        <w:widowControl w:val="0"/>
        <w:spacing w:after="0" w:line="240" w:lineRule="auto"/>
        <w:ind w:firstLine="709"/>
        <w:jc w:val="both"/>
        <w:rPr>
          <w:rFonts w:ascii="Times New Roman" w:eastAsia="Times New Roman" w:hAnsi="Times New Roman" w:cs="Times New Roman"/>
          <w:sz w:val="28"/>
          <w:szCs w:val="28"/>
          <w:lang w:eastAsia="ru-RU"/>
        </w:rPr>
      </w:pPr>
      <w:r w:rsidRPr="002D5659">
        <w:rPr>
          <w:rFonts w:ascii="Times New Roman" w:eastAsia="Times New Roman" w:hAnsi="Times New Roman" w:cs="Times New Roman"/>
          <w:sz w:val="28"/>
          <w:szCs w:val="28"/>
          <w:lang w:eastAsia="ru-RU"/>
        </w:rPr>
        <w:t xml:space="preserve">Среди попавших в текущий рейтинг банков второе место по объему убытков в 2016 г. у Банка ЮГРА (32 млрд. рублей). Основной причиной столь провального года является ухудшение качества кредитного портфеля и соответственно рост резервов на возможные потери, а также убытки от операций с иностранной валютой. </w:t>
      </w:r>
    </w:p>
    <w:p w:rsidR="002D5659" w:rsidRPr="002D5659" w:rsidRDefault="002D5659" w:rsidP="002D5659">
      <w:pPr>
        <w:widowControl w:val="0"/>
        <w:spacing w:after="0" w:line="240" w:lineRule="auto"/>
        <w:ind w:firstLine="708"/>
        <w:jc w:val="both"/>
        <w:rPr>
          <w:rFonts w:ascii="Times New Roman" w:eastAsia="Times New Roman" w:hAnsi="Times New Roman" w:cs="Times New Roman"/>
          <w:sz w:val="28"/>
          <w:szCs w:val="28"/>
          <w:lang w:eastAsia="ru-RU"/>
        </w:rPr>
      </w:pPr>
      <w:r w:rsidRPr="002D5659">
        <w:rPr>
          <w:rFonts w:ascii="Times New Roman" w:eastAsia="Times New Roman" w:hAnsi="Times New Roman" w:cs="Times New Roman"/>
          <w:sz w:val="28"/>
          <w:szCs w:val="28"/>
          <w:lang w:eastAsia="ru-RU"/>
        </w:rPr>
        <w:t>Третьим по размеру убытка стал санируемый государством Глобэкс (29,5 млрд. рублей).</w:t>
      </w:r>
    </w:p>
    <w:p w:rsidR="002D5659" w:rsidRPr="002D5659" w:rsidRDefault="002D5659" w:rsidP="002D5659">
      <w:pPr>
        <w:widowControl w:val="0"/>
        <w:spacing w:after="0" w:line="240" w:lineRule="auto"/>
        <w:ind w:firstLine="708"/>
        <w:jc w:val="both"/>
        <w:rPr>
          <w:rFonts w:ascii="Times New Roman" w:eastAsia="Times New Roman" w:hAnsi="Times New Roman" w:cs="Times New Roman"/>
          <w:sz w:val="28"/>
          <w:szCs w:val="28"/>
          <w:lang w:eastAsia="ru-RU"/>
        </w:rPr>
      </w:pPr>
      <w:r w:rsidRPr="002D5659">
        <w:rPr>
          <w:rFonts w:ascii="Times New Roman" w:eastAsia="Times New Roman" w:hAnsi="Times New Roman" w:cs="Times New Roman"/>
          <w:sz w:val="28"/>
          <w:szCs w:val="28"/>
          <w:lang w:eastAsia="ru-RU"/>
        </w:rPr>
        <w:t>В целом у шести российских банков в 2016 г. уровень убытков был выше 10 миллиардов рублей.</w:t>
      </w:r>
    </w:p>
    <w:p w:rsidR="002D5659" w:rsidRPr="002D5659" w:rsidRDefault="002D5659" w:rsidP="002D5659">
      <w:pPr>
        <w:widowControl w:val="0"/>
        <w:spacing w:after="0" w:line="240" w:lineRule="auto"/>
        <w:ind w:firstLine="709"/>
        <w:jc w:val="right"/>
        <w:rPr>
          <w:rFonts w:ascii="Times New Roman" w:eastAsia="Times New Roman" w:hAnsi="Times New Roman" w:cs="Times New Roman"/>
          <w:sz w:val="28"/>
          <w:szCs w:val="28"/>
          <w:lang w:eastAsia="ru-RU"/>
        </w:rPr>
      </w:pPr>
    </w:p>
    <w:p w:rsidR="002D5659" w:rsidRPr="002D5659" w:rsidRDefault="002D5659" w:rsidP="002D5659">
      <w:pPr>
        <w:widowControl w:val="0"/>
        <w:spacing w:after="0" w:line="240" w:lineRule="auto"/>
        <w:ind w:firstLine="709"/>
        <w:jc w:val="right"/>
        <w:rPr>
          <w:rFonts w:ascii="Times New Roman" w:eastAsia="Times New Roman" w:hAnsi="Times New Roman" w:cs="Times New Roman"/>
          <w:sz w:val="28"/>
          <w:szCs w:val="28"/>
          <w:lang w:eastAsia="ru-RU"/>
        </w:rPr>
      </w:pPr>
      <w:r w:rsidRPr="002D5659">
        <w:rPr>
          <w:rFonts w:ascii="Times New Roman" w:eastAsia="Times New Roman" w:hAnsi="Times New Roman" w:cs="Times New Roman"/>
          <w:sz w:val="28"/>
          <w:szCs w:val="28"/>
          <w:lang w:eastAsia="ru-RU"/>
        </w:rPr>
        <w:t>Таблица 2</w:t>
      </w:r>
    </w:p>
    <w:p w:rsidR="002D5659" w:rsidRPr="002D5659" w:rsidRDefault="002D5659" w:rsidP="002D5659">
      <w:pPr>
        <w:widowControl w:val="0"/>
        <w:spacing w:after="0" w:line="240" w:lineRule="auto"/>
        <w:ind w:firstLine="709"/>
        <w:jc w:val="center"/>
        <w:rPr>
          <w:rFonts w:ascii="Times New Roman" w:eastAsia="Times New Roman" w:hAnsi="Times New Roman" w:cs="Times New Roman"/>
          <w:sz w:val="28"/>
          <w:szCs w:val="28"/>
          <w:lang w:eastAsia="ru-RU"/>
        </w:rPr>
      </w:pPr>
      <w:r w:rsidRPr="002D5659">
        <w:rPr>
          <w:rFonts w:ascii="Times New Roman" w:eastAsia="Times New Roman" w:hAnsi="Times New Roman" w:cs="Times New Roman"/>
          <w:sz w:val="28"/>
          <w:szCs w:val="28"/>
          <w:lang w:eastAsia="ru-RU"/>
        </w:rPr>
        <w:t>Рейтинг десяти самых убыточных банков России</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2700"/>
        <w:gridCol w:w="1695"/>
        <w:gridCol w:w="1718"/>
        <w:gridCol w:w="1429"/>
        <w:gridCol w:w="1547"/>
      </w:tblGrid>
      <w:tr w:rsidR="002D5659" w:rsidRPr="002D5659" w:rsidTr="00DC10B6">
        <w:trPr>
          <w:trHeight w:val="284"/>
        </w:trPr>
        <w:tc>
          <w:tcPr>
            <w:tcW w:w="550" w:type="dxa"/>
            <w:shd w:val="clear" w:color="auto" w:fill="auto"/>
            <w:noWrap/>
            <w:vAlign w:val="center"/>
            <w:hideMark/>
          </w:tcPr>
          <w:p w:rsidR="002D5659" w:rsidRPr="002D5659" w:rsidRDefault="002D5659" w:rsidP="002D5659">
            <w:pPr>
              <w:widowControl w:val="0"/>
              <w:spacing w:after="0" w:line="240" w:lineRule="auto"/>
              <w:jc w:val="center"/>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w:t>
            </w:r>
          </w:p>
        </w:tc>
        <w:tc>
          <w:tcPr>
            <w:tcW w:w="2700" w:type="dxa"/>
            <w:shd w:val="clear" w:color="auto" w:fill="auto"/>
            <w:noWrap/>
            <w:vAlign w:val="center"/>
            <w:hideMark/>
          </w:tcPr>
          <w:p w:rsidR="002D5659" w:rsidRPr="002D5659" w:rsidRDefault="002D5659" w:rsidP="002D5659">
            <w:pPr>
              <w:widowControl w:val="0"/>
              <w:spacing w:after="0" w:line="240" w:lineRule="auto"/>
              <w:jc w:val="center"/>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Название банка</w:t>
            </w:r>
          </w:p>
        </w:tc>
        <w:tc>
          <w:tcPr>
            <w:tcW w:w="1695" w:type="dxa"/>
            <w:shd w:val="clear" w:color="auto" w:fill="auto"/>
            <w:noWrap/>
            <w:vAlign w:val="center"/>
            <w:hideMark/>
          </w:tcPr>
          <w:p w:rsidR="002D5659" w:rsidRPr="002D5659" w:rsidRDefault="002D5659" w:rsidP="002D5659">
            <w:pPr>
              <w:widowControl w:val="0"/>
              <w:spacing w:after="0" w:line="240" w:lineRule="auto"/>
              <w:jc w:val="center"/>
              <w:rPr>
                <w:rFonts w:ascii="Times New Roman" w:eastAsia="Times New Roman" w:hAnsi="Times New Roman" w:cs="Times New Roman"/>
                <w:spacing w:val="-4"/>
                <w:sz w:val="24"/>
                <w:szCs w:val="24"/>
                <w:lang w:eastAsia="ru-RU"/>
              </w:rPr>
            </w:pPr>
            <w:r w:rsidRPr="002D5659">
              <w:rPr>
                <w:rFonts w:ascii="Times New Roman" w:eastAsia="Times New Roman" w:hAnsi="Times New Roman" w:cs="Times New Roman"/>
                <w:spacing w:val="-4"/>
                <w:sz w:val="24"/>
                <w:szCs w:val="24"/>
                <w:lang w:eastAsia="ru-RU"/>
              </w:rPr>
              <w:t>01.01.2017 г.</w:t>
            </w:r>
          </w:p>
          <w:p w:rsidR="002D5659" w:rsidRPr="002D5659" w:rsidRDefault="002D5659" w:rsidP="002D5659">
            <w:pPr>
              <w:widowControl w:val="0"/>
              <w:spacing w:after="0" w:line="240" w:lineRule="auto"/>
              <w:jc w:val="center"/>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 xml:space="preserve"> млн. руб.</w:t>
            </w:r>
          </w:p>
        </w:tc>
        <w:tc>
          <w:tcPr>
            <w:tcW w:w="1718" w:type="dxa"/>
            <w:shd w:val="clear" w:color="auto" w:fill="auto"/>
            <w:noWrap/>
            <w:vAlign w:val="center"/>
            <w:hideMark/>
          </w:tcPr>
          <w:p w:rsidR="002D5659" w:rsidRPr="002D5659" w:rsidRDefault="002D5659" w:rsidP="002D5659">
            <w:pPr>
              <w:widowControl w:val="0"/>
              <w:spacing w:after="0" w:line="240" w:lineRule="auto"/>
              <w:jc w:val="center"/>
              <w:rPr>
                <w:rFonts w:ascii="Times New Roman" w:eastAsia="Times New Roman" w:hAnsi="Times New Roman" w:cs="Times New Roman"/>
                <w:sz w:val="24"/>
                <w:szCs w:val="24"/>
                <w:lang w:eastAsia="ru-RU"/>
              </w:rPr>
            </w:pPr>
            <w:r w:rsidRPr="002D5659">
              <w:rPr>
                <w:rFonts w:ascii="Times New Roman" w:eastAsia="Times New Roman" w:hAnsi="Times New Roman" w:cs="Times New Roman"/>
                <w:spacing w:val="-4"/>
                <w:sz w:val="24"/>
                <w:szCs w:val="24"/>
                <w:lang w:eastAsia="ru-RU"/>
              </w:rPr>
              <w:t>01.01.2016 г.</w:t>
            </w:r>
            <w:r w:rsidRPr="002D5659">
              <w:rPr>
                <w:rFonts w:ascii="Times New Roman" w:eastAsia="Times New Roman" w:hAnsi="Times New Roman" w:cs="Times New Roman"/>
                <w:sz w:val="24"/>
                <w:szCs w:val="24"/>
                <w:lang w:eastAsia="ru-RU"/>
              </w:rPr>
              <w:t xml:space="preserve"> млн. руб.</w:t>
            </w:r>
          </w:p>
        </w:tc>
        <w:tc>
          <w:tcPr>
            <w:tcW w:w="1429" w:type="dxa"/>
            <w:shd w:val="clear" w:color="auto" w:fill="auto"/>
            <w:noWrap/>
            <w:vAlign w:val="center"/>
            <w:hideMark/>
          </w:tcPr>
          <w:p w:rsidR="002D5659" w:rsidRPr="002D5659" w:rsidRDefault="002D5659" w:rsidP="002D5659">
            <w:pPr>
              <w:widowControl w:val="0"/>
              <w:spacing w:after="0" w:line="240" w:lineRule="auto"/>
              <w:jc w:val="center"/>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 xml:space="preserve">+/-, </w:t>
            </w:r>
          </w:p>
          <w:p w:rsidR="002D5659" w:rsidRPr="002D5659" w:rsidRDefault="002D5659" w:rsidP="002D5659">
            <w:pPr>
              <w:widowControl w:val="0"/>
              <w:spacing w:after="0" w:line="240" w:lineRule="auto"/>
              <w:jc w:val="center"/>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млн. руб.</w:t>
            </w:r>
          </w:p>
        </w:tc>
        <w:tc>
          <w:tcPr>
            <w:tcW w:w="1547" w:type="dxa"/>
            <w:shd w:val="clear" w:color="auto" w:fill="auto"/>
            <w:noWrap/>
            <w:vAlign w:val="center"/>
            <w:hideMark/>
          </w:tcPr>
          <w:p w:rsidR="002D5659" w:rsidRPr="002D5659" w:rsidRDefault="002D5659" w:rsidP="002D5659">
            <w:pPr>
              <w:widowControl w:val="0"/>
              <w:spacing w:after="0" w:line="240" w:lineRule="auto"/>
              <w:jc w:val="center"/>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Темп прироста, %</w:t>
            </w:r>
          </w:p>
        </w:tc>
      </w:tr>
      <w:tr w:rsidR="002D5659" w:rsidRPr="002D5659" w:rsidTr="00DC10B6">
        <w:trPr>
          <w:trHeight w:val="492"/>
        </w:trPr>
        <w:tc>
          <w:tcPr>
            <w:tcW w:w="550" w:type="dxa"/>
            <w:shd w:val="clear" w:color="auto" w:fill="auto"/>
            <w:noWrap/>
            <w:vAlign w:val="bottom"/>
            <w:hideMark/>
          </w:tcPr>
          <w:p w:rsidR="002D5659" w:rsidRPr="002D5659" w:rsidRDefault="002D5659" w:rsidP="002D5659">
            <w:pPr>
              <w:widowControl w:val="0"/>
              <w:spacing w:after="0" w:line="240" w:lineRule="auto"/>
              <w:jc w:val="center"/>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1</w:t>
            </w:r>
          </w:p>
        </w:tc>
        <w:tc>
          <w:tcPr>
            <w:tcW w:w="2700" w:type="dxa"/>
            <w:shd w:val="clear" w:color="auto" w:fill="auto"/>
            <w:noWrap/>
            <w:vAlign w:val="bottom"/>
            <w:hideMark/>
          </w:tcPr>
          <w:p w:rsidR="002D5659" w:rsidRPr="002D5659" w:rsidRDefault="002D5659" w:rsidP="002D5659">
            <w:pPr>
              <w:widowControl w:val="0"/>
              <w:spacing w:after="0" w:line="240" w:lineRule="auto"/>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БМ-Банк (бывш.Банк Москвы)</w:t>
            </w:r>
          </w:p>
        </w:tc>
        <w:tc>
          <w:tcPr>
            <w:tcW w:w="1695"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-45 758,00</w:t>
            </w:r>
          </w:p>
        </w:tc>
        <w:tc>
          <w:tcPr>
            <w:tcW w:w="1718"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-62 895,00</w:t>
            </w:r>
          </w:p>
        </w:tc>
        <w:tc>
          <w:tcPr>
            <w:tcW w:w="1429"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17 137,00</w:t>
            </w:r>
          </w:p>
        </w:tc>
        <w:tc>
          <w:tcPr>
            <w:tcW w:w="1547"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27,25</w:t>
            </w:r>
          </w:p>
        </w:tc>
      </w:tr>
      <w:tr w:rsidR="002D5659" w:rsidRPr="002D5659" w:rsidTr="00DC10B6">
        <w:trPr>
          <w:trHeight w:val="284"/>
        </w:trPr>
        <w:tc>
          <w:tcPr>
            <w:tcW w:w="550" w:type="dxa"/>
            <w:shd w:val="clear" w:color="auto" w:fill="auto"/>
            <w:noWrap/>
            <w:vAlign w:val="bottom"/>
            <w:hideMark/>
          </w:tcPr>
          <w:p w:rsidR="002D5659" w:rsidRPr="002D5659" w:rsidRDefault="002D5659" w:rsidP="002D5659">
            <w:pPr>
              <w:widowControl w:val="0"/>
              <w:spacing w:after="0" w:line="240" w:lineRule="auto"/>
              <w:jc w:val="center"/>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2</w:t>
            </w:r>
          </w:p>
        </w:tc>
        <w:tc>
          <w:tcPr>
            <w:tcW w:w="2700" w:type="dxa"/>
            <w:shd w:val="clear" w:color="auto" w:fill="auto"/>
            <w:noWrap/>
            <w:vAlign w:val="bottom"/>
            <w:hideMark/>
          </w:tcPr>
          <w:p w:rsidR="002D5659" w:rsidRPr="002D5659" w:rsidRDefault="002D5659" w:rsidP="002D5659">
            <w:pPr>
              <w:widowControl w:val="0"/>
              <w:spacing w:after="0" w:line="240" w:lineRule="auto"/>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Югра</w:t>
            </w:r>
          </w:p>
        </w:tc>
        <w:tc>
          <w:tcPr>
            <w:tcW w:w="1695"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-32 267,00</w:t>
            </w:r>
          </w:p>
        </w:tc>
        <w:tc>
          <w:tcPr>
            <w:tcW w:w="1718"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6 142,00</w:t>
            </w:r>
          </w:p>
        </w:tc>
        <w:tc>
          <w:tcPr>
            <w:tcW w:w="1429"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-38 409,00</w:t>
            </w:r>
          </w:p>
        </w:tc>
        <w:tc>
          <w:tcPr>
            <w:tcW w:w="1547"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снижение в 6,3 раза</w:t>
            </w:r>
          </w:p>
        </w:tc>
      </w:tr>
      <w:tr w:rsidR="002D5659" w:rsidRPr="002D5659" w:rsidTr="00DC10B6">
        <w:trPr>
          <w:trHeight w:val="284"/>
        </w:trPr>
        <w:tc>
          <w:tcPr>
            <w:tcW w:w="550" w:type="dxa"/>
            <w:shd w:val="clear" w:color="auto" w:fill="auto"/>
            <w:noWrap/>
            <w:vAlign w:val="bottom"/>
            <w:hideMark/>
          </w:tcPr>
          <w:p w:rsidR="002D5659" w:rsidRPr="002D5659" w:rsidRDefault="002D5659" w:rsidP="002D5659">
            <w:pPr>
              <w:widowControl w:val="0"/>
              <w:spacing w:after="0" w:line="240" w:lineRule="auto"/>
              <w:jc w:val="center"/>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3</w:t>
            </w:r>
          </w:p>
        </w:tc>
        <w:tc>
          <w:tcPr>
            <w:tcW w:w="2700" w:type="dxa"/>
            <w:shd w:val="clear" w:color="auto" w:fill="auto"/>
            <w:noWrap/>
            <w:vAlign w:val="bottom"/>
            <w:hideMark/>
          </w:tcPr>
          <w:p w:rsidR="002D5659" w:rsidRPr="002D5659" w:rsidRDefault="002D5659" w:rsidP="002D5659">
            <w:pPr>
              <w:widowControl w:val="0"/>
              <w:spacing w:after="0" w:line="240" w:lineRule="auto"/>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Глобэкс</w:t>
            </w:r>
          </w:p>
        </w:tc>
        <w:tc>
          <w:tcPr>
            <w:tcW w:w="1695"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-29 493,00</w:t>
            </w:r>
          </w:p>
        </w:tc>
        <w:tc>
          <w:tcPr>
            <w:tcW w:w="1718"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-5 434,00</w:t>
            </w:r>
          </w:p>
        </w:tc>
        <w:tc>
          <w:tcPr>
            <w:tcW w:w="1429"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-24 059,00</w:t>
            </w:r>
          </w:p>
        </w:tc>
        <w:tc>
          <w:tcPr>
            <w:tcW w:w="1547"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снижение в 4,4 раза</w:t>
            </w:r>
          </w:p>
        </w:tc>
      </w:tr>
      <w:tr w:rsidR="002D5659" w:rsidRPr="002D5659" w:rsidTr="00DC10B6">
        <w:trPr>
          <w:trHeight w:val="284"/>
        </w:trPr>
        <w:tc>
          <w:tcPr>
            <w:tcW w:w="550" w:type="dxa"/>
            <w:shd w:val="clear" w:color="auto" w:fill="auto"/>
            <w:noWrap/>
            <w:vAlign w:val="bottom"/>
            <w:hideMark/>
          </w:tcPr>
          <w:p w:rsidR="002D5659" w:rsidRPr="002D5659" w:rsidRDefault="002D5659" w:rsidP="002D5659">
            <w:pPr>
              <w:widowControl w:val="0"/>
              <w:spacing w:after="0" w:line="240" w:lineRule="auto"/>
              <w:jc w:val="center"/>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4</w:t>
            </w:r>
          </w:p>
        </w:tc>
        <w:tc>
          <w:tcPr>
            <w:tcW w:w="2700" w:type="dxa"/>
            <w:shd w:val="clear" w:color="auto" w:fill="auto"/>
            <w:noWrap/>
            <w:vAlign w:val="bottom"/>
            <w:hideMark/>
          </w:tcPr>
          <w:p w:rsidR="002D5659" w:rsidRPr="002D5659" w:rsidRDefault="002D5659" w:rsidP="002D5659">
            <w:pPr>
              <w:widowControl w:val="0"/>
              <w:spacing w:after="0" w:line="240" w:lineRule="auto"/>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Новикомбанк</w:t>
            </w:r>
          </w:p>
        </w:tc>
        <w:tc>
          <w:tcPr>
            <w:tcW w:w="1695"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-17 783,00</w:t>
            </w:r>
          </w:p>
        </w:tc>
        <w:tc>
          <w:tcPr>
            <w:tcW w:w="1718"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2 571 ,00</w:t>
            </w:r>
          </w:p>
        </w:tc>
        <w:tc>
          <w:tcPr>
            <w:tcW w:w="1429"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-20 354,00</w:t>
            </w:r>
          </w:p>
        </w:tc>
        <w:tc>
          <w:tcPr>
            <w:tcW w:w="1547"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снижение в 7,9 раза</w:t>
            </w:r>
          </w:p>
        </w:tc>
      </w:tr>
      <w:tr w:rsidR="002D5659" w:rsidRPr="002D5659" w:rsidTr="00DC10B6">
        <w:trPr>
          <w:trHeight w:val="284"/>
        </w:trPr>
        <w:tc>
          <w:tcPr>
            <w:tcW w:w="550" w:type="dxa"/>
            <w:shd w:val="clear" w:color="auto" w:fill="auto"/>
            <w:noWrap/>
            <w:vAlign w:val="bottom"/>
            <w:hideMark/>
          </w:tcPr>
          <w:p w:rsidR="002D5659" w:rsidRPr="002D5659" w:rsidRDefault="002D5659" w:rsidP="002D5659">
            <w:pPr>
              <w:widowControl w:val="0"/>
              <w:spacing w:after="0" w:line="240" w:lineRule="auto"/>
              <w:jc w:val="center"/>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5</w:t>
            </w:r>
          </w:p>
        </w:tc>
        <w:tc>
          <w:tcPr>
            <w:tcW w:w="2700" w:type="dxa"/>
            <w:shd w:val="clear" w:color="auto" w:fill="auto"/>
            <w:noWrap/>
            <w:vAlign w:val="bottom"/>
            <w:hideMark/>
          </w:tcPr>
          <w:p w:rsidR="002D5659" w:rsidRPr="002D5659" w:rsidRDefault="002D5659" w:rsidP="002D5659">
            <w:pPr>
              <w:widowControl w:val="0"/>
              <w:spacing w:after="0" w:line="240" w:lineRule="auto"/>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Национальный Банк «Траст»</w:t>
            </w:r>
          </w:p>
        </w:tc>
        <w:tc>
          <w:tcPr>
            <w:tcW w:w="1695"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-14 317,00</w:t>
            </w:r>
          </w:p>
        </w:tc>
        <w:tc>
          <w:tcPr>
            <w:tcW w:w="1718"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4 650,00</w:t>
            </w:r>
          </w:p>
        </w:tc>
        <w:tc>
          <w:tcPr>
            <w:tcW w:w="1429"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-18 967,00</w:t>
            </w:r>
          </w:p>
        </w:tc>
        <w:tc>
          <w:tcPr>
            <w:tcW w:w="1547"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снижение в 4 раза</w:t>
            </w:r>
          </w:p>
        </w:tc>
      </w:tr>
      <w:tr w:rsidR="002D5659" w:rsidRPr="002D5659" w:rsidTr="00DC10B6">
        <w:trPr>
          <w:trHeight w:val="284"/>
        </w:trPr>
        <w:tc>
          <w:tcPr>
            <w:tcW w:w="550" w:type="dxa"/>
            <w:shd w:val="clear" w:color="auto" w:fill="auto"/>
            <w:noWrap/>
            <w:vAlign w:val="bottom"/>
            <w:hideMark/>
          </w:tcPr>
          <w:p w:rsidR="002D5659" w:rsidRPr="002D5659" w:rsidRDefault="002D5659" w:rsidP="002D5659">
            <w:pPr>
              <w:widowControl w:val="0"/>
              <w:spacing w:after="0" w:line="240" w:lineRule="auto"/>
              <w:jc w:val="center"/>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6</w:t>
            </w:r>
          </w:p>
        </w:tc>
        <w:tc>
          <w:tcPr>
            <w:tcW w:w="2700" w:type="dxa"/>
            <w:shd w:val="clear" w:color="auto" w:fill="auto"/>
            <w:noWrap/>
            <w:vAlign w:val="bottom"/>
            <w:hideMark/>
          </w:tcPr>
          <w:p w:rsidR="002D5659" w:rsidRPr="002D5659" w:rsidRDefault="002D5659" w:rsidP="002D5659">
            <w:pPr>
              <w:widowControl w:val="0"/>
              <w:spacing w:after="0" w:line="240" w:lineRule="auto"/>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Связь-Банк</w:t>
            </w:r>
          </w:p>
        </w:tc>
        <w:tc>
          <w:tcPr>
            <w:tcW w:w="1695"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-14 073,00</w:t>
            </w:r>
          </w:p>
        </w:tc>
        <w:tc>
          <w:tcPr>
            <w:tcW w:w="1718"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-10 283,00</w:t>
            </w:r>
          </w:p>
        </w:tc>
        <w:tc>
          <w:tcPr>
            <w:tcW w:w="1429"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-3 790,00</w:t>
            </w:r>
          </w:p>
        </w:tc>
        <w:tc>
          <w:tcPr>
            <w:tcW w:w="1547"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-36,86</w:t>
            </w:r>
          </w:p>
        </w:tc>
      </w:tr>
      <w:tr w:rsidR="002D5659" w:rsidRPr="002D5659" w:rsidTr="00DC10B6">
        <w:trPr>
          <w:trHeight w:val="284"/>
        </w:trPr>
        <w:tc>
          <w:tcPr>
            <w:tcW w:w="550" w:type="dxa"/>
            <w:shd w:val="clear" w:color="auto" w:fill="auto"/>
            <w:noWrap/>
            <w:vAlign w:val="bottom"/>
            <w:hideMark/>
          </w:tcPr>
          <w:p w:rsidR="002D5659" w:rsidRPr="002D5659" w:rsidRDefault="002D5659" w:rsidP="002D5659">
            <w:pPr>
              <w:widowControl w:val="0"/>
              <w:spacing w:after="0" w:line="240" w:lineRule="auto"/>
              <w:jc w:val="center"/>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7</w:t>
            </w:r>
          </w:p>
        </w:tc>
        <w:tc>
          <w:tcPr>
            <w:tcW w:w="2700" w:type="dxa"/>
            <w:shd w:val="clear" w:color="auto" w:fill="auto"/>
            <w:noWrap/>
            <w:vAlign w:val="bottom"/>
            <w:hideMark/>
          </w:tcPr>
          <w:p w:rsidR="002D5659" w:rsidRPr="002D5659" w:rsidRDefault="002D5659" w:rsidP="002D5659">
            <w:pPr>
              <w:widowControl w:val="0"/>
              <w:spacing w:after="0" w:line="240" w:lineRule="auto"/>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МТС Банк</w:t>
            </w:r>
          </w:p>
        </w:tc>
        <w:tc>
          <w:tcPr>
            <w:tcW w:w="1695"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-9 697 ,00</w:t>
            </w:r>
          </w:p>
        </w:tc>
        <w:tc>
          <w:tcPr>
            <w:tcW w:w="1718"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-7 067,00</w:t>
            </w:r>
          </w:p>
        </w:tc>
        <w:tc>
          <w:tcPr>
            <w:tcW w:w="1429"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-2 630,00</w:t>
            </w:r>
          </w:p>
        </w:tc>
        <w:tc>
          <w:tcPr>
            <w:tcW w:w="1547"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-37,22</w:t>
            </w:r>
          </w:p>
        </w:tc>
      </w:tr>
      <w:tr w:rsidR="002D5659" w:rsidRPr="002D5659" w:rsidTr="00DC10B6">
        <w:trPr>
          <w:trHeight w:val="365"/>
        </w:trPr>
        <w:tc>
          <w:tcPr>
            <w:tcW w:w="550" w:type="dxa"/>
            <w:shd w:val="clear" w:color="auto" w:fill="auto"/>
            <w:noWrap/>
            <w:vAlign w:val="bottom"/>
            <w:hideMark/>
          </w:tcPr>
          <w:p w:rsidR="002D5659" w:rsidRPr="002D5659" w:rsidRDefault="002D5659" w:rsidP="002D5659">
            <w:pPr>
              <w:widowControl w:val="0"/>
              <w:spacing w:after="0" w:line="240" w:lineRule="auto"/>
              <w:jc w:val="center"/>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8</w:t>
            </w:r>
          </w:p>
        </w:tc>
        <w:tc>
          <w:tcPr>
            <w:tcW w:w="2700" w:type="dxa"/>
            <w:shd w:val="clear" w:color="auto" w:fill="auto"/>
            <w:noWrap/>
            <w:vAlign w:val="bottom"/>
            <w:hideMark/>
          </w:tcPr>
          <w:p w:rsidR="002D5659" w:rsidRPr="002D5659" w:rsidRDefault="002D5659" w:rsidP="002D5659">
            <w:pPr>
              <w:widowControl w:val="0"/>
              <w:spacing w:after="0" w:line="240" w:lineRule="auto"/>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Абсолют Банк</w:t>
            </w:r>
          </w:p>
        </w:tc>
        <w:tc>
          <w:tcPr>
            <w:tcW w:w="1695"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-9 241,00</w:t>
            </w:r>
          </w:p>
        </w:tc>
        <w:tc>
          <w:tcPr>
            <w:tcW w:w="1718"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-2 811,00</w:t>
            </w:r>
          </w:p>
        </w:tc>
        <w:tc>
          <w:tcPr>
            <w:tcW w:w="1429"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-6 430,00</w:t>
            </w:r>
          </w:p>
        </w:tc>
        <w:tc>
          <w:tcPr>
            <w:tcW w:w="1547"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снижение в 2,3 раза</w:t>
            </w:r>
          </w:p>
        </w:tc>
      </w:tr>
      <w:tr w:rsidR="002D5659" w:rsidRPr="002D5659" w:rsidTr="00DC10B6">
        <w:trPr>
          <w:trHeight w:val="284"/>
        </w:trPr>
        <w:tc>
          <w:tcPr>
            <w:tcW w:w="550" w:type="dxa"/>
            <w:shd w:val="clear" w:color="auto" w:fill="auto"/>
            <w:noWrap/>
            <w:vAlign w:val="bottom"/>
            <w:hideMark/>
          </w:tcPr>
          <w:p w:rsidR="002D5659" w:rsidRPr="002D5659" w:rsidRDefault="002D5659" w:rsidP="002D5659">
            <w:pPr>
              <w:widowControl w:val="0"/>
              <w:spacing w:after="0" w:line="240" w:lineRule="auto"/>
              <w:jc w:val="center"/>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9</w:t>
            </w:r>
          </w:p>
        </w:tc>
        <w:tc>
          <w:tcPr>
            <w:tcW w:w="2700" w:type="dxa"/>
            <w:shd w:val="clear" w:color="auto" w:fill="auto"/>
            <w:noWrap/>
            <w:vAlign w:val="bottom"/>
            <w:hideMark/>
          </w:tcPr>
          <w:p w:rsidR="002D5659" w:rsidRPr="002D5659" w:rsidRDefault="002D5659" w:rsidP="002D5659">
            <w:pPr>
              <w:widowControl w:val="0"/>
              <w:spacing w:after="0" w:line="240" w:lineRule="auto"/>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Русский Стандарт</w:t>
            </w:r>
          </w:p>
        </w:tc>
        <w:tc>
          <w:tcPr>
            <w:tcW w:w="1695"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-8 027,00</w:t>
            </w:r>
          </w:p>
        </w:tc>
        <w:tc>
          <w:tcPr>
            <w:tcW w:w="1718"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16 532,00</w:t>
            </w:r>
          </w:p>
        </w:tc>
        <w:tc>
          <w:tcPr>
            <w:tcW w:w="1429"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-24 559,00</w:t>
            </w:r>
          </w:p>
        </w:tc>
        <w:tc>
          <w:tcPr>
            <w:tcW w:w="1547"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-148,55</w:t>
            </w:r>
          </w:p>
        </w:tc>
      </w:tr>
      <w:tr w:rsidR="002D5659" w:rsidRPr="002D5659" w:rsidTr="00DC10B6">
        <w:trPr>
          <w:trHeight w:val="170"/>
        </w:trPr>
        <w:tc>
          <w:tcPr>
            <w:tcW w:w="550" w:type="dxa"/>
            <w:shd w:val="clear" w:color="auto" w:fill="auto"/>
            <w:noWrap/>
            <w:vAlign w:val="bottom"/>
            <w:hideMark/>
          </w:tcPr>
          <w:p w:rsidR="002D5659" w:rsidRPr="002D5659" w:rsidRDefault="002D5659" w:rsidP="002D5659">
            <w:pPr>
              <w:widowControl w:val="0"/>
              <w:spacing w:after="0" w:line="240" w:lineRule="auto"/>
              <w:jc w:val="center"/>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10</w:t>
            </w:r>
          </w:p>
        </w:tc>
        <w:tc>
          <w:tcPr>
            <w:tcW w:w="2700" w:type="dxa"/>
            <w:shd w:val="clear" w:color="auto" w:fill="auto"/>
            <w:noWrap/>
            <w:vAlign w:val="bottom"/>
            <w:hideMark/>
          </w:tcPr>
          <w:p w:rsidR="002D5659" w:rsidRPr="002D5659" w:rsidRDefault="002D5659" w:rsidP="002D5659">
            <w:pPr>
              <w:widowControl w:val="0"/>
              <w:spacing w:after="0" w:line="240" w:lineRule="auto"/>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Зенит</w:t>
            </w:r>
          </w:p>
        </w:tc>
        <w:tc>
          <w:tcPr>
            <w:tcW w:w="1695"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-7 443,00</w:t>
            </w:r>
          </w:p>
        </w:tc>
        <w:tc>
          <w:tcPr>
            <w:tcW w:w="1718"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-6 051,00</w:t>
            </w:r>
          </w:p>
        </w:tc>
        <w:tc>
          <w:tcPr>
            <w:tcW w:w="1429"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-1 392,00</w:t>
            </w:r>
          </w:p>
        </w:tc>
        <w:tc>
          <w:tcPr>
            <w:tcW w:w="1547" w:type="dxa"/>
            <w:shd w:val="clear" w:color="auto" w:fill="auto"/>
            <w:noWrap/>
            <w:vAlign w:val="bottom"/>
            <w:hideMark/>
          </w:tcPr>
          <w:p w:rsidR="002D5659" w:rsidRPr="002D5659" w:rsidRDefault="002D5659" w:rsidP="002D5659">
            <w:pPr>
              <w:widowControl w:val="0"/>
              <w:spacing w:after="0" w:line="240" w:lineRule="auto"/>
              <w:jc w:val="right"/>
              <w:rPr>
                <w:rFonts w:ascii="Times New Roman" w:eastAsia="Times New Roman" w:hAnsi="Times New Roman" w:cs="Times New Roman"/>
                <w:sz w:val="24"/>
                <w:szCs w:val="24"/>
                <w:lang w:eastAsia="ru-RU"/>
              </w:rPr>
            </w:pPr>
            <w:r w:rsidRPr="002D5659">
              <w:rPr>
                <w:rFonts w:ascii="Times New Roman" w:eastAsia="Times New Roman" w:hAnsi="Times New Roman" w:cs="Times New Roman"/>
                <w:sz w:val="24"/>
                <w:szCs w:val="24"/>
                <w:lang w:eastAsia="ru-RU"/>
              </w:rPr>
              <w:t>-23,01</w:t>
            </w:r>
          </w:p>
        </w:tc>
      </w:tr>
    </w:tbl>
    <w:p w:rsidR="002D5659" w:rsidRPr="002D5659" w:rsidRDefault="002D5659" w:rsidP="002D5659">
      <w:pPr>
        <w:widowControl w:val="0"/>
        <w:spacing w:after="0" w:line="240" w:lineRule="auto"/>
        <w:ind w:firstLine="708"/>
        <w:jc w:val="both"/>
        <w:rPr>
          <w:rFonts w:ascii="Times New Roman" w:eastAsia="Times New Roman" w:hAnsi="Times New Roman" w:cs="Times New Roman"/>
          <w:sz w:val="28"/>
          <w:szCs w:val="28"/>
          <w:lang w:eastAsia="ru-RU"/>
        </w:rPr>
      </w:pPr>
      <w:r w:rsidRPr="002D5659">
        <w:rPr>
          <w:rFonts w:ascii="Times New Roman" w:eastAsia="Times New Roman" w:hAnsi="Times New Roman" w:cs="Times New Roman"/>
          <w:sz w:val="28"/>
          <w:szCs w:val="28"/>
          <w:lang w:eastAsia="ru-RU"/>
        </w:rPr>
        <w:t>Со стороны Центрального Банка России оказывается поддержка убыточным коммерческим банкам. ЦБ РФ восполняет дефицит капитала и находит для банков инвесторов. Этот процесс не носит открытый характер, условия, на которых потенциальный санатор может быть допущен к участию в конкурсе, довольно легко выполняются, а мониторинг после передачи банка ведется лишь номинальный [1].</w:t>
      </w:r>
    </w:p>
    <w:p w:rsidR="002D5659" w:rsidRPr="002D5659" w:rsidRDefault="002D5659" w:rsidP="002D5659">
      <w:pPr>
        <w:widowControl w:val="0"/>
        <w:spacing w:after="0" w:line="240" w:lineRule="auto"/>
        <w:ind w:firstLine="708"/>
        <w:jc w:val="both"/>
        <w:rPr>
          <w:rFonts w:ascii="Times New Roman" w:eastAsia="Times New Roman" w:hAnsi="Times New Roman" w:cs="Times New Roman"/>
          <w:sz w:val="28"/>
          <w:szCs w:val="28"/>
          <w:lang w:eastAsia="ru-RU"/>
        </w:rPr>
      </w:pPr>
      <w:r w:rsidRPr="002D5659">
        <w:rPr>
          <w:rFonts w:ascii="Times New Roman" w:eastAsia="Times New Roman" w:hAnsi="Times New Roman" w:cs="Times New Roman"/>
          <w:b/>
          <w:sz w:val="28"/>
          <w:szCs w:val="28"/>
          <w:lang w:eastAsia="ru-RU"/>
        </w:rPr>
        <w:t xml:space="preserve">Выводы. </w:t>
      </w:r>
      <w:r w:rsidRPr="002D5659">
        <w:rPr>
          <w:rFonts w:ascii="Times New Roman" w:eastAsia="Times New Roman" w:hAnsi="Times New Roman" w:cs="Times New Roman"/>
          <w:sz w:val="28"/>
          <w:szCs w:val="28"/>
          <w:lang w:eastAsia="ru-RU"/>
        </w:rPr>
        <w:t xml:space="preserve">Таким образом, несмотря на определенные успехи в банковском секторе, сохраняется разрыв между прибыльными и убыточными банками.Объем прибыли по сравнению с прошлым годом возрос почти в пять </w:t>
      </w:r>
      <w:r w:rsidRPr="002D5659">
        <w:rPr>
          <w:rFonts w:ascii="Times New Roman" w:eastAsia="Times New Roman" w:hAnsi="Times New Roman" w:cs="Times New Roman"/>
          <w:sz w:val="28"/>
          <w:szCs w:val="28"/>
          <w:lang w:eastAsia="ru-RU"/>
        </w:rPr>
        <w:lastRenderedPageBreak/>
        <w:t>раз, продолжается рост доли рынка, занимаемой госбанками, но более четверти российских кредитных учреждений продолжаютприносить убыток. Центральный Банк России старается всячески их поддержать, подвергая процедуре финансового оздоровления.</w:t>
      </w:r>
    </w:p>
    <w:p w:rsidR="002D5659" w:rsidRPr="002D5659" w:rsidRDefault="002D5659" w:rsidP="002D5659">
      <w:pPr>
        <w:widowControl w:val="0"/>
        <w:spacing w:after="0" w:line="240" w:lineRule="auto"/>
        <w:ind w:firstLine="708"/>
        <w:jc w:val="both"/>
        <w:rPr>
          <w:rFonts w:ascii="Times New Roman" w:eastAsia="Times New Roman" w:hAnsi="Times New Roman" w:cs="Times New Roman"/>
          <w:sz w:val="28"/>
          <w:szCs w:val="28"/>
          <w:lang w:eastAsia="ru-RU"/>
        </w:rPr>
      </w:pPr>
      <w:r w:rsidRPr="002D5659">
        <w:rPr>
          <w:rFonts w:ascii="Times New Roman" w:eastAsia="Times New Roman" w:hAnsi="Times New Roman" w:cs="Times New Roman"/>
          <w:sz w:val="28"/>
          <w:szCs w:val="28"/>
          <w:lang w:eastAsia="ru-RU"/>
        </w:rPr>
        <w:t xml:space="preserve">Выделяют два основных направления повышения прибыльности банков. </w:t>
      </w:r>
    </w:p>
    <w:p w:rsidR="002D5659" w:rsidRPr="002D5659" w:rsidRDefault="002D5659" w:rsidP="002D5659">
      <w:pPr>
        <w:widowControl w:val="0"/>
        <w:spacing w:after="0" w:line="240" w:lineRule="auto"/>
        <w:ind w:firstLine="708"/>
        <w:jc w:val="both"/>
        <w:rPr>
          <w:rFonts w:ascii="Times New Roman" w:eastAsia="Times New Roman" w:hAnsi="Times New Roman" w:cs="Times New Roman"/>
          <w:sz w:val="28"/>
          <w:szCs w:val="28"/>
          <w:lang w:eastAsia="ru-RU"/>
        </w:rPr>
      </w:pPr>
      <w:r w:rsidRPr="002D5659">
        <w:rPr>
          <w:rFonts w:ascii="Times New Roman" w:eastAsia="Times New Roman" w:hAnsi="Times New Roman" w:cs="Times New Roman"/>
          <w:sz w:val="28"/>
          <w:szCs w:val="28"/>
          <w:lang w:eastAsia="ru-RU"/>
        </w:rPr>
        <w:t>Суть первого направления состоит в  том, что  банк может повысить свою прибыль за счет расширения доли рынка. Реализовать данное направление коммерческие банки могут за счет привлечения на свою сторону совершенно новых клиентов, которые в банке не обслуживались, т.е. банку необходимо побороться за долю рынка. С другой стороны, коммерческие банки могут побороться за долю потребления путем медленного оттеснения конкурентов от своих клиентов по тем услугам, в предоставлении которых конкуренты были не сильны. Однако во всех случаях предполагается, что кредитная организация должна предлагать клиентам адекватные продукты.</w:t>
      </w:r>
    </w:p>
    <w:p w:rsidR="002D5659" w:rsidRPr="002D5659" w:rsidRDefault="002D5659" w:rsidP="002D5659">
      <w:pPr>
        <w:widowControl w:val="0"/>
        <w:spacing w:after="0" w:line="240" w:lineRule="auto"/>
        <w:ind w:firstLine="708"/>
        <w:jc w:val="both"/>
        <w:rPr>
          <w:rFonts w:ascii="Times New Roman" w:eastAsia="Times New Roman" w:hAnsi="Times New Roman" w:cs="Times New Roman"/>
          <w:sz w:val="28"/>
          <w:szCs w:val="28"/>
          <w:lang w:eastAsia="ru-RU"/>
        </w:rPr>
      </w:pPr>
      <w:r w:rsidRPr="002D5659">
        <w:rPr>
          <w:rFonts w:ascii="Times New Roman" w:eastAsia="Times New Roman" w:hAnsi="Times New Roman" w:cs="Times New Roman"/>
          <w:sz w:val="28"/>
          <w:szCs w:val="28"/>
          <w:lang w:eastAsia="ru-RU"/>
        </w:rPr>
        <w:t>Второе направление повышения прибыльности банков – развитие продуктового маркетинга в банках. Если качество продуктов улучшится, тогда рынок нельзя будет называть стагнирующим. Повышение прибыльности лежит в управлении маркетинговой, ценовой политикой, оптимальным использованием ресурсов и затратами с учетом рисков. Добившись прозрачности модели формирования прибыли, можно анализировать влияние разных «рычагов» (маркетинга, затрат и др.) на ее уровень.</w:t>
      </w: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
        <w:gridCol w:w="4404"/>
        <w:gridCol w:w="4437"/>
      </w:tblGrid>
      <w:tr w:rsidR="002D5659" w:rsidRPr="002D5659" w:rsidTr="00DC10B6">
        <w:tc>
          <w:tcPr>
            <w:tcW w:w="4810" w:type="dxa"/>
            <w:gridSpan w:val="2"/>
          </w:tcPr>
          <w:p w:rsidR="002D5659" w:rsidRPr="002D5659" w:rsidRDefault="002D5659" w:rsidP="002D5659">
            <w:pPr>
              <w:widowControl w:val="0"/>
              <w:jc w:val="both"/>
              <w:rPr>
                <w:rFonts w:ascii="Times New Roman" w:hAnsi="Times New Roman"/>
                <w:sz w:val="28"/>
                <w:szCs w:val="28"/>
              </w:rPr>
            </w:pPr>
          </w:p>
        </w:tc>
        <w:tc>
          <w:tcPr>
            <w:tcW w:w="4936" w:type="dxa"/>
          </w:tcPr>
          <w:p w:rsidR="002D5659" w:rsidRPr="002D5659" w:rsidRDefault="002D5659" w:rsidP="002D5659">
            <w:pPr>
              <w:widowControl w:val="0"/>
              <w:jc w:val="both"/>
              <w:rPr>
                <w:rFonts w:ascii="Times New Roman" w:hAnsi="Times New Roman"/>
                <w:sz w:val="28"/>
                <w:szCs w:val="28"/>
              </w:rPr>
            </w:pPr>
          </w:p>
        </w:tc>
      </w:tr>
      <w:tr w:rsidR="002D5659" w:rsidRPr="002D5659" w:rsidTr="00DC10B6">
        <w:tc>
          <w:tcPr>
            <w:tcW w:w="9746" w:type="dxa"/>
            <w:gridSpan w:val="3"/>
          </w:tcPr>
          <w:p w:rsidR="002D5659" w:rsidRPr="002D5659" w:rsidRDefault="002D5659" w:rsidP="002D5659">
            <w:pPr>
              <w:widowControl w:val="0"/>
              <w:jc w:val="center"/>
              <w:rPr>
                <w:rFonts w:ascii="Times New Roman" w:hAnsi="Times New Roman"/>
                <w:sz w:val="28"/>
                <w:szCs w:val="28"/>
              </w:rPr>
            </w:pPr>
            <w:r w:rsidRPr="002D5659">
              <w:rPr>
                <w:rFonts w:ascii="Times New Roman" w:hAnsi="Times New Roman"/>
                <w:b/>
                <w:sz w:val="28"/>
                <w:szCs w:val="28"/>
              </w:rPr>
              <w:t>Список литературы</w:t>
            </w:r>
          </w:p>
        </w:tc>
      </w:tr>
      <w:tr w:rsidR="002D5659" w:rsidRPr="002D5659" w:rsidTr="00DC10B6">
        <w:tc>
          <w:tcPr>
            <w:tcW w:w="406" w:type="dxa"/>
          </w:tcPr>
          <w:p w:rsidR="002D5659" w:rsidRPr="002D5659" w:rsidRDefault="002D5659" w:rsidP="002D5659">
            <w:pPr>
              <w:widowControl w:val="0"/>
              <w:numPr>
                <w:ilvl w:val="0"/>
                <w:numId w:val="1"/>
              </w:numPr>
              <w:contextualSpacing/>
              <w:jc w:val="both"/>
              <w:rPr>
                <w:rFonts w:ascii="Times New Roman" w:hAnsi="Times New Roman"/>
                <w:sz w:val="24"/>
                <w:szCs w:val="24"/>
              </w:rPr>
            </w:pPr>
          </w:p>
        </w:tc>
        <w:tc>
          <w:tcPr>
            <w:tcW w:w="9340" w:type="dxa"/>
            <w:gridSpan w:val="2"/>
          </w:tcPr>
          <w:p w:rsidR="002D5659" w:rsidRPr="002D5659" w:rsidRDefault="002D5659" w:rsidP="002D5659">
            <w:pPr>
              <w:widowControl w:val="0"/>
              <w:jc w:val="both"/>
              <w:rPr>
                <w:rFonts w:ascii="Times New Roman" w:hAnsi="Times New Roman"/>
                <w:sz w:val="24"/>
                <w:szCs w:val="24"/>
              </w:rPr>
            </w:pPr>
            <w:r w:rsidRPr="002D5659">
              <w:rPr>
                <w:rFonts w:ascii="Times New Roman" w:hAnsi="Times New Roman"/>
                <w:sz w:val="24"/>
                <w:szCs w:val="24"/>
              </w:rPr>
              <w:t xml:space="preserve">Ассоциация российских банков: Прибыли и убытки банков России по итогам 2016 года // [Электронный ресурс]: – Режим доступа: URL: </w:t>
            </w:r>
            <w:hyperlink r:id="rId7" w:history="1">
              <w:r w:rsidRPr="002D5659">
                <w:rPr>
                  <w:rFonts w:ascii="Times New Roman" w:hAnsi="Times New Roman"/>
                  <w:sz w:val="24"/>
                  <w:szCs w:val="24"/>
                  <w:u w:val="single"/>
                </w:rPr>
                <w:t>https://arb.ru/banks/analitycs/pribyli_i_ubytki_bankov_rossii_po_itogam_2016_goda-10083534/</w:t>
              </w:r>
            </w:hyperlink>
            <w:r w:rsidRPr="002D5659">
              <w:rPr>
                <w:rFonts w:ascii="Times New Roman" w:hAnsi="Times New Roman"/>
                <w:sz w:val="24"/>
                <w:szCs w:val="24"/>
              </w:rPr>
              <w:t xml:space="preserve">  (дата обращения – 11.03.2017).</w:t>
            </w:r>
          </w:p>
        </w:tc>
      </w:tr>
      <w:tr w:rsidR="002D5659" w:rsidRPr="002D5659" w:rsidTr="00DC10B6">
        <w:tc>
          <w:tcPr>
            <w:tcW w:w="406" w:type="dxa"/>
          </w:tcPr>
          <w:p w:rsidR="002D5659" w:rsidRPr="002D5659" w:rsidRDefault="002D5659" w:rsidP="002D5659">
            <w:pPr>
              <w:widowControl w:val="0"/>
              <w:numPr>
                <w:ilvl w:val="0"/>
                <w:numId w:val="1"/>
              </w:numPr>
              <w:contextualSpacing/>
              <w:jc w:val="both"/>
              <w:rPr>
                <w:rFonts w:ascii="Times New Roman" w:hAnsi="Times New Roman"/>
                <w:sz w:val="24"/>
                <w:szCs w:val="24"/>
              </w:rPr>
            </w:pPr>
          </w:p>
        </w:tc>
        <w:tc>
          <w:tcPr>
            <w:tcW w:w="9340" w:type="dxa"/>
            <w:gridSpan w:val="2"/>
          </w:tcPr>
          <w:p w:rsidR="002D5659" w:rsidRPr="002D5659" w:rsidRDefault="002D5659" w:rsidP="002D5659">
            <w:pPr>
              <w:widowControl w:val="0"/>
              <w:jc w:val="both"/>
              <w:rPr>
                <w:rFonts w:ascii="Times New Roman" w:hAnsi="Times New Roman"/>
                <w:sz w:val="24"/>
                <w:szCs w:val="24"/>
              </w:rPr>
            </w:pPr>
            <w:r w:rsidRPr="002D5659">
              <w:rPr>
                <w:rFonts w:ascii="Times New Roman" w:hAnsi="Times New Roman"/>
                <w:sz w:val="24"/>
                <w:szCs w:val="24"/>
              </w:rPr>
              <w:t>Бадалов Л. А. Надзор Банка России за состоянием внутреннего контроля в банках / Л. А. Бадалов // Банковские услуги. – 2014. – № 6. – С. 2–4</w:t>
            </w:r>
          </w:p>
        </w:tc>
      </w:tr>
      <w:tr w:rsidR="002D5659" w:rsidRPr="002D5659" w:rsidTr="00DC10B6">
        <w:tc>
          <w:tcPr>
            <w:tcW w:w="406" w:type="dxa"/>
          </w:tcPr>
          <w:p w:rsidR="002D5659" w:rsidRPr="002D5659" w:rsidRDefault="002D5659" w:rsidP="002D5659">
            <w:pPr>
              <w:widowControl w:val="0"/>
              <w:numPr>
                <w:ilvl w:val="0"/>
                <w:numId w:val="1"/>
              </w:numPr>
              <w:contextualSpacing/>
              <w:jc w:val="both"/>
              <w:rPr>
                <w:rFonts w:ascii="Times New Roman" w:hAnsi="Times New Roman"/>
                <w:sz w:val="24"/>
                <w:szCs w:val="24"/>
              </w:rPr>
            </w:pPr>
          </w:p>
        </w:tc>
        <w:tc>
          <w:tcPr>
            <w:tcW w:w="9340" w:type="dxa"/>
            <w:gridSpan w:val="2"/>
          </w:tcPr>
          <w:p w:rsidR="002D5659" w:rsidRPr="002D5659" w:rsidRDefault="002D5659" w:rsidP="002D5659">
            <w:pPr>
              <w:widowControl w:val="0"/>
              <w:jc w:val="both"/>
              <w:rPr>
                <w:rFonts w:ascii="Times New Roman" w:hAnsi="Times New Roman"/>
                <w:sz w:val="24"/>
                <w:szCs w:val="24"/>
              </w:rPr>
            </w:pPr>
            <w:r w:rsidRPr="002D5659">
              <w:rPr>
                <w:rFonts w:ascii="Times New Roman" w:hAnsi="Times New Roman"/>
                <w:sz w:val="24"/>
                <w:szCs w:val="24"/>
              </w:rPr>
              <w:t>Гусаров А. И. Управление финансовыми рисками региональных банков (на примере ОАО Банк «Аскольд») / А. И. Гусаров, О. М. Гусарова // Современные наукоемкие технологии. – Пенза: ИД «Академия Естествознания». – № 7–3. – 2014. – С. 8–10.</w:t>
            </w:r>
          </w:p>
        </w:tc>
      </w:tr>
      <w:tr w:rsidR="002D5659" w:rsidRPr="002D5659" w:rsidTr="00DC10B6">
        <w:tc>
          <w:tcPr>
            <w:tcW w:w="406" w:type="dxa"/>
          </w:tcPr>
          <w:p w:rsidR="002D5659" w:rsidRPr="002D5659" w:rsidRDefault="002D5659" w:rsidP="002D5659">
            <w:pPr>
              <w:widowControl w:val="0"/>
              <w:numPr>
                <w:ilvl w:val="0"/>
                <w:numId w:val="1"/>
              </w:numPr>
              <w:contextualSpacing/>
              <w:jc w:val="both"/>
              <w:rPr>
                <w:rFonts w:ascii="Times New Roman" w:hAnsi="Times New Roman"/>
                <w:sz w:val="24"/>
                <w:szCs w:val="24"/>
              </w:rPr>
            </w:pPr>
          </w:p>
        </w:tc>
        <w:tc>
          <w:tcPr>
            <w:tcW w:w="9340" w:type="dxa"/>
            <w:gridSpan w:val="2"/>
          </w:tcPr>
          <w:p w:rsidR="002D5659" w:rsidRPr="002D5659" w:rsidRDefault="002D5659" w:rsidP="002D5659">
            <w:pPr>
              <w:widowControl w:val="0"/>
              <w:jc w:val="both"/>
              <w:rPr>
                <w:rFonts w:ascii="Times New Roman" w:hAnsi="Times New Roman"/>
                <w:sz w:val="24"/>
                <w:szCs w:val="24"/>
              </w:rPr>
            </w:pPr>
            <w:r w:rsidRPr="002D5659">
              <w:rPr>
                <w:rFonts w:ascii="Times New Roman" w:hAnsi="Times New Roman"/>
                <w:sz w:val="24"/>
                <w:szCs w:val="24"/>
              </w:rPr>
              <w:t xml:space="preserve">Количество банков в России - динамика за 2007-2017 годы, уставной капитал и количество банков в разрезе регионов // [Электронный ресурс]: – Режим доступа: URL: </w:t>
            </w:r>
            <w:hyperlink r:id="rId8" w:history="1">
              <w:r w:rsidRPr="002D5659">
                <w:rPr>
                  <w:rFonts w:ascii="Times New Roman" w:hAnsi="Times New Roman"/>
                  <w:sz w:val="24"/>
                  <w:szCs w:val="24"/>
                  <w:u w:val="single"/>
                </w:rPr>
                <w:t>https://bankirsha.com/kolichestvo-bankov-v-rossii-na-konec-goda-finansovyi-krizis-ustavnoi-kapital-i-chislennost-bankov.html</w:t>
              </w:r>
            </w:hyperlink>
            <w:r w:rsidRPr="002D5659">
              <w:rPr>
                <w:rFonts w:ascii="Times New Roman" w:hAnsi="Times New Roman"/>
                <w:sz w:val="24"/>
                <w:szCs w:val="24"/>
              </w:rPr>
              <w:t xml:space="preserve"> (дата обращения – 11.03.2017).</w:t>
            </w:r>
          </w:p>
        </w:tc>
      </w:tr>
      <w:tr w:rsidR="002D5659" w:rsidRPr="002D5659" w:rsidTr="00DC10B6">
        <w:tc>
          <w:tcPr>
            <w:tcW w:w="406" w:type="dxa"/>
          </w:tcPr>
          <w:p w:rsidR="002D5659" w:rsidRPr="002D5659" w:rsidRDefault="002D5659" w:rsidP="002D5659">
            <w:pPr>
              <w:widowControl w:val="0"/>
              <w:numPr>
                <w:ilvl w:val="0"/>
                <w:numId w:val="1"/>
              </w:numPr>
              <w:contextualSpacing/>
              <w:jc w:val="both"/>
              <w:rPr>
                <w:rFonts w:ascii="Times New Roman" w:hAnsi="Times New Roman"/>
                <w:sz w:val="24"/>
                <w:szCs w:val="24"/>
              </w:rPr>
            </w:pPr>
          </w:p>
        </w:tc>
        <w:tc>
          <w:tcPr>
            <w:tcW w:w="9340" w:type="dxa"/>
            <w:gridSpan w:val="2"/>
          </w:tcPr>
          <w:p w:rsidR="002D5659" w:rsidRPr="002D5659" w:rsidRDefault="002D5659" w:rsidP="002D5659">
            <w:pPr>
              <w:widowControl w:val="0"/>
              <w:jc w:val="both"/>
              <w:rPr>
                <w:rFonts w:ascii="Times New Roman" w:hAnsi="Times New Roman"/>
                <w:sz w:val="24"/>
                <w:szCs w:val="24"/>
              </w:rPr>
            </w:pPr>
            <w:r w:rsidRPr="002D5659">
              <w:rPr>
                <w:rFonts w:ascii="Times New Roman" w:hAnsi="Times New Roman"/>
                <w:sz w:val="24"/>
                <w:szCs w:val="24"/>
              </w:rPr>
              <w:t xml:space="preserve">Рейтинги банков// [Электронный ресурс]: – Режим доступа: URL: </w:t>
            </w:r>
            <w:hyperlink r:id="rId9" w:history="1">
              <w:r w:rsidRPr="002D5659">
                <w:rPr>
                  <w:rFonts w:ascii="Times New Roman" w:hAnsi="Times New Roman"/>
                  <w:sz w:val="24"/>
                  <w:szCs w:val="24"/>
                  <w:u w:val="single"/>
                </w:rPr>
                <w:t>http://www.banki.ru/banks/ratings/?PROPERTY_ID=30</w:t>
              </w:r>
            </w:hyperlink>
            <w:r w:rsidRPr="002D5659">
              <w:rPr>
                <w:rFonts w:ascii="Times New Roman" w:hAnsi="Times New Roman"/>
                <w:sz w:val="24"/>
                <w:szCs w:val="24"/>
              </w:rPr>
              <w:t xml:space="preserve"> (дата обращения – 11.03.2017).</w:t>
            </w:r>
          </w:p>
        </w:tc>
      </w:tr>
    </w:tbl>
    <w:p w:rsidR="002D5659" w:rsidRPr="002D5659" w:rsidRDefault="002D5659" w:rsidP="002D5659">
      <w:pPr>
        <w:widowControl w:val="0"/>
        <w:spacing w:after="0" w:line="240" w:lineRule="auto"/>
        <w:ind w:firstLine="709"/>
        <w:jc w:val="both"/>
        <w:rPr>
          <w:rFonts w:ascii="Times New Roman" w:eastAsia="Times New Roman" w:hAnsi="Times New Roman" w:cs="Times New Roman"/>
          <w:sz w:val="28"/>
          <w:szCs w:val="28"/>
          <w:lang w:eastAsia="ru-RU"/>
        </w:rPr>
      </w:pPr>
    </w:p>
    <w:p w:rsidR="002D5659" w:rsidRPr="002D5659" w:rsidRDefault="002D5659" w:rsidP="002D5659">
      <w:pPr>
        <w:widowControl w:val="0"/>
        <w:spacing w:after="0" w:line="240" w:lineRule="auto"/>
        <w:ind w:firstLine="709"/>
        <w:jc w:val="both"/>
        <w:rPr>
          <w:rFonts w:ascii="Times New Roman" w:eastAsia="Times New Roman" w:hAnsi="Times New Roman" w:cs="Times New Roman"/>
          <w:sz w:val="28"/>
          <w:szCs w:val="28"/>
          <w:lang w:eastAsia="ru-RU"/>
        </w:rPr>
      </w:pPr>
    </w:p>
    <w:p w:rsidR="00C808F0" w:rsidRDefault="00C808F0">
      <w:bookmarkStart w:id="4" w:name="_GoBack"/>
      <w:bookmarkEnd w:id="4"/>
    </w:p>
    <w:sectPr w:rsidR="00C808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C40A2F"/>
    <w:multiLevelType w:val="hybridMultilevel"/>
    <w:tmpl w:val="A3CEB7EA"/>
    <w:lvl w:ilvl="0" w:tplc="D3C6CCF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659"/>
    <w:rsid w:val="002D5659"/>
    <w:rsid w:val="00C808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F7FC2E-3D17-4C89-8819-1B6A1461D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D5659"/>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nkirsha.com/kolichestvo-bankov-v-rossii-na-konec-goda-finansovyi-krizis-ustavnoi-kapital-i-chislennost-bankov.html" TargetMode="External"/><Relationship Id="rId3" Type="http://schemas.openxmlformats.org/officeDocument/2006/relationships/settings" Target="settings.xml"/><Relationship Id="rId7" Type="http://schemas.openxmlformats.org/officeDocument/2006/relationships/hyperlink" Target="https://arb.ru/banks/analitycs/pribyli_i_ubytki_bankov_rossii_po_itogam_2016_goda-1008353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theme" Target="theme/theme1.xml"/><Relationship Id="rId5" Type="http://schemas.openxmlformats.org/officeDocument/2006/relationships/chart" Target="charts/chart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anki.ru/banks/ratings/?PROPERTY_ID=30"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Столбец1</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на 01.01.2014</c:v>
                </c:pt>
                <c:pt idx="1">
                  <c:v>на 01.01.2015</c:v>
                </c:pt>
                <c:pt idx="2">
                  <c:v>на 01.01.2016</c:v>
                </c:pt>
                <c:pt idx="3">
                  <c:v>на 01.01.2017</c:v>
                </c:pt>
              </c:strCache>
            </c:strRef>
          </c:cat>
          <c:val>
            <c:numRef>
              <c:f>Лист1!$B$2:$B$5</c:f>
              <c:numCache>
                <c:formatCode>General</c:formatCode>
                <c:ptCount val="4"/>
                <c:pt idx="0">
                  <c:v>923</c:v>
                </c:pt>
                <c:pt idx="1">
                  <c:v>834</c:v>
                </c:pt>
                <c:pt idx="2">
                  <c:v>733</c:v>
                </c:pt>
                <c:pt idx="3">
                  <c:v>623</c:v>
                </c:pt>
              </c:numCache>
            </c:numRef>
          </c:val>
          <c:extLst>
            <c:ext xmlns:c16="http://schemas.microsoft.com/office/drawing/2014/chart" uri="{C3380CC4-5D6E-409C-BE32-E72D297353CC}">
              <c16:uniqueId val="{00000000-53BC-4392-88F4-7BA603F4F728}"/>
            </c:ext>
          </c:extLst>
        </c:ser>
        <c:dLbls>
          <c:showLegendKey val="0"/>
          <c:showVal val="0"/>
          <c:showCatName val="0"/>
          <c:showSerName val="0"/>
          <c:showPercent val="0"/>
          <c:showBubbleSize val="0"/>
        </c:dLbls>
        <c:gapWidth val="219"/>
        <c:overlap val="-27"/>
        <c:axId val="174316160"/>
        <c:axId val="174862720"/>
      </c:barChart>
      <c:catAx>
        <c:axId val="174316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4862720"/>
        <c:crosses val="autoZero"/>
        <c:auto val="1"/>
        <c:lblAlgn val="ctr"/>
        <c:lblOffset val="100"/>
        <c:noMultiLvlLbl val="0"/>
      </c:catAx>
      <c:valAx>
        <c:axId val="1748627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4316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Ряд 1</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Лист1!$A$2:$A$4</c:f>
              <c:numCache>
                <c:formatCode>General</c:formatCode>
                <c:ptCount val="3"/>
                <c:pt idx="0">
                  <c:v>2014</c:v>
                </c:pt>
                <c:pt idx="1">
                  <c:v>2015</c:v>
                </c:pt>
                <c:pt idx="2">
                  <c:v>2016</c:v>
                </c:pt>
              </c:numCache>
            </c:numRef>
          </c:cat>
          <c:val>
            <c:numRef>
              <c:f>Лист1!$B$2:$B$4</c:f>
              <c:numCache>
                <c:formatCode>General</c:formatCode>
                <c:ptCount val="3"/>
                <c:pt idx="0">
                  <c:v>355.5</c:v>
                </c:pt>
                <c:pt idx="1">
                  <c:v>192</c:v>
                </c:pt>
                <c:pt idx="2">
                  <c:v>930</c:v>
                </c:pt>
              </c:numCache>
            </c:numRef>
          </c:val>
          <c:extLst>
            <c:ext xmlns:c16="http://schemas.microsoft.com/office/drawing/2014/chart" uri="{C3380CC4-5D6E-409C-BE32-E72D297353CC}">
              <c16:uniqueId val="{00000000-35F2-4CD7-BD30-11391CD01555}"/>
            </c:ext>
          </c:extLst>
        </c:ser>
        <c:dLbls>
          <c:showLegendKey val="0"/>
          <c:showVal val="0"/>
          <c:showCatName val="0"/>
          <c:showSerName val="0"/>
          <c:showPercent val="0"/>
          <c:showBubbleSize val="0"/>
        </c:dLbls>
        <c:gapWidth val="219"/>
        <c:overlap val="-27"/>
        <c:axId val="174873984"/>
        <c:axId val="174892544"/>
      </c:barChart>
      <c:catAx>
        <c:axId val="1748739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Год</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4892544"/>
        <c:crosses val="autoZero"/>
        <c:auto val="1"/>
        <c:lblAlgn val="ctr"/>
        <c:lblOffset val="100"/>
        <c:noMultiLvlLbl val="0"/>
      </c:catAx>
      <c:valAx>
        <c:axId val="1748925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ru-RU"/>
                  <a:t>Млрд руб.</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4873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6</Pages>
  <Words>2143</Words>
  <Characters>12221</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Елизавета</dc:creator>
  <cp:keywords/>
  <dc:description/>
  <cp:lastModifiedBy>Елизавета</cp:lastModifiedBy>
  <cp:revision>1</cp:revision>
  <dcterms:created xsi:type="dcterms:W3CDTF">2017-12-04T12:18:00Z</dcterms:created>
  <dcterms:modified xsi:type="dcterms:W3CDTF">2017-12-04T12:18:00Z</dcterms:modified>
</cp:coreProperties>
</file>