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90"/>
      </w:tblGrid>
      <w:tr w:rsidR="00496169" w:rsidRPr="00496169" w:rsidTr="00DC10B6">
        <w:tc>
          <w:tcPr>
            <w:tcW w:w="9380" w:type="dxa"/>
            <w:gridSpan w:val="2"/>
            <w:hideMark/>
          </w:tcPr>
          <w:p w:rsidR="00496169" w:rsidRPr="00496169" w:rsidRDefault="00496169" w:rsidP="00496169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496169">
              <w:rPr>
                <w:rFonts w:ascii="Times New Roman" w:hAnsi="Times New Roman"/>
                <w:b/>
                <w:sz w:val="28"/>
              </w:rPr>
              <w:t xml:space="preserve">УДК </w:t>
            </w:r>
            <w:r w:rsidRPr="00496169">
              <w:rPr>
                <w:rFonts w:ascii="Times New Roman" w:hAnsi="Times New Roman"/>
                <w:b/>
                <w:sz w:val="28"/>
                <w:szCs w:val="28"/>
              </w:rPr>
              <w:t>338.45.01:658.859</w:t>
            </w:r>
          </w:p>
        </w:tc>
      </w:tr>
      <w:tr w:rsidR="00496169" w:rsidRPr="00496169" w:rsidTr="00DC10B6">
        <w:tc>
          <w:tcPr>
            <w:tcW w:w="9380" w:type="dxa"/>
            <w:gridSpan w:val="2"/>
          </w:tcPr>
          <w:p w:rsidR="00496169" w:rsidRPr="00496169" w:rsidRDefault="00496169" w:rsidP="00496169">
            <w:pPr>
              <w:widowControl w:val="0"/>
              <w:ind w:firstLine="284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948"/>
            <w:bookmarkStart w:id="1" w:name="_Toc480537172"/>
            <w:r w:rsidRPr="00496169">
              <w:rPr>
                <w:rFonts w:ascii="Times New Roman" w:hAnsi="Times New Roman"/>
                <w:b/>
                <w:bCs/>
                <w:sz w:val="28"/>
                <w:szCs w:val="28"/>
              </w:rPr>
              <w:t>РЕИНДУСТРИАЛИЗАЦИЯ КАК КОНЦЕПЦИЯ  ИННОВАЦИОННОГО РАЗВИТИЯ ПРОМЫШЛЕННОСТИ ДОНБАССА:ГЛОБАЛЬНЫЕ ВЫЗОВЫ И ПРОБЛЕМЫ</w:t>
            </w:r>
            <w:bookmarkEnd w:id="0"/>
            <w:bookmarkEnd w:id="1"/>
          </w:p>
        </w:tc>
      </w:tr>
      <w:tr w:rsidR="00496169" w:rsidRPr="00496169" w:rsidTr="00DC10B6">
        <w:tc>
          <w:tcPr>
            <w:tcW w:w="4707" w:type="dxa"/>
          </w:tcPr>
          <w:p w:rsidR="00496169" w:rsidRPr="00496169" w:rsidRDefault="00496169" w:rsidP="00496169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96169" w:rsidRPr="00496169" w:rsidRDefault="00496169" w:rsidP="00496169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169" w:rsidRPr="00496169" w:rsidTr="00DC10B6">
        <w:tc>
          <w:tcPr>
            <w:tcW w:w="4707" w:type="dxa"/>
          </w:tcPr>
          <w:p w:rsidR="00496169" w:rsidRPr="00496169" w:rsidRDefault="00496169" w:rsidP="00496169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496169" w:rsidRPr="00496169" w:rsidRDefault="00496169" w:rsidP="00496169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2" w:name="_Toc480490949"/>
            <w:bookmarkStart w:id="3" w:name="_Toc480537173"/>
            <w:r w:rsidRPr="00496169">
              <w:rPr>
                <w:rFonts w:ascii="Times New Roman" w:hAnsi="Times New Roman"/>
                <w:b/>
                <w:bCs/>
                <w:sz w:val="28"/>
                <w:szCs w:val="26"/>
              </w:rPr>
              <w:t>А.Ю. Ляшенко</w:t>
            </w:r>
            <w:bookmarkEnd w:id="2"/>
            <w:bookmarkEnd w:id="3"/>
          </w:p>
          <w:p w:rsidR="00496169" w:rsidRPr="00496169" w:rsidRDefault="00496169" w:rsidP="00496169">
            <w:pPr>
              <w:widowControl w:val="0"/>
              <w:ind w:left="7" w:right="20" w:hanging="7"/>
              <w:rPr>
                <w:rFonts w:ascii="Times New Roman" w:hAnsi="Times New Roman"/>
                <w:i/>
                <w:sz w:val="28"/>
                <w:szCs w:val="28"/>
              </w:rPr>
            </w:pPr>
            <w:r w:rsidRPr="00496169">
              <w:rPr>
                <w:rFonts w:ascii="Times New Roman" w:hAnsi="Times New Roman"/>
                <w:i/>
                <w:sz w:val="28"/>
                <w:szCs w:val="28"/>
              </w:rPr>
              <w:t>ГУ «Институт экономических исследований»,</w:t>
            </w:r>
          </w:p>
          <w:p w:rsidR="00496169" w:rsidRPr="00496169" w:rsidRDefault="00496169" w:rsidP="00496169">
            <w:pPr>
              <w:widowControl w:val="0"/>
              <w:ind w:left="7" w:right="20" w:hanging="7"/>
              <w:rPr>
                <w:rFonts w:ascii="Times New Roman" w:hAnsi="Times New Roman"/>
                <w:sz w:val="28"/>
              </w:rPr>
            </w:pPr>
            <w:r w:rsidRPr="00496169">
              <w:rPr>
                <w:rFonts w:ascii="Times New Roman" w:hAnsi="Times New Roman"/>
                <w:i/>
                <w:sz w:val="28"/>
                <w:szCs w:val="28"/>
              </w:rPr>
              <w:t xml:space="preserve"> г. Донецк, Донецкая Народная Республика </w:t>
            </w:r>
          </w:p>
        </w:tc>
      </w:tr>
    </w:tbl>
    <w:p w:rsidR="00496169" w:rsidRPr="00496169" w:rsidRDefault="00496169" w:rsidP="00496169">
      <w:pPr>
        <w:widowControl w:val="0"/>
        <w:spacing w:after="0" w:line="240" w:lineRule="auto"/>
        <w:ind w:left="7" w:right="20" w:firstLine="4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69" w:rsidRPr="00496169" w:rsidRDefault="00496169" w:rsidP="00496169">
      <w:pPr>
        <w:widowControl w:val="0"/>
        <w:spacing w:after="0" w:line="240" w:lineRule="auto"/>
        <w:ind w:left="6" w:right="23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Аннотация. В статье рассмотрены мировые тенденции технологического развития, приведена методика классификации отраслей по степени </w:t>
      </w:r>
      <w:proofErr w:type="spellStart"/>
      <w:r w:rsidRPr="004961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наукоёмкости</w:t>
      </w:r>
      <w:proofErr w:type="spellEnd"/>
      <w:r w:rsidRPr="004961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выпускаемой продукции, оценено состояние экономики Донбасса, обозначены основные проблемы и возможные пути развития в свете глобальных тенденций развития мировой промышленности. </w:t>
      </w:r>
    </w:p>
    <w:p w:rsidR="00496169" w:rsidRPr="00496169" w:rsidRDefault="00496169" w:rsidP="00496169">
      <w:pPr>
        <w:widowControl w:val="0"/>
        <w:spacing w:after="0" w:line="240" w:lineRule="auto"/>
        <w:ind w:left="6" w:right="23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Ключевые слова: </w:t>
      </w:r>
      <w:proofErr w:type="spellStart"/>
      <w:r w:rsidRPr="004961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неоиндустриализация</w:t>
      </w:r>
      <w:proofErr w:type="spellEnd"/>
      <w:r w:rsidRPr="004961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4961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реиндустриализация</w:t>
      </w:r>
      <w:proofErr w:type="spellEnd"/>
      <w:r w:rsidRPr="004961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интенсивность НИОКР, модернизация.</w:t>
      </w:r>
    </w:p>
    <w:p w:rsidR="00496169" w:rsidRPr="00496169" w:rsidRDefault="00496169" w:rsidP="00496169">
      <w:pPr>
        <w:widowControl w:val="0"/>
        <w:spacing w:after="0" w:line="240" w:lineRule="auto"/>
        <w:ind w:left="6" w:right="23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6169" w:rsidRPr="00496169" w:rsidRDefault="00496169" w:rsidP="00496169">
      <w:pPr>
        <w:widowControl w:val="0"/>
        <w:spacing w:after="0" w:line="240" w:lineRule="auto"/>
        <w:ind w:left="6" w:right="23" w:firstLine="709"/>
        <w:jc w:val="both"/>
        <w:rPr>
          <w:rFonts w:ascii="Times New Roman" w:eastAsia="Times New Roman" w:hAnsi="Times New Roman" w:cs="Times New Roman"/>
          <w:i/>
          <w:sz w:val="28"/>
          <w:lang w:val="en-US" w:eastAsia="ru-RU"/>
        </w:rPr>
      </w:pPr>
      <w:r w:rsidRPr="0049616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Summary. This article reveals global trends of technological development. The classification of industries by the level of technological intensity </w:t>
      </w:r>
      <w:proofErr w:type="gramStart"/>
      <w:r w:rsidRPr="0049616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is given</w:t>
      </w:r>
      <w:proofErr w:type="gramEnd"/>
      <w:r w:rsidRPr="0049616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in the article. </w:t>
      </w:r>
      <w:proofErr w:type="gramStart"/>
      <w:r w:rsidRPr="0049616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Also</w:t>
      </w:r>
      <w:proofErr w:type="gramEnd"/>
      <w:r w:rsidRPr="0049616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it estimates a current state of Donbass economy, the problems and possible ways of solving them are shown for Donbass region according to global trends of industrial development. </w:t>
      </w:r>
    </w:p>
    <w:p w:rsidR="00496169" w:rsidRPr="00496169" w:rsidRDefault="00496169" w:rsidP="00496169">
      <w:pPr>
        <w:widowControl w:val="0"/>
        <w:spacing w:after="0" w:line="240" w:lineRule="auto"/>
        <w:ind w:left="6" w:right="23" w:firstLine="709"/>
        <w:jc w:val="both"/>
        <w:rPr>
          <w:rFonts w:ascii="Times New Roman" w:eastAsia="Times New Roman" w:hAnsi="Times New Roman" w:cs="Times New Roman"/>
          <w:i/>
          <w:sz w:val="28"/>
          <w:lang w:val="en-US" w:eastAsia="ru-RU"/>
        </w:rPr>
      </w:pPr>
      <w:r w:rsidRPr="0049616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Keywords: neo-industrialization, reindustrialization, R&amp;D intensity, modernization.</w:t>
      </w:r>
    </w:p>
    <w:p w:rsidR="00496169" w:rsidRPr="00496169" w:rsidRDefault="00496169" w:rsidP="00496169">
      <w:pPr>
        <w:widowControl w:val="0"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96169" w:rsidRPr="00496169" w:rsidRDefault="00496169" w:rsidP="00496169">
      <w:pPr>
        <w:widowControl w:val="0"/>
        <w:spacing w:after="0" w:line="240" w:lineRule="auto"/>
        <w:ind w:left="6"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проблемы.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кризис 2008 г. продемонстрировал недостатки существующей концепции промышленного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 в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большинстве стран мира. Прежде всего, это было связано с доминирующей концепцией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постиндустриализации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развитых странах, а также с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деиндустриализацией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странах с переходной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экономикой,  обладающих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значительным промышленным потенциалом, но при этом низкой конкурентоспособностью промышленной продукции. Донбасс, являясь традиционно промышленным регионом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и  обладавший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значительным производственным и научно-технологическим потенциалом в довоенное время, имея в настоящее время множество политических, социальных, экономических проблем, требует выработки концепции восстановления и дальнейшего развития промышленности.</w:t>
      </w:r>
    </w:p>
    <w:p w:rsidR="00496169" w:rsidRPr="00496169" w:rsidRDefault="00496169" w:rsidP="00496169">
      <w:pPr>
        <w:widowControl w:val="0"/>
        <w:spacing w:after="0" w:line="240" w:lineRule="auto"/>
        <w:ind w:left="6"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исследования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рассмотрение тенденций развития промышленности в развитых странах и в странах с переходной экономикой, оценка состояния промышленности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Донбасса,  разработка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формированию концепции дальнейшего промышленного развития региона.</w:t>
      </w:r>
    </w:p>
    <w:p w:rsidR="00496169" w:rsidRPr="00496169" w:rsidRDefault="00496169" w:rsidP="00496169">
      <w:pPr>
        <w:widowControl w:val="0"/>
        <w:spacing w:after="0" w:line="240" w:lineRule="auto"/>
        <w:ind w:left="6"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новой индустриализации и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реиндустриализации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рассматриваются такими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отечественными учеными: Губанов С.С.,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Бажал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Ю.М. 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Геец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Александрова В.П.,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Одотюк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 а также зарубежными авторами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Bernard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 L. 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Weistein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JohnRees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MurphyK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ShleiferA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VishnyR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ZhangYong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6169" w:rsidRPr="00496169" w:rsidRDefault="00496169" w:rsidP="00496169">
      <w:pPr>
        <w:widowControl w:val="0"/>
        <w:spacing w:after="0" w:line="240" w:lineRule="auto"/>
        <w:ind w:left="6"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результаты.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усилия являются важнейшим фактором, определяющим рост производительности и уровень международной конкурентоспособности как региона, так и государства. При анализе эффективности работы отраслей промышленности и структурных изменений в экономике технологическим критериям придается большое значение. В развитых странах мира в настоящее время происходит информатизация промышленности, в её структуре увеличивается доля и значимость высокотехнологичных наукоемких отраслей. Именно эти отрасли определяют современный промышленный комплекс промышленно развитых государств.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GoBack"/>
      <w:bookmarkEnd w:id="4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Немецкая концепция “Индустрии 4.0”, которая стала ответом промышленных предприятий Европы на процесс глобального переноса производственных мощностей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Юго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-Восточную  Азию и в другие стремительно развивающиеся регионы, играет всё большую роль   в смене технологических укладов. Понятие «Индустрия 4.0» употребляется как синоним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IIoT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IndustrialInternetofThings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который является производным понятием от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IoT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Интернета Вещей. «Индустрия 4.0» — это применение Интернета Вещей в производстве. Ключевой особенностью «Индустрии 4.0» станет то, что все элементы производственной цепочки (оборудование предприятий, а также информационные системы предприятия - складского и логистического учета, бухгалтерии, управления и так далее) будут взаимодействовать между собой и другими системами и людьми для выполнения определенной цели как равные элементы, все более исключая человеческое вмешательство.</w:t>
      </w:r>
    </w:p>
    <w:p w:rsidR="00496169" w:rsidRPr="00496169" w:rsidRDefault="00496169" w:rsidP="0049616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 обозначенные тенденции развития промышленности, а также общемировые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  расширения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глобальных цепочек добавленной стоимости; увеличение значения и приоритет капитала, основанного на знаниях,  для экономики Донбасса возникает закономерный вопрос поиска пути и выработки стратегии дальнейшего развития экономики в сложившихся геополитических и экономических условиях.</w:t>
      </w:r>
    </w:p>
    <w:p w:rsidR="00496169" w:rsidRPr="00496169" w:rsidRDefault="00496169" w:rsidP="0049616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состояния промышленности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и  уровня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инновационного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следующей классификации отраслей по степени их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наукоёмкости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разработанной ОЭСР. Методика использует три показателя интенсивности технологии, отражающие, в различной степени аспекты «Технология-производитель» и «Технология-пользователь»:</w:t>
      </w:r>
    </w:p>
    <w:p w:rsidR="00496169" w:rsidRPr="00496169" w:rsidRDefault="00496169" w:rsidP="00496169">
      <w:pPr>
        <w:widowControl w:val="0"/>
        <w:spacing w:after="0" w:line="240" w:lineRule="auto"/>
        <w:ind w:left="7" w:firstLine="4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I) соотношение расходов на НИОКР и добавленной стоимости; </w:t>
      </w:r>
    </w:p>
    <w:p w:rsidR="00496169" w:rsidRPr="00496169" w:rsidRDefault="00496169" w:rsidP="00496169">
      <w:pPr>
        <w:widowControl w:val="0"/>
        <w:spacing w:after="0" w:line="240" w:lineRule="auto"/>
        <w:ind w:left="7" w:firstLine="4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II) соотношение расходов на НИОКР и объема производства; </w:t>
      </w:r>
    </w:p>
    <w:p w:rsidR="00496169" w:rsidRPr="00496169" w:rsidRDefault="00496169" w:rsidP="00496169">
      <w:pPr>
        <w:widowControl w:val="0"/>
        <w:spacing w:after="0" w:line="240" w:lineRule="auto"/>
        <w:ind w:left="7" w:firstLine="4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III) соотношение расходов на НИОКР плюс технологии, воплощенные в промежуточных товарах и товарах производственного значения и объема производства [9].</w:t>
      </w:r>
    </w:p>
    <w:p w:rsidR="00496169" w:rsidRPr="00496169" w:rsidRDefault="00496169" w:rsidP="00496169">
      <w:pPr>
        <w:widowControl w:val="0"/>
        <w:spacing w:after="0" w:line="240" w:lineRule="auto"/>
        <w:ind w:left="7" w:firstLine="4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источником для расчёта данных об интенсивности НИОКР являются показатели расходов на НИОКР (внутренние: текущие и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капитальные  и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внешние)  в разрезе видов деятельности, а также стоимость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НИОКР, воплощенная в промежуточных продуктах, полученная из отчётов «затраты-выпуск» по отраслям.</w:t>
      </w:r>
    </w:p>
    <w:p w:rsidR="00496169" w:rsidRPr="00496169" w:rsidRDefault="00496169" w:rsidP="0049616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методика не является исчерпывающей, однако она дает представление о структуре промышленного производства и степени интенсивности НИОКР в промышленности.</w:t>
      </w:r>
    </w:p>
    <w:p w:rsidR="00496169" w:rsidRPr="00496169" w:rsidRDefault="00496169" w:rsidP="00496169">
      <w:pPr>
        <w:widowControl w:val="0"/>
        <w:spacing w:after="0" w:line="240" w:lineRule="auto"/>
        <w:ind w:left="7" w:firstLine="4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экономический кризис продемонстрировал необходимость существования мощной конкурентоспособной производственной базы. Так, в европейских странах в последние годы наблюдается постоянное уменьшение доли промышленности в структуре ВВП. Актуальные данные показывают, что экономики развитых стран, развиваясь в рамках постиндустриальной парадигмы, начинают испытывать проблемы, вызванные сжатием промышленного сектора. </w:t>
      </w:r>
    </w:p>
    <w:p w:rsidR="00496169" w:rsidRPr="00496169" w:rsidRDefault="00496169" w:rsidP="00496169">
      <w:pPr>
        <w:widowControl w:val="0"/>
        <w:spacing w:after="0" w:line="240" w:lineRule="auto"/>
        <w:ind w:left="7" w:firstLine="4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496169" w:rsidRPr="00496169" w:rsidRDefault="00496169" w:rsidP="00496169">
      <w:pPr>
        <w:widowControl w:val="0"/>
        <w:spacing w:after="0" w:line="240" w:lineRule="auto"/>
        <w:ind w:left="7" w:firstLine="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 отраслей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 по уровню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наукоёмкости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[9]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786"/>
      </w:tblGrid>
      <w:tr w:rsidR="00496169" w:rsidRPr="00496169" w:rsidTr="00DC10B6">
        <w:tc>
          <w:tcPr>
            <w:tcW w:w="4592" w:type="dxa"/>
            <w:shd w:val="clear" w:color="auto" w:fill="auto"/>
          </w:tcPr>
          <w:p w:rsidR="00496169" w:rsidRPr="00496169" w:rsidRDefault="00496169" w:rsidP="004961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4961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Высокотехнологичныеотрасли</w:t>
            </w:r>
            <w:proofErr w:type="spellEnd"/>
          </w:p>
        </w:tc>
        <w:tc>
          <w:tcPr>
            <w:tcW w:w="5047" w:type="dxa"/>
            <w:shd w:val="clear" w:color="auto" w:fill="auto"/>
          </w:tcPr>
          <w:p w:rsidR="00496169" w:rsidRPr="00496169" w:rsidRDefault="00496169" w:rsidP="00496169">
            <w:pPr>
              <w:widowControl w:val="0"/>
              <w:tabs>
                <w:tab w:val="left" w:pos="5060"/>
              </w:tabs>
              <w:spacing w:after="0" w:line="240" w:lineRule="auto"/>
              <w:ind w:left="3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4961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Среднетехнологичные</w:t>
            </w:r>
            <w:proofErr w:type="spellEnd"/>
            <w:r w:rsidRPr="004961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отрасли</w:t>
            </w:r>
          </w:p>
        </w:tc>
      </w:tr>
      <w:tr w:rsidR="00496169" w:rsidRPr="00496169" w:rsidTr="00DC10B6">
        <w:tc>
          <w:tcPr>
            <w:tcW w:w="4592" w:type="dxa"/>
            <w:shd w:val="clear" w:color="auto" w:fill="auto"/>
          </w:tcPr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Производство летательных и космических аппаратов</w:t>
            </w:r>
          </w:p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Фармацевтическое производство.</w:t>
            </w:r>
          </w:p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Производство офисного, бухгалтерского и компьютерного оборудования.</w:t>
            </w:r>
          </w:p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Радио, ТВ и коммуникационное оборудование.</w:t>
            </w:r>
          </w:p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Медицинские, точные и оптические инструменты.</w:t>
            </w:r>
          </w:p>
        </w:tc>
        <w:tc>
          <w:tcPr>
            <w:tcW w:w="5047" w:type="dxa"/>
            <w:shd w:val="clear" w:color="auto" w:fill="auto"/>
          </w:tcPr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Электрическое машиностроение и производство аппаратов, не вошедшее в другие категории.</w:t>
            </w:r>
          </w:p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Производство транспортных </w:t>
            </w:r>
            <w:proofErr w:type="spellStart"/>
            <w:proofErr w:type="gramStart"/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средств,прицепов</w:t>
            </w:r>
            <w:proofErr w:type="spellEnd"/>
            <w:proofErr w:type="gramEnd"/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полуприцепов.</w:t>
            </w:r>
          </w:p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Химическая промышленность, кроме фармацевтической.</w:t>
            </w:r>
          </w:p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Производство железнодорожного </w:t>
            </w:r>
            <w:proofErr w:type="gramStart"/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  транспортного</w:t>
            </w:r>
            <w:proofErr w:type="gramEnd"/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оборудования, не вошедшего в другие категории.</w:t>
            </w:r>
          </w:p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Машиностроение и производство оборудования, не вошедшее в другие категории.</w:t>
            </w:r>
          </w:p>
        </w:tc>
      </w:tr>
      <w:tr w:rsidR="00496169" w:rsidRPr="00496169" w:rsidTr="00DC10B6">
        <w:trPr>
          <w:trHeight w:val="430"/>
        </w:trPr>
        <w:tc>
          <w:tcPr>
            <w:tcW w:w="4592" w:type="dxa"/>
            <w:shd w:val="clear" w:color="auto" w:fill="auto"/>
          </w:tcPr>
          <w:p w:rsidR="00496169" w:rsidRPr="00496169" w:rsidRDefault="00496169" w:rsidP="004961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Средне-</w:t>
            </w:r>
            <w:proofErr w:type="spellStart"/>
            <w:r w:rsidRPr="004961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низкотехнологичные</w:t>
            </w:r>
            <w:proofErr w:type="spellEnd"/>
            <w:r w:rsidRPr="004961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отрасли</w:t>
            </w:r>
          </w:p>
        </w:tc>
        <w:tc>
          <w:tcPr>
            <w:tcW w:w="5047" w:type="dxa"/>
            <w:shd w:val="clear" w:color="auto" w:fill="auto"/>
          </w:tcPr>
          <w:p w:rsidR="00496169" w:rsidRPr="00496169" w:rsidRDefault="00496169" w:rsidP="004961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4961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Низкотехнологичные</w:t>
            </w:r>
            <w:proofErr w:type="spellEnd"/>
            <w:r w:rsidRPr="004961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отрасли</w:t>
            </w:r>
          </w:p>
        </w:tc>
      </w:tr>
      <w:tr w:rsidR="00496169" w:rsidRPr="00496169" w:rsidTr="00DC10B6">
        <w:tc>
          <w:tcPr>
            <w:tcW w:w="4592" w:type="dxa"/>
            <w:shd w:val="clear" w:color="auto" w:fill="auto"/>
          </w:tcPr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 и ремонт судов и лодок.</w:t>
            </w:r>
          </w:p>
          <w:p w:rsidR="00496169" w:rsidRPr="00496169" w:rsidRDefault="00496169" w:rsidP="00496169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Производство резиновых и пластмассовых изделий.</w:t>
            </w:r>
          </w:p>
          <w:p w:rsidR="00496169" w:rsidRPr="00496169" w:rsidRDefault="00496169" w:rsidP="00496169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Кокс, продукты переработки нефти, ядерное топливо.</w:t>
            </w:r>
          </w:p>
          <w:p w:rsidR="00496169" w:rsidRPr="00496169" w:rsidRDefault="00496169" w:rsidP="004961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неметаллические минеральные продукты.</w:t>
            </w:r>
          </w:p>
          <w:p w:rsidR="00496169" w:rsidRPr="00496169" w:rsidRDefault="00496169" w:rsidP="004961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Производство основных металлов и металлической продукции.</w:t>
            </w:r>
          </w:p>
        </w:tc>
        <w:tc>
          <w:tcPr>
            <w:tcW w:w="5047" w:type="dxa"/>
            <w:shd w:val="clear" w:color="auto" w:fill="auto"/>
          </w:tcPr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Производство, не вошедшее ни в одну из категорий.</w:t>
            </w:r>
          </w:p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Промышленная переработка.</w:t>
            </w:r>
          </w:p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Производство изделий из древесины, бумаги, </w:t>
            </w:r>
            <w:proofErr w:type="gramStart"/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бумажные  продукты</w:t>
            </w:r>
            <w:proofErr w:type="gramEnd"/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печатное и издательское дело.</w:t>
            </w:r>
          </w:p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Производство продуктов питания, напитков, табачных изделий.</w:t>
            </w:r>
          </w:p>
          <w:p w:rsidR="00496169" w:rsidRPr="00496169" w:rsidRDefault="00496169" w:rsidP="00496169">
            <w:pPr>
              <w:widowControl w:val="0"/>
              <w:tabs>
                <w:tab w:val="left" w:pos="5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61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Производство ткани, текстильных изделий, изделий из кожи, производство обуви.</w:t>
            </w:r>
          </w:p>
        </w:tc>
      </w:tr>
    </w:tbl>
    <w:p w:rsidR="00496169" w:rsidRPr="00496169" w:rsidRDefault="00496169" w:rsidP="004961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среднем в мире во второй половине XX в. доля промышленности в ВВП сократилась с 40% до менее, чем 30%, а доля занятых в промышленности снизилась почти до 20%. «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Деиндустриализация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первую очередь, затронула экономически развитые страны и старые отрасли, такие как металлургия, текстильная промышленность [3].</w:t>
      </w:r>
    </w:p>
    <w:p w:rsidR="00496169" w:rsidRPr="00496169" w:rsidRDefault="00496169" w:rsidP="0049616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странах с переходной экономикой экспортно-сырьевая модель развития не позволила в значительной мере проявиться тенденциям, характерным для постиндустриального общества, однако подобные тенденции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деиндустриализации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наблюдались. Гипертрофированное развитие сектора товаров внутренней торговли, преобладание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низкотехон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логичных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отраслей в промышленности и экспорте стали значительными препятствиями для устойчивого экономического роста, что значительно повысило чувствительность к внутренним и внешним макроэкономическим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шокам[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7].</w:t>
      </w:r>
    </w:p>
    <w:p w:rsidR="00496169" w:rsidRPr="00496169" w:rsidRDefault="00496169" w:rsidP="0049616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Оценивая состояние экономики Донбасса, необходимо отметить материальное производство как доминирующую сферу экономики. Однако, технологии, используемые в промышленности, являются устаревшими и требуют модернизации 80-90% основных фондов. Преимущественно промышленность Донбасса соответствуют III-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IVтехнологическому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укладу, или в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приведенной выше классификацией – преобладают средне-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низкотехнологичные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отрасли. В структуре промышленности преобладают традиционные для региона виды деятельности: металлургия, машиностроение, угледобыча. Ключевыми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среднетехнологичными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отраслями являются тяжелое машиностроение, автомобиле- и тракторостроение, химическая промышленность. В машиностроении доля четвертого технологического уклада составляет 30-40%, пятого – около 5 %, на третий и второй ТУ приходятся более 40%.  В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металлургии,  которая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2/3 от всего объема промышленного производства, используются преимущественно технологии, соответствующие III ТУ. Основными препятствиями устойчивого инновационного развития являются: продолжающиеся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на Донбассе; дефицит кадров (высоко- и низкоквалифицированных технических, а также управленческих), который существенно сказывается на технологическом уровне производства; значительный уровень физических разрушений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промышленных предприятий; технологическое отставание сохранившихся предприятий.</w:t>
      </w:r>
    </w:p>
    <w:p w:rsidR="00496169" w:rsidRPr="00496169" w:rsidRDefault="00496169" w:rsidP="004961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Модернизация промышленности Донбасса в актуальных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 может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происходить по двум сценариям: индустриализация в традиционном понимании, которая подразумевает поддержание и  модернизацию существующих производств и оборудования с последующим переходом к следующей стадии индустриального развития. Этот вариант предполагает значительные финансовые затраты, связанные с обновлением основных фондов. Второй вариант − развитие опережающими темпами, т.е. модернизация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  в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 глобальными вызовами,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неоиндустриальное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промышленности: автоматизация, широкое использование цифровых и Интернет-технологий. Речь идет соответственно о двух моделях развития –«догоняющей» и «прорывной».</w:t>
      </w:r>
    </w:p>
    <w:p w:rsidR="00496169" w:rsidRPr="00496169" w:rsidRDefault="00496169" w:rsidP="0049616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настоящее время в концепциях долгосрочного промышленного развития всё чаще употребляется термин «</w:t>
      </w:r>
      <w:proofErr w:type="spellStart"/>
      <w:r w:rsidRPr="004961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реиндустриализация</w:t>
      </w:r>
      <w:proofErr w:type="spellEnd"/>
      <w:r w:rsidRPr="004961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 который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контекста носит различный смысл. Например,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реиндустриализация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переход от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раннеиндустриальной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индустриальной базы производства к его новым технико-технологическим основаниям, переход производства на более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прогрессивныйпуть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(прогрессивные «высокие» технологии, информатика, биотехнологии, новые материалы и источники энергии) [5]. В развитых странах под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реиндустриализацией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  процесс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обратный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деиндустриализаци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(переносу материального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производства в страны с низкой заработной платой при одновременном повышении интеллектуальной составляющей цены продукта, которая создаётся в странах с высокими доходами, т.е. в постиндустриальных странах). В целом под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деиндустриализацией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понимают существенное снижение доли обрабатывающей промышленности в экономике страны,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промышленность становится неконкурентоспособной в отношении соседних стран.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Деиндустриализация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связана со структурной перестройкой экономики, когда на первый план выходит сфера услуг или финансово-кредитная сфера, а также являться результатом глубокого кризиса экономики.</w:t>
      </w:r>
    </w:p>
    <w:p w:rsidR="00496169" w:rsidRPr="00496169" w:rsidRDefault="00496169" w:rsidP="004961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странах с переходной экономикой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деиндустриализация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явилась следствием неэффективных реформ промышленности, низкой инновационной активности предприятий, отсутствием институциональной среды для развития инновационного предпринимательства в промышленном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секторе  и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низкого уровня конкурентоспособности выпускаемой продукции на мировом рынке.  В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  были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потеряны целые отрасли, значительно сократились объемы промышленного производства.</w:t>
      </w:r>
    </w:p>
    <w:p w:rsidR="00496169" w:rsidRPr="00496169" w:rsidRDefault="00496169" w:rsidP="004961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ученые отмечают, что развитие инноваций является перспективным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 промышленного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развития, однако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дают возможности компенсировать потери от снижения уровня промышленного производства и связанного с ним роста безработицы. Поэтому главной целью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реиндустриализации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создание мощной производственной базы, способной обеспечить долгосрочное устойчивое развитие экономики, т.е. новая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индустриализация  не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преследует цель производства инноваций ради инноваций, она нацелена на  производство инноваций ради создания  мощной индустриальной базы, способной наилучшим образом удовлетворить общественные потребности, не исключая развитие традиционных и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низкотехнологичных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отраслей промышленности.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Реиндустриализация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 как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 выхода из рецессии и как  новая  модель устойчивого развития. Учитывая разные причины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деиндустриализации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развитых странах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странах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переходной экономикой,  следует  предположить, что  условия и цели и 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реиндустриализации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будут разными. </w:t>
      </w:r>
    </w:p>
    <w:p w:rsidR="00496169" w:rsidRPr="00496169" w:rsidRDefault="00496169" w:rsidP="004961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время, как для развитых стран целями реиндустриализацииявляютсяповышениеконкурентоспособностипромышленнойпродукции, лидерство в технологиях промышленного производства,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экологичные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продукты и производства, лидерство в производственных процессах, так же как в культурной, этической сфере и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стандартов, для стран с переходной экономикой возможным сценарием развития представляется смешанная модель научно-технического развития, которая предполагает частичный переход к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неоиндустриалиной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стадии посредством заимствования новых технологий. Это т.н. эффект “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leap-frog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(англ.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прыгать,   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перепрыгивать), т.е. переход к использованию новейших технологий, перескочив некоторые промежуточные этапы развития (например, мобильная связь, цифровые медицинские технологии, солнечная энергия и т.д.) [6]. Яркими примерами такого перехода являются Южная Корея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Сингапур, которые перешагнули промежуточный этап развития посредством использования новых технологий в промышленности. Развитию в этих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странах  способствовало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правительством конкурентных условий для  малого и среднего бизнеса, либерализация рынка телекоммуникаций, государственная поддержка инноваций и, что наиболее важно, переход к экономике, основанной на знаниях посредством инвестирования в человеческий капитал. Однако без создания инфраструктуры для внедрения инноваций заимствование новых технологий может оказаться неуспешным. Подтверждением тому является опыт внедрения Интернет-технологий в странах Африки и Латинской Америки, когда препятствием стала неготовность инфраструктуры к технологическим изменениям и как следствие возникла зависимость от иностранных компаний в сфере обеспечения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оборудованием  и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персонала.</w:t>
      </w:r>
    </w:p>
    <w:p w:rsidR="00496169" w:rsidRPr="00496169" w:rsidRDefault="00496169" w:rsidP="004961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следует отметить, что в развитых странах, программа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реиндустриализации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приоритет развития высокотехнологичных производств, однако не исключает развитие низко- и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среднетехнологичных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отраслей с использованием высокотехнологичного оборудования.</w:t>
      </w:r>
    </w:p>
    <w:p w:rsidR="00496169" w:rsidRPr="00496169" w:rsidRDefault="00496169" w:rsidP="004961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Выводы.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анализируя состояние промышленности Донбасса в свете глобальных тенденций развития промышленного производства, в условиях войны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и  ограниченных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экономики наиболее рациональным представляется вариант смешанного «догоняющего» и «прорывного» инновационного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пути развития. При сравнительно низких издержках целесообразно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 производства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низко- и 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среднетехнологичной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что обеспечит занятость работникам средней и низшей квалификации. «Прорывное» развитие предполагает освоение и заимствование и внедрение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передовых технологий. Главной целью государственного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 на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начальном этапе может стать восстановление и развитие промышленной инфраструктуры, а также создание институциональной среды для развития инновационного предпринимательства.</w:t>
      </w:r>
    </w:p>
    <w:p w:rsidR="00496169" w:rsidRPr="00496169" w:rsidRDefault="00496169" w:rsidP="004961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важной задачей государства, которая несет в себе определенный риск для органов государственного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правления,  является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выбор приоритетов промышленного развития, т.е. отраслей и предприятий, которые используют новые технологии с наибольшей интенсивностью и способны оказать положительный мультипликативный эффект на экономику.  На их основе возможно дальнейшее формирование наукоёмких </w:t>
      </w:r>
      <w:proofErr w:type="spell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экспортоориентированных</w:t>
      </w:r>
      <w:proofErr w:type="spell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производств, а также локально взаимосвязанных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  научно</w:t>
      </w:r>
      <w:proofErr w:type="gramEnd"/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-исследовательских, производственных и посреднических организаций при поддержке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1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4635"/>
        <w:gridCol w:w="4230"/>
      </w:tblGrid>
      <w:tr w:rsidR="00496169" w:rsidRPr="00496169" w:rsidTr="00DC10B6">
        <w:tc>
          <w:tcPr>
            <w:tcW w:w="4900" w:type="dxa"/>
            <w:gridSpan w:val="2"/>
          </w:tcPr>
          <w:p w:rsidR="00496169" w:rsidRPr="00496169" w:rsidRDefault="00496169" w:rsidP="0049616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6" w:type="dxa"/>
          </w:tcPr>
          <w:p w:rsidR="00496169" w:rsidRPr="00496169" w:rsidRDefault="00496169" w:rsidP="0049616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169" w:rsidRPr="00496169" w:rsidTr="00DC10B6">
        <w:tc>
          <w:tcPr>
            <w:tcW w:w="9746" w:type="dxa"/>
            <w:gridSpan w:val="3"/>
          </w:tcPr>
          <w:p w:rsidR="00496169" w:rsidRPr="00496169" w:rsidRDefault="00496169" w:rsidP="0049616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169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496169" w:rsidRPr="00496169" w:rsidTr="00DC10B6">
        <w:tc>
          <w:tcPr>
            <w:tcW w:w="433" w:type="dxa"/>
          </w:tcPr>
          <w:p w:rsidR="00496169" w:rsidRPr="00496169" w:rsidRDefault="00496169" w:rsidP="0049616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3" w:type="dxa"/>
            <w:gridSpan w:val="2"/>
          </w:tcPr>
          <w:p w:rsidR="00496169" w:rsidRPr="00496169" w:rsidRDefault="00496169" w:rsidP="00496169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Збаразська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Л.О.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Проблеми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стратегії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фінансово-економічного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промисловості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/ Л.О.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Збаразська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Економіка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6169">
              <w:rPr>
                <w:rFonts w:ascii="Times New Roman" w:hAnsi="Times New Roman"/>
                <w:sz w:val="24"/>
                <w:szCs w:val="24"/>
              </w:rPr>
              <w:t>промисловості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>.−</w:t>
            </w:r>
            <w:proofErr w:type="gram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2016.− №3 (75). – С. 6-32.</w:t>
            </w:r>
          </w:p>
        </w:tc>
      </w:tr>
      <w:tr w:rsidR="00496169" w:rsidRPr="00496169" w:rsidTr="00DC10B6">
        <w:tc>
          <w:tcPr>
            <w:tcW w:w="433" w:type="dxa"/>
          </w:tcPr>
          <w:p w:rsidR="00496169" w:rsidRPr="00496169" w:rsidRDefault="00496169" w:rsidP="0049616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3" w:type="dxa"/>
            <w:gridSpan w:val="2"/>
          </w:tcPr>
          <w:p w:rsidR="00496169" w:rsidRPr="00496169" w:rsidRDefault="00496169" w:rsidP="00496169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169">
              <w:rPr>
                <w:rFonts w:ascii="Times New Roman" w:hAnsi="Times New Roman"/>
                <w:sz w:val="24"/>
                <w:szCs w:val="24"/>
              </w:rPr>
              <w:t xml:space="preserve">Концепция программы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реиндустриализации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экономики Новосибирской </w:t>
            </w:r>
            <w:r w:rsidRPr="004961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 до 2025 г. [Электронный ресурс]: – 2016 г.- Режим доступа: </w:t>
            </w:r>
            <w:hyperlink r:id="rId5" w:history="1">
              <w:r w:rsidRPr="00496169">
                <w:rPr>
                  <w:rFonts w:ascii="Times New Roman" w:hAnsi="Times New Roman"/>
                  <w:sz w:val="24"/>
                  <w:szCs w:val="24"/>
                  <w:u w:val="single"/>
                </w:rPr>
                <w:t>https://www.sbras.ru/files/</w:t>
              </w:r>
            </w:hyperlink>
            <w:r w:rsidRPr="00496169">
              <w:rPr>
                <w:rFonts w:ascii="Times New Roman" w:hAnsi="Times New Roman"/>
                <w:sz w:val="24"/>
                <w:szCs w:val="24"/>
              </w:rPr>
              <w:t>news/docs/programma_reindustrializacii.pdf</w:t>
            </w:r>
          </w:p>
        </w:tc>
      </w:tr>
      <w:tr w:rsidR="00496169" w:rsidRPr="00496169" w:rsidTr="00DC10B6">
        <w:tc>
          <w:tcPr>
            <w:tcW w:w="433" w:type="dxa"/>
          </w:tcPr>
          <w:p w:rsidR="00496169" w:rsidRPr="00496169" w:rsidRDefault="00496169" w:rsidP="0049616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3" w:type="dxa"/>
            <w:gridSpan w:val="2"/>
          </w:tcPr>
          <w:p w:rsidR="00496169" w:rsidRPr="00496169" w:rsidRDefault="00496169" w:rsidP="00496169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6169">
              <w:rPr>
                <w:rFonts w:ascii="Times New Roman" w:hAnsi="Times New Roman"/>
                <w:sz w:val="24"/>
                <w:szCs w:val="24"/>
              </w:rPr>
              <w:t xml:space="preserve">Коровин Г.Б. Теоретические аспекты новой индустриализации России[Электронный Ресурс] /Г.Б. Коровин//Современные исследования  социальных проблем (электронный научный журнал).−2014.− </w:t>
            </w:r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№6 (38) - </w:t>
            </w:r>
            <w:r w:rsidRPr="00496169">
              <w:rPr>
                <w:rFonts w:ascii="Times New Roman" w:hAnsi="Times New Roman"/>
                <w:sz w:val="24"/>
                <w:szCs w:val="24"/>
              </w:rPr>
              <w:t>С</w:t>
            </w:r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.1-17.- </w:t>
            </w:r>
            <w:r w:rsidRPr="00496169">
              <w:rPr>
                <w:rFonts w:ascii="Times New Roman" w:hAnsi="Times New Roman"/>
                <w:sz w:val="24"/>
                <w:szCs w:val="24"/>
              </w:rPr>
              <w:t>Режим</w:t>
            </w:r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96169">
              <w:rPr>
                <w:rFonts w:ascii="Times New Roman" w:hAnsi="Times New Roman"/>
                <w:sz w:val="24"/>
                <w:szCs w:val="24"/>
              </w:rPr>
              <w:t>доступа</w:t>
            </w:r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кжурн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>.:http://cyberleninka.ru/article/n/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>teoreticheskie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 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>aspekty-novoy-industrializatsii-rossii</w:t>
            </w:r>
            <w:proofErr w:type="spellEnd"/>
          </w:p>
        </w:tc>
      </w:tr>
      <w:tr w:rsidR="00496169" w:rsidRPr="00496169" w:rsidTr="00DC10B6">
        <w:tc>
          <w:tcPr>
            <w:tcW w:w="433" w:type="dxa"/>
          </w:tcPr>
          <w:p w:rsidR="00496169" w:rsidRPr="00496169" w:rsidRDefault="00496169" w:rsidP="0049616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13" w:type="dxa"/>
            <w:gridSpan w:val="2"/>
          </w:tcPr>
          <w:p w:rsidR="00496169" w:rsidRPr="00496169" w:rsidRDefault="00496169" w:rsidP="00496169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169">
              <w:rPr>
                <w:rFonts w:ascii="Times New Roman" w:hAnsi="Times New Roman"/>
                <w:sz w:val="24"/>
                <w:szCs w:val="24"/>
              </w:rPr>
              <w:t>Крюкова Т.М. Технологические уклады как основа развития общественного производства и инновационной деятельности путем реализации промышленной политики в современных условиях хозяйствования и управления/ Т.М. Крюкова//Экономика, инновации, менеджмент: труды Нижегородского государственного технического университета им. Р.А. </w:t>
            </w:r>
            <w:proofErr w:type="gramStart"/>
            <w:r w:rsidRPr="00496169">
              <w:rPr>
                <w:rFonts w:ascii="Times New Roman" w:hAnsi="Times New Roman"/>
                <w:sz w:val="24"/>
                <w:szCs w:val="24"/>
              </w:rPr>
              <w:t>Алексеева.−</w:t>
            </w:r>
            <w:proofErr w:type="gram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2015. − № 3(110) – С.287- 294.</w:t>
            </w:r>
          </w:p>
        </w:tc>
      </w:tr>
      <w:tr w:rsidR="00496169" w:rsidRPr="00496169" w:rsidTr="00DC10B6">
        <w:tc>
          <w:tcPr>
            <w:tcW w:w="433" w:type="dxa"/>
          </w:tcPr>
          <w:p w:rsidR="00496169" w:rsidRPr="00496169" w:rsidRDefault="00496169" w:rsidP="0049616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3" w:type="dxa"/>
            <w:gridSpan w:val="2"/>
          </w:tcPr>
          <w:p w:rsidR="00496169" w:rsidRPr="00496169" w:rsidRDefault="00496169" w:rsidP="00496169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96169">
              <w:rPr>
                <w:rFonts w:ascii="Times New Roman" w:hAnsi="Times New Roman"/>
                <w:sz w:val="24"/>
                <w:szCs w:val="24"/>
              </w:rPr>
              <w:t>Кулаев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 А.П.</w:t>
            </w:r>
            <w:proofErr w:type="gram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Методологические и методическиеаспектыразработкипрограммыреиндустриализацииэкономикисубъектафедерации/ А.П. 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Кулаев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// Проблемы инновационного управления экономикой регионов Сибири: сборник научных трудов Института экономики и организации промышленного производства СО РАН. Новосибирск.− 2015 г. – С.151−167.</w:t>
            </w:r>
          </w:p>
        </w:tc>
      </w:tr>
      <w:tr w:rsidR="00496169" w:rsidRPr="00496169" w:rsidTr="00DC10B6">
        <w:tc>
          <w:tcPr>
            <w:tcW w:w="433" w:type="dxa"/>
          </w:tcPr>
          <w:p w:rsidR="00496169" w:rsidRPr="00496169" w:rsidRDefault="00496169" w:rsidP="0049616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3" w:type="dxa"/>
            <w:gridSpan w:val="2"/>
          </w:tcPr>
          <w:p w:rsidR="00496169" w:rsidRPr="00496169" w:rsidRDefault="00496169" w:rsidP="00496169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169">
              <w:rPr>
                <w:rFonts w:ascii="Times New Roman" w:hAnsi="Times New Roman"/>
                <w:sz w:val="24"/>
                <w:szCs w:val="24"/>
              </w:rPr>
              <w:t xml:space="preserve">Новые технологии и продолжение эволюции человека?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Трансгуманистическийпроект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будущего/Под ред.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В.Прайд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>, А.В. </w:t>
            </w:r>
            <w:proofErr w:type="spellStart"/>
            <w:proofErr w:type="gramStart"/>
            <w:r w:rsidRPr="00496169">
              <w:rPr>
                <w:rFonts w:ascii="Times New Roman" w:hAnsi="Times New Roman"/>
                <w:sz w:val="24"/>
                <w:szCs w:val="24"/>
              </w:rPr>
              <w:t>Коротаева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>.−</w:t>
            </w:r>
            <w:proofErr w:type="gram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М.: Издательство ЛКИ, 2008. – 320 с.</w:t>
            </w:r>
          </w:p>
        </w:tc>
      </w:tr>
      <w:tr w:rsidR="00496169" w:rsidRPr="00496169" w:rsidTr="00DC10B6">
        <w:tc>
          <w:tcPr>
            <w:tcW w:w="433" w:type="dxa"/>
          </w:tcPr>
          <w:p w:rsidR="00496169" w:rsidRPr="00496169" w:rsidRDefault="00496169" w:rsidP="0049616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3" w:type="dxa"/>
            <w:gridSpan w:val="2"/>
          </w:tcPr>
          <w:p w:rsidR="00496169" w:rsidRPr="00496169" w:rsidRDefault="00496169" w:rsidP="00496169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Шантенко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К.О. Нова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індустріалізація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світова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тенденція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496169">
              <w:rPr>
                <w:rFonts w:ascii="Times New Roman" w:hAnsi="Times New Roman"/>
                <w:sz w:val="24"/>
                <w:szCs w:val="24"/>
              </w:rPr>
              <w:t>перспективи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 для</w:t>
            </w:r>
            <w:proofErr w:type="gram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/ К.О.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Шантенко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Науковий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вісник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Ужгородського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університету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економіка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Випуск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</w:rPr>
              <w:t xml:space="preserve"> 2(48).−2016.−С.56-61.</w:t>
            </w:r>
          </w:p>
        </w:tc>
      </w:tr>
      <w:tr w:rsidR="00496169" w:rsidRPr="00496169" w:rsidTr="00DC10B6">
        <w:tc>
          <w:tcPr>
            <w:tcW w:w="433" w:type="dxa"/>
          </w:tcPr>
          <w:p w:rsidR="00496169" w:rsidRPr="00496169" w:rsidRDefault="00496169" w:rsidP="0049616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3" w:type="dxa"/>
            <w:gridSpan w:val="2"/>
          </w:tcPr>
          <w:p w:rsidR="00496169" w:rsidRPr="00496169" w:rsidRDefault="00496169" w:rsidP="00496169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Industrial policy in a high-income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>Economies.International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Center for Trade and Sustainable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>Developement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− [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Электронныйресурс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] –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Режимдоступа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496169" w:rsidRPr="00496169" w:rsidRDefault="00496169" w:rsidP="00496169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61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http://e15initiative.org/publications/industrial-policy-in-high-income-economies/</w:t>
            </w:r>
          </w:p>
        </w:tc>
      </w:tr>
      <w:tr w:rsidR="00496169" w:rsidRPr="00496169" w:rsidTr="00DC10B6">
        <w:tc>
          <w:tcPr>
            <w:tcW w:w="433" w:type="dxa"/>
          </w:tcPr>
          <w:p w:rsidR="00496169" w:rsidRPr="00496169" w:rsidRDefault="00496169" w:rsidP="0049616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13" w:type="dxa"/>
            <w:gridSpan w:val="2"/>
          </w:tcPr>
          <w:p w:rsidR="00496169" w:rsidRPr="00496169" w:rsidRDefault="00496169" w:rsidP="00496169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>ISIC REV.3 Technology intensity definition. Classification of manufacturing industries into categories based on R&amp;D intensities, 7 July,  2011 − 7 p. − [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– </w:t>
            </w:r>
            <w:proofErr w:type="spellStart"/>
            <w:r w:rsidRPr="00496169">
              <w:rPr>
                <w:rFonts w:ascii="Times New Roman" w:hAnsi="Times New Roman"/>
                <w:sz w:val="24"/>
                <w:szCs w:val="24"/>
              </w:rPr>
              <w:t>Режимдоступа</w:t>
            </w:r>
            <w:proofErr w:type="spellEnd"/>
            <w:r w:rsidRPr="0049616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hyperlink r:id="rId6" w:history="1">
              <w:r w:rsidRPr="00496169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https://www.oecd.org/sti/ind/48350231.pdf</w:t>
              </w:r>
            </w:hyperlink>
          </w:p>
        </w:tc>
      </w:tr>
    </w:tbl>
    <w:p w:rsidR="00C808F0" w:rsidRPr="00496169" w:rsidRDefault="00C808F0">
      <w:pPr>
        <w:rPr>
          <w:lang w:val="en-US"/>
        </w:rPr>
      </w:pPr>
    </w:p>
    <w:sectPr w:rsidR="00C808F0" w:rsidRPr="00496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23CF1"/>
    <w:multiLevelType w:val="hybridMultilevel"/>
    <w:tmpl w:val="31E2F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B0440"/>
    <w:multiLevelType w:val="hybridMultilevel"/>
    <w:tmpl w:val="71CC3340"/>
    <w:lvl w:ilvl="0" w:tplc="D3C6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69"/>
    <w:rsid w:val="00496169"/>
    <w:rsid w:val="00C8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DEAF"/>
  <w15:chartTrackingRefBased/>
  <w15:docId w15:val="{083E25EE-4B88-4437-9598-8785E79A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1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cd.org/sti/ind/48350231.pdf" TargetMode="External"/><Relationship Id="rId5" Type="http://schemas.openxmlformats.org/officeDocument/2006/relationships/hyperlink" Target="https://www.sbras.ru/fi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2017-12-04T12:20:00Z</dcterms:created>
  <dcterms:modified xsi:type="dcterms:W3CDTF">2017-12-04T12:23:00Z</dcterms:modified>
</cp:coreProperties>
</file>