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81"/>
      </w:tblGrid>
      <w:tr w:rsidR="00410621" w:rsidRPr="00D22AF9" w:rsidTr="004E1C7B">
        <w:tc>
          <w:tcPr>
            <w:tcW w:w="9520" w:type="dxa"/>
            <w:gridSpan w:val="2"/>
            <w:hideMark/>
          </w:tcPr>
          <w:p w:rsidR="00410621" w:rsidRPr="00D22AF9" w:rsidRDefault="00410621" w:rsidP="004E1C7B">
            <w:pPr>
              <w:widowControl w:val="0"/>
              <w:ind w:firstLine="0"/>
              <w:jc w:val="both"/>
              <w:rPr>
                <w:b/>
              </w:rPr>
            </w:pPr>
            <w:bookmarkStart w:id="0" w:name="_GoBack"/>
            <w:bookmarkEnd w:id="0"/>
            <w:r w:rsidRPr="00D22AF9">
              <w:rPr>
                <w:b/>
              </w:rPr>
              <w:t xml:space="preserve">УДК </w:t>
            </w:r>
            <w:r w:rsidRPr="00D22AF9">
              <w:rPr>
                <w:b/>
                <w:sz w:val="27"/>
                <w:szCs w:val="27"/>
              </w:rPr>
              <w:t>338.5</w:t>
            </w:r>
          </w:p>
        </w:tc>
      </w:tr>
      <w:tr w:rsidR="00410621" w:rsidRPr="00D22AF9" w:rsidTr="004E1C7B">
        <w:tc>
          <w:tcPr>
            <w:tcW w:w="9520" w:type="dxa"/>
            <w:gridSpan w:val="2"/>
          </w:tcPr>
          <w:p w:rsidR="00410621" w:rsidRPr="00D22AF9" w:rsidRDefault="00410621" w:rsidP="004E1C7B">
            <w:pPr>
              <w:pStyle w:val="1"/>
              <w:keepNext w:val="0"/>
              <w:keepLines w:val="0"/>
              <w:widowControl w:val="0"/>
              <w:outlineLvl w:val="0"/>
            </w:pPr>
            <w:bookmarkStart w:id="1" w:name="_Toc480491031"/>
            <w:bookmarkStart w:id="2" w:name="_Toc480537255"/>
            <w:r w:rsidRPr="00D22AF9">
              <w:t>РАЗВИТИЕ РЕСУРСНОГО ОБЕСПЕЧЕНИЯ  ПРОМЫШЛЕННОГО СЕКТОРА ЭКОНОМИКИ ДОНЕЦКОЙ НАРОДНОЙ РЕСПУБЛИКИ</w:t>
            </w:r>
            <w:bookmarkEnd w:id="1"/>
            <w:bookmarkEnd w:id="2"/>
          </w:p>
        </w:tc>
      </w:tr>
      <w:tr w:rsidR="00410621" w:rsidRPr="00D22AF9" w:rsidTr="004E1C7B">
        <w:tc>
          <w:tcPr>
            <w:tcW w:w="4735" w:type="dxa"/>
          </w:tcPr>
          <w:p w:rsidR="00410621" w:rsidRPr="00D22AF9" w:rsidRDefault="00410621" w:rsidP="004E1C7B">
            <w:pPr>
              <w:widowControl w:val="0"/>
              <w:ind w:firstLine="0"/>
              <w:jc w:val="right"/>
              <w:rPr>
                <w:szCs w:val="28"/>
              </w:rPr>
            </w:pPr>
          </w:p>
        </w:tc>
        <w:tc>
          <w:tcPr>
            <w:tcW w:w="4785" w:type="dxa"/>
          </w:tcPr>
          <w:p w:rsidR="00410621" w:rsidRPr="00D22AF9" w:rsidRDefault="00410621" w:rsidP="004E1C7B">
            <w:pPr>
              <w:widowControl w:val="0"/>
              <w:ind w:firstLine="0"/>
              <w:jc w:val="right"/>
              <w:rPr>
                <w:szCs w:val="28"/>
              </w:rPr>
            </w:pPr>
          </w:p>
        </w:tc>
      </w:tr>
      <w:tr w:rsidR="00410621" w:rsidRPr="00D22AF9" w:rsidTr="004E1C7B">
        <w:tc>
          <w:tcPr>
            <w:tcW w:w="4735" w:type="dxa"/>
          </w:tcPr>
          <w:p w:rsidR="00410621" w:rsidRPr="00D22AF9" w:rsidRDefault="00410621" w:rsidP="004E1C7B">
            <w:pPr>
              <w:pStyle w:val="1"/>
              <w:keepNext w:val="0"/>
              <w:keepLines w:val="0"/>
              <w:widowControl w:val="0"/>
              <w:outlineLvl w:val="0"/>
            </w:pPr>
          </w:p>
        </w:tc>
        <w:tc>
          <w:tcPr>
            <w:tcW w:w="4785" w:type="dxa"/>
          </w:tcPr>
          <w:p w:rsidR="00410621" w:rsidRPr="00D22AF9" w:rsidRDefault="00410621" w:rsidP="004E1C7B">
            <w:pPr>
              <w:widowControl w:val="0"/>
              <w:shd w:val="clear" w:color="auto" w:fill="FFFFFF"/>
              <w:ind w:firstLine="0"/>
              <w:rPr>
                <w:szCs w:val="28"/>
              </w:rPr>
            </w:pPr>
            <w:bookmarkStart w:id="3" w:name="_Toc480491032"/>
            <w:bookmarkStart w:id="4" w:name="_Toc480537256"/>
            <w:r w:rsidRPr="00D22AF9">
              <w:rPr>
                <w:rStyle w:val="20"/>
              </w:rPr>
              <w:t>Е.А. Шумаева,</w:t>
            </w:r>
            <w:bookmarkEnd w:id="3"/>
            <w:bookmarkEnd w:id="4"/>
            <w:r>
              <w:rPr>
                <w:rStyle w:val="20"/>
              </w:rPr>
              <w:t xml:space="preserve"> </w:t>
            </w:r>
            <w:r w:rsidRPr="00D22AF9">
              <w:rPr>
                <w:i/>
                <w:szCs w:val="28"/>
              </w:rPr>
              <w:t>к. гос.упр, доцент,</w:t>
            </w:r>
          </w:p>
          <w:p w:rsidR="00410621" w:rsidRPr="00D22AF9" w:rsidRDefault="00410621" w:rsidP="004E1C7B">
            <w:pPr>
              <w:pStyle w:val="2"/>
              <w:keepNext w:val="0"/>
              <w:keepLines w:val="0"/>
              <w:widowControl w:val="0"/>
              <w:outlineLvl w:val="1"/>
            </w:pPr>
            <w:bookmarkStart w:id="5" w:name="_Toc480491033"/>
            <w:bookmarkStart w:id="6" w:name="_Toc480537257"/>
            <w:r w:rsidRPr="00D22AF9">
              <w:t>А.А. Подбуцкий</w:t>
            </w:r>
            <w:bookmarkEnd w:id="5"/>
            <w:bookmarkEnd w:id="6"/>
          </w:p>
          <w:p w:rsidR="00410621" w:rsidRPr="00D22AF9" w:rsidRDefault="00410621" w:rsidP="004E1C7B">
            <w:pPr>
              <w:widowControl w:val="0"/>
              <w:ind w:firstLine="0"/>
              <w:rPr>
                <w:i/>
                <w:szCs w:val="28"/>
              </w:rPr>
            </w:pPr>
            <w:r w:rsidRPr="00D22AF9">
              <w:rPr>
                <w:i/>
                <w:szCs w:val="28"/>
              </w:rPr>
              <w:t>Донецкий национальный технический университет</w:t>
            </w:r>
          </w:p>
          <w:p w:rsidR="00410621" w:rsidRPr="00D22AF9" w:rsidRDefault="00410621" w:rsidP="004E1C7B">
            <w:pPr>
              <w:widowControl w:val="0"/>
              <w:shd w:val="clear" w:color="auto" w:fill="FFFFFF"/>
              <w:ind w:firstLine="0"/>
            </w:pPr>
            <w:r w:rsidRPr="00D22AF9">
              <w:rPr>
                <w:i/>
                <w:szCs w:val="28"/>
              </w:rPr>
              <w:t xml:space="preserve">г. Донецк, Донецкая Народная Республика </w:t>
            </w:r>
          </w:p>
        </w:tc>
      </w:tr>
    </w:tbl>
    <w:p w:rsidR="00410621" w:rsidRPr="00D22AF9" w:rsidRDefault="00410621" w:rsidP="00410621">
      <w:pPr>
        <w:widowControl w:val="0"/>
        <w:shd w:val="clear" w:color="auto" w:fill="FFFFFF"/>
        <w:ind w:firstLine="708"/>
        <w:jc w:val="both"/>
        <w:outlineLvl w:val="1"/>
        <w:rPr>
          <w:bCs/>
          <w:i/>
          <w:sz w:val="27"/>
          <w:szCs w:val="27"/>
        </w:rPr>
      </w:pPr>
    </w:p>
    <w:p w:rsidR="00410621" w:rsidRPr="00D22AF9" w:rsidRDefault="00410621" w:rsidP="00410621">
      <w:pPr>
        <w:widowControl w:val="0"/>
        <w:jc w:val="both"/>
        <w:rPr>
          <w:i/>
        </w:rPr>
      </w:pPr>
      <w:r w:rsidRPr="00D22AF9">
        <w:rPr>
          <w:i/>
        </w:rPr>
        <w:t>Аннотация. В статье исследованы перспективы ресурсного обеспечения промышленного сектора экономики Донецкого региона. Необходимость снижения себестоимости добычи угля. Проанализирована матрица инноваций угольной отрасли.</w:t>
      </w:r>
    </w:p>
    <w:p w:rsidR="00410621" w:rsidRPr="00D22AF9" w:rsidRDefault="00410621" w:rsidP="00410621">
      <w:pPr>
        <w:widowControl w:val="0"/>
        <w:jc w:val="both"/>
        <w:rPr>
          <w:i/>
        </w:rPr>
      </w:pPr>
      <w:r w:rsidRPr="00D22AF9">
        <w:rPr>
          <w:i/>
        </w:rPr>
        <w:t>Ключевые слова: инновации, ресурсное обеспечение, себестоимость, матрица инноваций</w:t>
      </w:r>
    </w:p>
    <w:p w:rsidR="00410621" w:rsidRPr="00D22AF9" w:rsidRDefault="00410621" w:rsidP="00410621">
      <w:pPr>
        <w:widowControl w:val="0"/>
        <w:jc w:val="both"/>
        <w:rPr>
          <w:i/>
        </w:rPr>
      </w:pPr>
    </w:p>
    <w:p w:rsidR="00410621" w:rsidRPr="00D22AF9" w:rsidRDefault="00410621" w:rsidP="00410621">
      <w:pPr>
        <w:widowControl w:val="0"/>
        <w:jc w:val="both"/>
        <w:rPr>
          <w:i/>
          <w:shd w:val="clear" w:color="auto" w:fill="FFFFFF"/>
          <w:lang w:val="en-US"/>
        </w:rPr>
      </w:pPr>
      <w:r w:rsidRPr="00D22AF9">
        <w:rPr>
          <w:i/>
          <w:lang w:val="en-US"/>
        </w:rPr>
        <w:t xml:space="preserve">Summary. </w:t>
      </w:r>
      <w:r w:rsidRPr="00D22AF9">
        <w:rPr>
          <w:rStyle w:val="apple-converted-space"/>
          <w:i/>
          <w:szCs w:val="28"/>
          <w:shd w:val="clear" w:color="auto" w:fill="FFFFFF"/>
          <w:lang w:val="en-US"/>
        </w:rPr>
        <w:t> </w:t>
      </w:r>
      <w:r w:rsidRPr="00D22AF9">
        <w:rPr>
          <w:i/>
          <w:shd w:val="clear" w:color="auto" w:fill="FFFFFF"/>
          <w:lang w:val="en-US"/>
        </w:rPr>
        <w:t>The article examines the prospects for resource support of industrial sector of economy of Donetsk region. The need to reduce the cost of production of coal. Analyzed the matrix of innovations of the coal industry.</w:t>
      </w:r>
    </w:p>
    <w:p w:rsidR="00410621" w:rsidRPr="00D22AF9" w:rsidRDefault="00410621" w:rsidP="00410621">
      <w:pPr>
        <w:widowControl w:val="0"/>
        <w:jc w:val="both"/>
        <w:rPr>
          <w:i/>
          <w:shd w:val="clear" w:color="auto" w:fill="FFFFFF"/>
          <w:lang w:val="en-US"/>
        </w:rPr>
      </w:pPr>
      <w:r w:rsidRPr="00D22AF9">
        <w:rPr>
          <w:i/>
          <w:shd w:val="clear" w:color="auto" w:fill="FFFFFF"/>
          <w:lang w:val="en-US"/>
        </w:rPr>
        <w:t>Keywords: innovation, resource support, cost, matrix innovation</w:t>
      </w:r>
    </w:p>
    <w:p w:rsidR="00410621" w:rsidRPr="00D22AF9" w:rsidRDefault="00410621" w:rsidP="00410621">
      <w:pPr>
        <w:widowControl w:val="0"/>
        <w:jc w:val="both"/>
        <w:rPr>
          <w:i/>
          <w:lang w:val="en-US"/>
        </w:rPr>
      </w:pPr>
    </w:p>
    <w:p w:rsidR="00410621" w:rsidRPr="00D22AF9" w:rsidRDefault="00410621" w:rsidP="00410621">
      <w:pPr>
        <w:pStyle w:val="a5"/>
        <w:widowControl w:val="0"/>
        <w:spacing w:before="0" w:beforeAutospacing="0" w:after="0" w:afterAutospacing="0"/>
        <w:contextualSpacing/>
        <w:jc w:val="both"/>
        <w:rPr>
          <w:sz w:val="28"/>
          <w:szCs w:val="28"/>
          <w:shd w:val="clear" w:color="auto" w:fill="FFFFFF"/>
        </w:rPr>
      </w:pPr>
      <w:r w:rsidRPr="00D22AF9">
        <w:rPr>
          <w:b/>
          <w:sz w:val="28"/>
          <w:szCs w:val="28"/>
          <w:shd w:val="clear" w:color="auto" w:fill="FFFFFF"/>
        </w:rPr>
        <w:t>Постановка проблемы.</w:t>
      </w:r>
      <w:r w:rsidRPr="00D22AF9">
        <w:rPr>
          <w:sz w:val="28"/>
          <w:szCs w:val="28"/>
          <w:shd w:val="clear" w:color="auto" w:fill="FFFFFF"/>
        </w:rPr>
        <w:t xml:space="preserve"> На всех этапах истории общественного производства решающее значение в повышении его стабильности, технического совершенствования и экономической эффективности играет взаимосвязанный процесс развития науки, модернизации техники и технологии производства. Постоянное усовершенствование производства и предметов труда, технологии и организации производства, ресурсного обеспечения является одной из составляющих развития производительных сил и экономического роста страны.</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shd w:val="clear" w:color="auto" w:fill="FFFFFF"/>
        </w:rPr>
        <w:t>Экономическим системам присуща множественность взаимосвязей и взаимодействий. Для развивающихся экономик особое внимание следует уделить динамическим системам и механизмам инновационной трансформации, так как экономический рост, затрудненный отсутствием инвестиций и инноваций, определяет факторы финансовой устойчивости и развития производства на инновационной основе. Стимулами развития таких экономик должны быть инновации и инвестиции.</w:t>
      </w:r>
    </w:p>
    <w:p w:rsidR="00410621" w:rsidRPr="00D22AF9" w:rsidRDefault="00410621" w:rsidP="00410621">
      <w:pPr>
        <w:pStyle w:val="a5"/>
        <w:widowControl w:val="0"/>
        <w:spacing w:before="0" w:beforeAutospacing="0" w:after="0" w:afterAutospacing="0"/>
        <w:contextualSpacing/>
        <w:jc w:val="both"/>
        <w:rPr>
          <w:sz w:val="28"/>
          <w:szCs w:val="28"/>
          <w:shd w:val="clear" w:color="auto" w:fill="FFFFFF"/>
        </w:rPr>
      </w:pPr>
      <w:r w:rsidRPr="00D22AF9">
        <w:rPr>
          <w:b/>
          <w:sz w:val="28"/>
          <w:szCs w:val="28"/>
        </w:rPr>
        <w:t xml:space="preserve">Анализ предыдущих исследований и публикаций. </w:t>
      </w:r>
      <w:r w:rsidRPr="00D22AF9">
        <w:rPr>
          <w:sz w:val="28"/>
          <w:szCs w:val="28"/>
        </w:rPr>
        <w:t xml:space="preserve">Проблема обеспечения инновационного развития предприятий исследовались в работах Ф. Кука [4], который говорил, что регионы, особенно, когда на их территории действуют кластеры и соответствующие административные механизмы поддержки инновационных предприятий, являются более значимыми сообществами экономических интересов и могут наладить эффективное взаимодействие между экономическими субъектами. Представители </w:t>
      </w:r>
      <w:r w:rsidRPr="00D22AF9">
        <w:rPr>
          <w:sz w:val="28"/>
          <w:szCs w:val="28"/>
        </w:rPr>
        <w:lastRenderedPageBreak/>
        <w:t>скандинавской школы Б. Асхайм и А. Изаксен предложили концепцию регионов обучения, в которой промышленные регионы выступили источником инноваций. Рассматривая промышленные районы Норвегии, ученые пришли к выводу о наличии в них значительного инновационного потенциала для беспрерывной выработки нововведений [5].</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b/>
          <w:sz w:val="28"/>
          <w:szCs w:val="28"/>
        </w:rPr>
        <w:t>Целью</w:t>
      </w:r>
      <w:r w:rsidRPr="00D22AF9">
        <w:rPr>
          <w:sz w:val="28"/>
          <w:szCs w:val="28"/>
        </w:rPr>
        <w:t xml:space="preserve"> данной статьи является исследование перспективы ресурсного обеспечения промышленного сектора экономики Донецкого региона.</w:t>
      </w:r>
    </w:p>
    <w:p w:rsidR="00410621" w:rsidRPr="00D22AF9" w:rsidRDefault="00410621" w:rsidP="00410621">
      <w:pPr>
        <w:pStyle w:val="a5"/>
        <w:widowControl w:val="0"/>
        <w:spacing w:before="0" w:beforeAutospacing="0" w:after="0" w:afterAutospacing="0"/>
        <w:contextualSpacing/>
        <w:jc w:val="both"/>
        <w:rPr>
          <w:sz w:val="28"/>
          <w:szCs w:val="28"/>
          <w:shd w:val="clear" w:color="auto" w:fill="FFFFFF"/>
        </w:rPr>
      </w:pPr>
      <w:r w:rsidRPr="00D22AF9">
        <w:rPr>
          <w:b/>
          <w:sz w:val="28"/>
          <w:szCs w:val="28"/>
        </w:rPr>
        <w:t xml:space="preserve">Основные результаты исследования. </w:t>
      </w:r>
      <w:r w:rsidRPr="00D22AF9">
        <w:rPr>
          <w:sz w:val="28"/>
          <w:szCs w:val="28"/>
          <w:shd w:val="clear" w:color="auto" w:fill="FFFFFF"/>
        </w:rPr>
        <w:t>Экономика промышленно развитых стран мира характеризуется инновационным типом развития. Его основой является непрерывный и целенаправленный процесс поиска, подготовки и реализации нововведений, которые позволяют повышать уровень эффективности функционирования производства и степень реализации потребностей общества и обеспечивают улучшение условий жизнедеятельности людей. Нововведения выступают результатом совместной деятельности таких сфер, как прогрессивные сферы науки, высшее образование и инвестиционный комплекс промышленности страны. В целом, цепи, которые задействованы в создании и распространении результатов инновационной деятельности, должны рассматриваться как составляющая инновационного потенциала социально-экономического развития любой страны.</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Донецкий регион – одна из самы</w:t>
      </w:r>
      <w:r>
        <w:rPr>
          <w:sz w:val="28"/>
          <w:szCs w:val="28"/>
        </w:rPr>
        <w:t>х</w:t>
      </w:r>
      <w:r w:rsidRPr="00D22AF9">
        <w:rPr>
          <w:sz w:val="28"/>
          <w:szCs w:val="28"/>
        </w:rPr>
        <w:t xml:space="preserve"> богатых природными ресурсами</w:t>
      </w:r>
      <w:r>
        <w:rPr>
          <w:sz w:val="28"/>
          <w:szCs w:val="28"/>
        </w:rPr>
        <w:t xml:space="preserve"> </w:t>
      </w:r>
      <w:r w:rsidRPr="00D22AF9">
        <w:rPr>
          <w:sz w:val="28"/>
          <w:szCs w:val="28"/>
        </w:rPr>
        <w:t>территорий, на которой находится около 12% природных богатств Украины [1]. Однако, наличие ресурсов без необходимого финансирования не сможет обусловить полноценное развитие как предприятия в частности, так и региона в целом. Поэтому тема инвестиций, а также инноваций, особенно актуальна для Донецкой области.</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Весомыми предпосылками инвестирования в Донецкую область можно рассматривать:</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 экономически выгодное расположение территории (доступ к рынкам Восточной Европы и других регионов);</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 высокое содержание полезных ископаемых, а так же плодородность земель;</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 наличие высококвалифицированной рабочей силы.</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Большую долю полезных ископаемых занимает уголь, который является основным источником развития промышленного сектора в Донецком регионе.</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В отличие от России и стран Европы, и Америки на Донбассе очень высокая себестоимость добычи угля (рис. 1).</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 xml:space="preserve">Самая низкая себестоимость 1 тонны угля в России, на втором месте Колумбия, затем – США. Затраты добычи угля на Донбассе выше чем в других странах, и почти в 2 раз выше чем в России. </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 xml:space="preserve">В сравнении с другими странами месторождения угля на Донбассе находятся на достаточно глубоком уровне, а так же глубина разработки пластов систематически увеличивается. Если по состоянию на 1 января 1956 г. средняя глубина разработки пластов составляла 284 м и только 6 шахт имели глубину свыше 700 м, то на 2 января 1965 средняя глубина составляла уже 380 </w:t>
      </w:r>
      <w:r w:rsidRPr="00D22AF9">
        <w:rPr>
          <w:sz w:val="28"/>
          <w:szCs w:val="28"/>
        </w:rPr>
        <w:lastRenderedPageBreak/>
        <w:t>м. и 26 шахт имели глубину свыше 700 м.</w:t>
      </w:r>
    </w:p>
    <w:p w:rsidR="00410621" w:rsidRPr="00D22AF9" w:rsidRDefault="00410621" w:rsidP="00410621">
      <w:pPr>
        <w:pStyle w:val="a5"/>
        <w:widowControl w:val="0"/>
        <w:spacing w:before="0" w:beforeAutospacing="0" w:after="0" w:afterAutospacing="0"/>
        <w:ind w:firstLine="28"/>
        <w:contextualSpacing/>
        <w:jc w:val="both"/>
        <w:rPr>
          <w:sz w:val="28"/>
          <w:szCs w:val="28"/>
        </w:rPr>
      </w:pPr>
      <w:r w:rsidRPr="00D22AF9">
        <w:rPr>
          <w:noProof/>
        </w:rPr>
        <w:drawing>
          <wp:inline distT="0" distB="0" distL="0" distR="0" wp14:anchorId="52F4F82C" wp14:editId="1AE19CA2">
            <wp:extent cx="6210300" cy="1916430"/>
            <wp:effectExtent l="0" t="0" r="19050" b="26670"/>
            <wp:docPr id="1532" name="Диаграмма 15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10621" w:rsidRPr="00D22AF9" w:rsidRDefault="00410621" w:rsidP="00410621">
      <w:pPr>
        <w:pStyle w:val="a5"/>
        <w:widowControl w:val="0"/>
        <w:spacing w:before="0" w:beforeAutospacing="0" w:after="0" w:afterAutospacing="0"/>
        <w:contextualSpacing/>
        <w:jc w:val="center"/>
        <w:rPr>
          <w:sz w:val="28"/>
          <w:szCs w:val="28"/>
        </w:rPr>
      </w:pPr>
      <w:r w:rsidRPr="00D22AF9">
        <w:rPr>
          <w:sz w:val="28"/>
          <w:szCs w:val="28"/>
        </w:rPr>
        <w:t>Рисунок 1 – Себестоимость 1тонны угля, руб., на 01.01.2015г.</w:t>
      </w:r>
    </w:p>
    <w:p w:rsidR="00410621" w:rsidRPr="00D22AF9" w:rsidRDefault="00410621" w:rsidP="00410621">
      <w:pPr>
        <w:pStyle w:val="a5"/>
        <w:widowControl w:val="0"/>
        <w:spacing w:before="0" w:beforeAutospacing="0" w:after="0" w:afterAutospacing="0"/>
        <w:contextualSpacing/>
        <w:jc w:val="both"/>
        <w:rPr>
          <w:sz w:val="28"/>
          <w:szCs w:val="28"/>
        </w:rPr>
      </w:pP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 xml:space="preserve">Увеличение глубины разработки обусловило повышение себестоимости за счет проведения поддержания горных выработок, а так же других факторов, связанных с горно-геологическими условиями [8]. </w:t>
      </w:r>
    </w:p>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Важным направлением для заинтересованных лиц должно быть внедрение технических и административных инноваций. Осуществление такой деятельности даст возможность  снижения себестоимости.</w:t>
      </w:r>
    </w:p>
    <w:p w:rsidR="00410621" w:rsidRDefault="00410621" w:rsidP="00410621">
      <w:pPr>
        <w:pStyle w:val="a5"/>
        <w:widowControl w:val="0"/>
        <w:spacing w:before="0" w:beforeAutospacing="0" w:after="0" w:afterAutospacing="0"/>
        <w:contextualSpacing/>
        <w:jc w:val="both"/>
        <w:rPr>
          <w:sz w:val="28"/>
          <w:szCs w:val="28"/>
        </w:rPr>
      </w:pPr>
      <w:r w:rsidRPr="00D22AF9">
        <w:rPr>
          <w:sz w:val="28"/>
          <w:szCs w:val="28"/>
        </w:rPr>
        <w:t xml:space="preserve">На основании классификации инноваций по их виду (технологические, социальные, продуктовые, организационные, маркетинговые) и перечня современных инновационных направлений развития угольных предприятий можно сформировать следующую систему-матрицу инноваций  угольной отрасли, </w:t>
      </w:r>
      <w:r w:rsidRPr="00D22AF9">
        <w:rPr>
          <w:rStyle w:val="apple-converted-space"/>
          <w:sz w:val="28"/>
          <w:szCs w:val="28"/>
        </w:rPr>
        <w:t> </w:t>
      </w:r>
      <w:r w:rsidRPr="00D22AF9">
        <w:rPr>
          <w:sz w:val="28"/>
          <w:szCs w:val="28"/>
        </w:rPr>
        <w:t>которые в настоящее время используются для развития производства и улучшения внешней среды. Такая матрица при ее заполнении позволяет выдать достаточно полные рекомендации по всему спектру проблем управления – политическому (стратегическому), технологическому, культурологическому (поведенческому) (табл.1).</w:t>
      </w:r>
    </w:p>
    <w:p w:rsidR="00410621" w:rsidRPr="00D22AF9" w:rsidRDefault="00410621" w:rsidP="00410621">
      <w:pPr>
        <w:pStyle w:val="a5"/>
        <w:widowControl w:val="0"/>
        <w:spacing w:before="0" w:beforeAutospacing="0" w:after="0" w:afterAutospacing="0"/>
        <w:contextualSpacing/>
        <w:jc w:val="both"/>
        <w:rPr>
          <w:sz w:val="28"/>
          <w:szCs w:val="28"/>
        </w:rPr>
      </w:pPr>
    </w:p>
    <w:p w:rsidR="00410621" w:rsidRPr="00D22AF9" w:rsidRDefault="00410621" w:rsidP="00410621">
      <w:pPr>
        <w:widowControl w:val="0"/>
        <w:jc w:val="right"/>
        <w:rPr>
          <w:szCs w:val="28"/>
        </w:rPr>
      </w:pPr>
      <w:r w:rsidRPr="00D22AF9">
        <w:rPr>
          <w:szCs w:val="28"/>
        </w:rPr>
        <w:t>Таблица 1 </w:t>
      </w:r>
    </w:p>
    <w:p w:rsidR="00410621" w:rsidRPr="00D22AF9" w:rsidRDefault="00410621" w:rsidP="00410621">
      <w:pPr>
        <w:widowControl w:val="0"/>
        <w:jc w:val="center"/>
        <w:rPr>
          <w:szCs w:val="28"/>
        </w:rPr>
      </w:pPr>
      <w:r w:rsidRPr="00D22AF9">
        <w:rPr>
          <w:szCs w:val="28"/>
        </w:rPr>
        <w:t> Матрица инноваций угольной отрасли, [6]</w:t>
      </w:r>
    </w:p>
    <w:tbl>
      <w:tblPr>
        <w:tblW w:w="9639" w:type="dxa"/>
        <w:tblInd w:w="108" w:type="dxa"/>
        <w:tblCellMar>
          <w:left w:w="0" w:type="dxa"/>
          <w:right w:w="0" w:type="dxa"/>
        </w:tblCellMar>
        <w:tblLook w:val="04A0" w:firstRow="1" w:lastRow="0" w:firstColumn="1" w:lastColumn="0" w:noHBand="0" w:noVBand="1"/>
      </w:tblPr>
      <w:tblGrid>
        <w:gridCol w:w="4981"/>
        <w:gridCol w:w="931"/>
        <w:gridCol w:w="898"/>
        <w:gridCol w:w="899"/>
        <w:gridCol w:w="899"/>
        <w:gridCol w:w="1031"/>
      </w:tblGrid>
      <w:tr w:rsidR="00410621" w:rsidRPr="00D22AF9" w:rsidTr="004E1C7B">
        <w:tc>
          <w:tcPr>
            <w:tcW w:w="49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bookmarkStart w:id="7" w:name="_Hlk362360037"/>
            <w:r w:rsidRPr="00D22AF9">
              <w:rPr>
                <w:sz w:val="24"/>
                <w:szCs w:val="24"/>
              </w:rPr>
              <w:t>Интерированные инновационные направления</w:t>
            </w:r>
            <w:bookmarkEnd w:id="7"/>
          </w:p>
        </w:tc>
        <w:tc>
          <w:tcPr>
            <w:tcW w:w="4658"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Виды инноваций</w:t>
            </w:r>
          </w:p>
        </w:tc>
      </w:tr>
      <w:tr w:rsidR="00410621" w:rsidRPr="00D22AF9" w:rsidTr="004E1C7B">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621" w:rsidRPr="00D22AF9" w:rsidRDefault="00410621" w:rsidP="004E1C7B">
            <w:pPr>
              <w:widowControl w:val="0"/>
              <w:ind w:firstLine="0"/>
              <w:rPr>
                <w:sz w:val="24"/>
                <w:szCs w:val="24"/>
              </w:rPr>
            </w:pPr>
          </w:p>
        </w:tc>
        <w:tc>
          <w:tcPr>
            <w:tcW w:w="931" w:type="dxa"/>
            <w:tcBorders>
              <w:top w:val="nil"/>
              <w:left w:val="nil"/>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jc w:val="center"/>
              <w:rPr>
                <w:sz w:val="24"/>
                <w:szCs w:val="24"/>
              </w:rPr>
            </w:pPr>
            <w:r w:rsidRPr="00D22AF9">
              <w:rPr>
                <w:sz w:val="24"/>
                <w:szCs w:val="24"/>
              </w:rPr>
              <w:t>техно-логи-чес-кие</w:t>
            </w:r>
          </w:p>
        </w:tc>
        <w:tc>
          <w:tcPr>
            <w:tcW w:w="898" w:type="dxa"/>
            <w:tcBorders>
              <w:top w:val="nil"/>
              <w:left w:val="nil"/>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jc w:val="center"/>
              <w:rPr>
                <w:sz w:val="24"/>
                <w:szCs w:val="24"/>
              </w:rPr>
            </w:pPr>
            <w:r w:rsidRPr="00D22AF9">
              <w:rPr>
                <w:sz w:val="24"/>
                <w:szCs w:val="24"/>
              </w:rPr>
              <w:t>соци-аль-ные</w:t>
            </w:r>
          </w:p>
        </w:tc>
        <w:tc>
          <w:tcPr>
            <w:tcW w:w="899" w:type="dxa"/>
            <w:tcBorders>
              <w:top w:val="nil"/>
              <w:left w:val="nil"/>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jc w:val="center"/>
              <w:rPr>
                <w:sz w:val="24"/>
                <w:szCs w:val="24"/>
              </w:rPr>
            </w:pPr>
            <w:r w:rsidRPr="00D22AF9">
              <w:rPr>
                <w:sz w:val="24"/>
                <w:szCs w:val="24"/>
              </w:rPr>
              <w:t>про-дук-товые</w:t>
            </w:r>
          </w:p>
        </w:tc>
        <w:tc>
          <w:tcPr>
            <w:tcW w:w="899" w:type="dxa"/>
            <w:tcBorders>
              <w:top w:val="nil"/>
              <w:left w:val="nil"/>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jc w:val="center"/>
              <w:rPr>
                <w:sz w:val="24"/>
                <w:szCs w:val="24"/>
              </w:rPr>
            </w:pPr>
            <w:r w:rsidRPr="00D22AF9">
              <w:rPr>
                <w:sz w:val="24"/>
                <w:szCs w:val="24"/>
              </w:rPr>
              <w:t>орга-низа-цион-ные</w:t>
            </w:r>
          </w:p>
        </w:tc>
        <w:tc>
          <w:tcPr>
            <w:tcW w:w="1031" w:type="dxa"/>
            <w:tcBorders>
              <w:top w:val="nil"/>
              <w:left w:val="nil"/>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jc w:val="center"/>
              <w:rPr>
                <w:sz w:val="24"/>
                <w:szCs w:val="24"/>
              </w:rPr>
            </w:pPr>
            <w:r w:rsidRPr="00D22AF9">
              <w:rPr>
                <w:sz w:val="24"/>
                <w:szCs w:val="24"/>
              </w:rPr>
              <w:t>мар-ке-тинго-вые</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10621" w:rsidRPr="00D22AF9" w:rsidRDefault="00410621" w:rsidP="004E1C7B">
            <w:pPr>
              <w:widowControl w:val="0"/>
              <w:ind w:firstLine="0"/>
              <w:jc w:val="center"/>
              <w:rPr>
                <w:sz w:val="24"/>
                <w:szCs w:val="24"/>
              </w:rPr>
            </w:pPr>
            <w:r>
              <w:rPr>
                <w:sz w:val="24"/>
                <w:szCs w:val="24"/>
              </w:rPr>
              <w:t>1</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2</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3</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4</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5</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6</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производство новых приборов, оборудования, материалов, услуг для предприятий угольной промышленности</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проектирование, строительство и реконструкция горнодобывающих и углеперерабатывающих предприятий</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разработка новых технологических решений выемки угля</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повышение уровня концентрации, автоматизации и роботизации </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lastRenderedPageBreak/>
              <w:t>повышение уровней организации и управления</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9639" w:type="dxa"/>
            <w:gridSpan w:val="6"/>
            <w:tcBorders>
              <w:top w:val="single" w:sz="4" w:space="0" w:color="auto"/>
              <w:bottom w:val="single" w:sz="4" w:space="0" w:color="auto"/>
            </w:tcBorders>
            <w:tcMar>
              <w:top w:w="0" w:type="dxa"/>
              <w:left w:w="108" w:type="dxa"/>
              <w:bottom w:w="0" w:type="dxa"/>
              <w:right w:w="108" w:type="dxa"/>
            </w:tcMar>
          </w:tcPr>
          <w:p w:rsidR="00410621" w:rsidRPr="00D22AF9" w:rsidRDefault="00410621" w:rsidP="004E1C7B">
            <w:pPr>
              <w:widowControl w:val="0"/>
              <w:ind w:firstLine="0"/>
              <w:jc w:val="right"/>
              <w:rPr>
                <w:sz w:val="24"/>
                <w:szCs w:val="24"/>
              </w:rPr>
            </w:pPr>
            <w:r>
              <w:rPr>
                <w:sz w:val="24"/>
                <w:szCs w:val="24"/>
              </w:rPr>
              <w:t>Продолжение табл.1</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10621" w:rsidRPr="00D22AF9" w:rsidRDefault="00410621" w:rsidP="004E1C7B">
            <w:pPr>
              <w:widowControl w:val="0"/>
              <w:ind w:firstLine="0"/>
              <w:jc w:val="center"/>
              <w:rPr>
                <w:sz w:val="24"/>
                <w:szCs w:val="24"/>
              </w:rPr>
            </w:pPr>
            <w:r>
              <w:rPr>
                <w:sz w:val="24"/>
                <w:szCs w:val="24"/>
              </w:rPr>
              <w:t>1</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2</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3</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4</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5</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tcPr>
          <w:p w:rsidR="00410621" w:rsidRPr="00D22AF9" w:rsidRDefault="00410621" w:rsidP="004E1C7B">
            <w:pPr>
              <w:widowControl w:val="0"/>
              <w:ind w:firstLine="0"/>
              <w:jc w:val="center"/>
              <w:rPr>
                <w:sz w:val="24"/>
                <w:szCs w:val="24"/>
              </w:rPr>
            </w:pPr>
            <w:r>
              <w:rPr>
                <w:sz w:val="24"/>
                <w:szCs w:val="24"/>
              </w:rPr>
              <w:t>6</w:t>
            </w:r>
          </w:p>
        </w:tc>
      </w:tr>
      <w:tr w:rsidR="00410621" w:rsidRPr="00D22AF9" w:rsidTr="004E1C7B">
        <w:tc>
          <w:tcPr>
            <w:tcW w:w="4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jc w:val="both"/>
              <w:rPr>
                <w:sz w:val="24"/>
                <w:szCs w:val="24"/>
              </w:rPr>
            </w:pPr>
            <w:r w:rsidRPr="00D22AF9">
              <w:br w:type="page"/>
            </w:r>
            <w:r w:rsidRPr="00D22AF9">
              <w:rPr>
                <w:sz w:val="24"/>
                <w:szCs w:val="24"/>
              </w:rPr>
              <w:t>разработка и внедрение геолого-маркшейдерского обеспечения и геоинформационных технологий</w:t>
            </w:r>
          </w:p>
        </w:tc>
        <w:tc>
          <w:tcPr>
            <w:tcW w:w="9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классификация и кодификация запасов и углей</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повышение безопасности труда в горном производстве</w:t>
            </w:r>
          </w:p>
        </w:tc>
        <w:tc>
          <w:tcPr>
            <w:tcW w:w="9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полное и комплексное освоение ресурсов угледобывающих предприятий</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разработка и внедрение новых технологий переработки углей</w:t>
            </w:r>
          </w:p>
        </w:tc>
        <w:tc>
          <w:tcPr>
            <w:tcW w:w="9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переработка техногенных месторождений</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промышленное использование газа-метана</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создание и улучшение промышленной инфраструктуры</w:t>
            </w:r>
          </w:p>
        </w:tc>
        <w:tc>
          <w:tcPr>
            <w:tcW w:w="9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c>
          <w:tcPr>
            <w:tcW w:w="8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r w:rsidR="00410621" w:rsidRPr="00D22AF9" w:rsidTr="004E1C7B">
        <w:tc>
          <w:tcPr>
            <w:tcW w:w="498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10621" w:rsidRPr="00D22AF9" w:rsidRDefault="00410621" w:rsidP="004E1C7B">
            <w:pPr>
              <w:widowControl w:val="0"/>
              <w:ind w:firstLine="0"/>
              <w:rPr>
                <w:sz w:val="24"/>
                <w:szCs w:val="24"/>
              </w:rPr>
            </w:pPr>
            <w:r w:rsidRPr="00D22AF9">
              <w:rPr>
                <w:sz w:val="24"/>
                <w:szCs w:val="24"/>
              </w:rPr>
              <w:t>решение социальных вопросов</w:t>
            </w:r>
          </w:p>
        </w:tc>
        <w:tc>
          <w:tcPr>
            <w:tcW w:w="9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89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w:t>
            </w:r>
          </w:p>
        </w:tc>
        <w:tc>
          <w:tcPr>
            <w:tcW w:w="103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10621" w:rsidRPr="00D22AF9" w:rsidRDefault="00410621" w:rsidP="004E1C7B">
            <w:pPr>
              <w:widowControl w:val="0"/>
              <w:ind w:firstLine="0"/>
              <w:jc w:val="center"/>
              <w:rPr>
                <w:sz w:val="24"/>
                <w:szCs w:val="24"/>
              </w:rPr>
            </w:pPr>
            <w:r w:rsidRPr="00D22AF9">
              <w:rPr>
                <w:sz w:val="24"/>
                <w:szCs w:val="24"/>
              </w:rPr>
              <w:t> </w:t>
            </w:r>
          </w:p>
        </w:tc>
      </w:tr>
    </w:tbl>
    <w:p w:rsidR="00410621" w:rsidRPr="00D22AF9" w:rsidRDefault="00410621" w:rsidP="00410621">
      <w:pPr>
        <w:pStyle w:val="a5"/>
        <w:widowControl w:val="0"/>
        <w:spacing w:before="0" w:beforeAutospacing="0" w:after="0" w:afterAutospacing="0"/>
        <w:contextualSpacing/>
        <w:jc w:val="both"/>
        <w:rPr>
          <w:sz w:val="28"/>
          <w:szCs w:val="28"/>
        </w:rPr>
      </w:pPr>
      <w:r w:rsidRPr="00D22AF9">
        <w:rPr>
          <w:sz w:val="28"/>
          <w:szCs w:val="28"/>
        </w:rPr>
        <w:t>Как видно из таблицы, инновационные направления</w:t>
      </w:r>
      <w:r w:rsidRPr="00D22AF9">
        <w:rPr>
          <w:rStyle w:val="apple-converted-space"/>
          <w:sz w:val="28"/>
          <w:szCs w:val="28"/>
        </w:rPr>
        <w:t> </w:t>
      </w:r>
      <w:r w:rsidRPr="00D22AF9">
        <w:rPr>
          <w:sz w:val="28"/>
          <w:szCs w:val="28"/>
        </w:rPr>
        <w:t>в угольной отрасли, как правило, воплощаются одновременно в нескольких видах инноваций. Перечисленные в таблице</w:t>
      </w:r>
      <w:r w:rsidRPr="00D22AF9">
        <w:rPr>
          <w:rStyle w:val="apple-converted-space"/>
          <w:sz w:val="28"/>
          <w:szCs w:val="28"/>
        </w:rPr>
        <w:t> </w:t>
      </w:r>
      <w:r w:rsidRPr="00D22AF9">
        <w:rPr>
          <w:sz w:val="28"/>
          <w:szCs w:val="28"/>
        </w:rPr>
        <w:t>инновационные направления являются интегрированными. Целесообразно при планировании и реализации инвестиционной программы угольной компании или предприятия стремиться к осуществлению того интегрированного инновационного направления, которое способствует максимальному положительному эффекту по всем или нескольким видам инноваций.</w:t>
      </w:r>
    </w:p>
    <w:p w:rsidR="00410621" w:rsidRPr="00D22AF9" w:rsidRDefault="00410621" w:rsidP="00410621">
      <w:pPr>
        <w:pStyle w:val="a5"/>
        <w:widowControl w:val="0"/>
        <w:spacing w:before="0" w:beforeAutospacing="0" w:after="0" w:afterAutospacing="0"/>
        <w:contextualSpacing/>
        <w:jc w:val="both"/>
        <w:rPr>
          <w:rStyle w:val="a7"/>
          <w:sz w:val="28"/>
          <w:szCs w:val="28"/>
        </w:rPr>
      </w:pPr>
      <w:r w:rsidRPr="00D22AF9">
        <w:rPr>
          <w:b/>
          <w:sz w:val="28"/>
          <w:szCs w:val="28"/>
        </w:rPr>
        <w:t>Вывод.</w:t>
      </w:r>
      <w:r w:rsidRPr="00D22AF9">
        <w:rPr>
          <w:sz w:val="28"/>
          <w:szCs w:val="28"/>
        </w:rPr>
        <w:t xml:space="preserve"> Таким образом, инновационную деятельность в промышленном секторе Донбасса необходимо поддерживать и развивать, основываясь на опыте других стран и регионов, так как основным промышленным центром остается угледобывающая отрасль, от которой уже зависит и весь остальной промышленный сектор.</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4187"/>
        <w:gridCol w:w="4513"/>
      </w:tblGrid>
      <w:tr w:rsidR="00410621" w:rsidRPr="00D22AF9" w:rsidTr="004E1C7B">
        <w:tc>
          <w:tcPr>
            <w:tcW w:w="4819" w:type="dxa"/>
            <w:gridSpan w:val="2"/>
          </w:tcPr>
          <w:p w:rsidR="00410621" w:rsidRPr="00D22AF9" w:rsidRDefault="00410621" w:rsidP="004E1C7B">
            <w:pPr>
              <w:widowControl w:val="0"/>
              <w:ind w:firstLine="0"/>
              <w:jc w:val="both"/>
              <w:rPr>
                <w:szCs w:val="28"/>
              </w:rPr>
            </w:pPr>
          </w:p>
        </w:tc>
        <w:tc>
          <w:tcPr>
            <w:tcW w:w="4820" w:type="dxa"/>
          </w:tcPr>
          <w:p w:rsidR="00410621" w:rsidRPr="00D22AF9" w:rsidRDefault="00410621" w:rsidP="004E1C7B">
            <w:pPr>
              <w:widowControl w:val="0"/>
              <w:ind w:firstLine="0"/>
              <w:jc w:val="both"/>
              <w:rPr>
                <w:szCs w:val="28"/>
              </w:rPr>
            </w:pPr>
          </w:p>
        </w:tc>
      </w:tr>
      <w:tr w:rsidR="00410621" w:rsidRPr="00D22AF9" w:rsidTr="004E1C7B">
        <w:tc>
          <w:tcPr>
            <w:tcW w:w="9639" w:type="dxa"/>
            <w:gridSpan w:val="3"/>
          </w:tcPr>
          <w:p w:rsidR="00410621" w:rsidRPr="00D22AF9" w:rsidRDefault="00410621" w:rsidP="004E1C7B">
            <w:pPr>
              <w:widowControl w:val="0"/>
              <w:ind w:firstLine="0"/>
              <w:jc w:val="center"/>
              <w:rPr>
                <w:szCs w:val="28"/>
              </w:rPr>
            </w:pPr>
            <w:r w:rsidRPr="00D22AF9">
              <w:rPr>
                <w:b/>
                <w:szCs w:val="28"/>
              </w:rPr>
              <w:t>Список литературы</w:t>
            </w:r>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tabs>
                <w:tab w:val="left" w:pos="0"/>
                <w:tab w:val="left" w:pos="426"/>
                <w:tab w:val="left" w:pos="993"/>
              </w:tabs>
              <w:ind w:firstLine="0"/>
              <w:jc w:val="both"/>
              <w:rPr>
                <w:sz w:val="24"/>
                <w:szCs w:val="24"/>
              </w:rPr>
            </w:pPr>
            <w:r w:rsidRPr="00D22AF9">
              <w:rPr>
                <w:sz w:val="24"/>
                <w:szCs w:val="24"/>
              </w:rPr>
              <w:t>Донецкая область / Украина сегодня - [Электронный ресурс] – Режим доступа: </w:t>
            </w:r>
            <w:hyperlink r:id="rId6" w:tgtFrame="_blank" w:history="1">
              <w:r w:rsidRPr="00D22AF9">
                <w:rPr>
                  <w:sz w:val="24"/>
                  <w:szCs w:val="24"/>
                </w:rPr>
                <w:t>http://rada.com.ua/rus/RegionsPotential/Donetsk/</w:t>
              </w:r>
            </w:hyperlink>
            <w:r w:rsidRPr="00D22AF9">
              <w:rPr>
                <w:sz w:val="24"/>
                <w:szCs w:val="24"/>
              </w:rPr>
              <w:t>   </w:t>
            </w:r>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ind w:firstLine="0"/>
              <w:jc w:val="both"/>
              <w:rPr>
                <w:sz w:val="24"/>
                <w:szCs w:val="24"/>
              </w:rPr>
            </w:pPr>
            <w:r w:rsidRPr="00D22AF9">
              <w:rPr>
                <w:sz w:val="24"/>
                <w:szCs w:val="24"/>
                <w:shd w:val="clear" w:color="auto" w:fill="FFFFFF"/>
              </w:rPr>
              <w:t xml:space="preserve">Уголь Кузбасса / федеральный научно-практический журнал –  </w:t>
            </w:r>
            <w:r w:rsidRPr="00D22AF9">
              <w:rPr>
                <w:sz w:val="24"/>
                <w:szCs w:val="24"/>
              </w:rPr>
              <w:t>[Электронный ресурс] - Режим доступа: </w:t>
            </w:r>
            <w:hyperlink r:id="rId7" w:history="1">
              <w:r w:rsidRPr="00D22AF9">
                <w:rPr>
                  <w:rStyle w:val="a7"/>
                  <w:sz w:val="24"/>
                  <w:szCs w:val="24"/>
                </w:rPr>
                <w:t>http://uk42.ru/</w:t>
              </w:r>
            </w:hyperlink>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tabs>
                <w:tab w:val="left" w:pos="426"/>
                <w:tab w:val="left" w:pos="567"/>
                <w:tab w:val="left" w:pos="993"/>
              </w:tabs>
              <w:ind w:firstLine="0"/>
              <w:jc w:val="both"/>
              <w:rPr>
                <w:sz w:val="24"/>
                <w:szCs w:val="24"/>
              </w:rPr>
            </w:pPr>
            <w:r w:rsidRPr="00D22AF9">
              <w:rPr>
                <w:sz w:val="24"/>
                <w:szCs w:val="24"/>
              </w:rPr>
              <w:t xml:space="preserve">Министерство промышленности и торговли ДНР </w:t>
            </w:r>
            <w:r w:rsidRPr="00D22AF9">
              <w:rPr>
                <w:sz w:val="24"/>
                <w:szCs w:val="24"/>
                <w:shd w:val="clear" w:color="auto" w:fill="FFFFFF"/>
              </w:rPr>
              <w:t xml:space="preserve">– </w:t>
            </w:r>
            <w:r w:rsidRPr="00D22AF9">
              <w:rPr>
                <w:sz w:val="24"/>
                <w:szCs w:val="24"/>
              </w:rPr>
              <w:t>[Электронный ресурс] - Режим доступа: </w:t>
            </w:r>
            <w:hyperlink r:id="rId8" w:history="1">
              <w:r w:rsidRPr="00D22AF9">
                <w:rPr>
                  <w:rStyle w:val="a7"/>
                  <w:sz w:val="24"/>
                  <w:szCs w:val="24"/>
                </w:rPr>
                <w:t>http://mptdnr.ru/</w:t>
              </w:r>
            </w:hyperlink>
          </w:p>
        </w:tc>
      </w:tr>
      <w:tr w:rsidR="00410621" w:rsidRPr="000C4C74"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ind w:firstLine="0"/>
              <w:jc w:val="both"/>
              <w:rPr>
                <w:sz w:val="24"/>
                <w:szCs w:val="24"/>
                <w:lang w:val="en-US"/>
              </w:rPr>
            </w:pPr>
            <w:r w:rsidRPr="00D22AF9">
              <w:rPr>
                <w:sz w:val="24"/>
                <w:szCs w:val="24"/>
                <w:lang w:val="en-US"/>
              </w:rPr>
              <w:t>Strategies for regional innovation systems: learning transfer and applications / United Nations Industrial Development Organization [</w:t>
            </w:r>
            <w:r w:rsidRPr="00D22AF9">
              <w:rPr>
                <w:sz w:val="24"/>
                <w:szCs w:val="24"/>
              </w:rPr>
              <w:t>Электронныйресурс</w:t>
            </w:r>
            <w:r w:rsidRPr="00D22AF9">
              <w:rPr>
                <w:sz w:val="24"/>
                <w:szCs w:val="24"/>
                <w:lang w:val="en-US"/>
              </w:rPr>
              <w:t xml:space="preserve">] – 2003. – 38 </w:t>
            </w:r>
            <w:r w:rsidRPr="00D22AF9">
              <w:rPr>
                <w:sz w:val="24"/>
                <w:szCs w:val="24"/>
              </w:rPr>
              <w:t>р</w:t>
            </w:r>
            <w:r w:rsidRPr="00D22AF9">
              <w:rPr>
                <w:sz w:val="24"/>
                <w:szCs w:val="24"/>
                <w:lang w:val="en-US"/>
              </w:rPr>
              <w:t xml:space="preserve">. – </w:t>
            </w:r>
            <w:r w:rsidRPr="00D22AF9">
              <w:rPr>
                <w:sz w:val="24"/>
                <w:szCs w:val="24"/>
              </w:rPr>
              <w:t>Режимдоступа</w:t>
            </w:r>
            <w:r w:rsidRPr="00D22AF9">
              <w:rPr>
                <w:sz w:val="24"/>
                <w:szCs w:val="24"/>
                <w:lang w:val="en-US"/>
              </w:rPr>
              <w:t xml:space="preserve">: </w:t>
            </w:r>
            <w:hyperlink r:id="rId9" w:history="1">
              <w:r w:rsidRPr="00D22AF9">
                <w:rPr>
                  <w:rStyle w:val="a7"/>
                  <w:sz w:val="24"/>
                  <w:szCs w:val="24"/>
                  <w:lang w:val="en-US"/>
                </w:rPr>
                <w:t>http://www.unido.org/fileadmin/user_media/Publications/</w:t>
              </w:r>
            </w:hyperlink>
            <w:r w:rsidRPr="00D22AF9">
              <w:rPr>
                <w:sz w:val="24"/>
                <w:szCs w:val="24"/>
                <w:lang w:val="en-US"/>
              </w:rPr>
              <w:t xml:space="preserve"> Pub_free/Strategies_for_regional_innovation_systems.pdf.</w:t>
            </w:r>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lang w:val="en-US"/>
              </w:rPr>
            </w:pPr>
          </w:p>
        </w:tc>
        <w:tc>
          <w:tcPr>
            <w:tcW w:w="9072" w:type="dxa"/>
            <w:gridSpan w:val="2"/>
          </w:tcPr>
          <w:p w:rsidR="00410621" w:rsidRPr="00D22AF9" w:rsidRDefault="00410621" w:rsidP="004E1C7B">
            <w:pPr>
              <w:widowControl w:val="0"/>
              <w:ind w:firstLine="0"/>
              <w:jc w:val="both"/>
              <w:rPr>
                <w:sz w:val="24"/>
                <w:szCs w:val="24"/>
              </w:rPr>
            </w:pPr>
            <w:r w:rsidRPr="00D22AF9">
              <w:rPr>
                <w:sz w:val="24"/>
                <w:szCs w:val="24"/>
                <w:lang w:val="en-US"/>
              </w:rPr>
              <w:t xml:space="preserve">Asheim B. Location, agglomeration and innovation: towards regional innovation system in Norvey? </w:t>
            </w:r>
            <w:r w:rsidRPr="00D22AF9">
              <w:rPr>
                <w:sz w:val="24"/>
                <w:szCs w:val="24"/>
              </w:rPr>
              <w:t xml:space="preserve">[Электронный ресурс] – Режим доступа: </w:t>
            </w:r>
          </w:p>
          <w:p w:rsidR="00410621" w:rsidRPr="00D22AF9" w:rsidRDefault="00410621" w:rsidP="004E1C7B">
            <w:pPr>
              <w:widowControl w:val="0"/>
              <w:ind w:firstLine="0"/>
              <w:jc w:val="both"/>
              <w:rPr>
                <w:sz w:val="24"/>
                <w:szCs w:val="24"/>
              </w:rPr>
            </w:pPr>
            <w:hyperlink r:id="rId10" w:history="1">
              <w:r w:rsidRPr="00D22AF9">
                <w:rPr>
                  <w:rStyle w:val="a7"/>
                  <w:sz w:val="24"/>
                  <w:szCs w:val="24"/>
                  <w:lang w:val="en-US"/>
                </w:rPr>
                <w:t>http</w:t>
              </w:r>
              <w:r w:rsidRPr="00D22AF9">
                <w:rPr>
                  <w:rStyle w:val="a7"/>
                  <w:sz w:val="24"/>
                  <w:szCs w:val="24"/>
                </w:rPr>
                <w:t>://</w:t>
              </w:r>
              <w:r w:rsidRPr="00D22AF9">
                <w:rPr>
                  <w:rStyle w:val="a7"/>
                  <w:sz w:val="24"/>
                  <w:szCs w:val="24"/>
                  <w:lang w:val="en-US"/>
                </w:rPr>
                <w:t>www</w:t>
              </w:r>
              <w:r w:rsidRPr="00D22AF9">
                <w:rPr>
                  <w:rStyle w:val="a7"/>
                  <w:sz w:val="24"/>
                  <w:szCs w:val="24"/>
                </w:rPr>
                <w:t>.</w:t>
              </w:r>
              <w:r w:rsidRPr="00D22AF9">
                <w:rPr>
                  <w:rStyle w:val="a7"/>
                  <w:sz w:val="24"/>
                  <w:szCs w:val="24"/>
                  <w:lang w:val="en-US"/>
                </w:rPr>
                <w:t>nifu</w:t>
              </w:r>
              <w:r w:rsidRPr="00D22AF9">
                <w:rPr>
                  <w:rStyle w:val="a7"/>
                  <w:sz w:val="24"/>
                  <w:szCs w:val="24"/>
                </w:rPr>
                <w:t>.</w:t>
              </w:r>
              <w:r w:rsidRPr="00D22AF9">
                <w:rPr>
                  <w:rStyle w:val="a7"/>
                  <w:sz w:val="24"/>
                  <w:szCs w:val="24"/>
                  <w:lang w:val="en-US"/>
                </w:rPr>
                <w:t>no</w:t>
              </w:r>
              <w:r w:rsidRPr="00D22AF9">
                <w:rPr>
                  <w:rStyle w:val="a7"/>
                  <w:sz w:val="24"/>
                  <w:szCs w:val="24"/>
                </w:rPr>
                <w:t>/</w:t>
              </w:r>
              <w:r w:rsidRPr="00D22AF9">
                <w:rPr>
                  <w:rStyle w:val="a7"/>
                  <w:sz w:val="24"/>
                  <w:szCs w:val="24"/>
                  <w:lang w:val="en-US"/>
                </w:rPr>
                <w:t>files</w:t>
              </w:r>
              <w:r w:rsidRPr="00D22AF9">
                <w:rPr>
                  <w:rStyle w:val="a7"/>
                  <w:sz w:val="24"/>
                  <w:szCs w:val="24"/>
                </w:rPr>
                <w:t>/2012/11/</w:t>
              </w:r>
              <w:r w:rsidRPr="00D22AF9">
                <w:rPr>
                  <w:rStyle w:val="a7"/>
                  <w:sz w:val="24"/>
                  <w:szCs w:val="24"/>
                  <w:lang w:val="en-US"/>
                </w:rPr>
                <w:t>STEPrapport</w:t>
              </w:r>
              <w:r w:rsidRPr="00D22AF9">
                <w:rPr>
                  <w:rStyle w:val="a7"/>
                  <w:sz w:val="24"/>
                  <w:szCs w:val="24"/>
                </w:rPr>
                <w:t>13-1996.</w:t>
              </w:r>
              <w:r w:rsidRPr="00D22AF9">
                <w:rPr>
                  <w:rStyle w:val="a7"/>
                  <w:sz w:val="24"/>
                  <w:szCs w:val="24"/>
                  <w:lang w:val="en-US"/>
                </w:rPr>
                <w:t>pdf</w:t>
              </w:r>
            </w:hyperlink>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tabs>
                <w:tab w:val="left" w:pos="426"/>
                <w:tab w:val="left" w:pos="993"/>
              </w:tabs>
              <w:ind w:firstLine="0"/>
              <w:jc w:val="both"/>
              <w:rPr>
                <w:sz w:val="24"/>
                <w:szCs w:val="24"/>
              </w:rPr>
            </w:pPr>
            <w:r w:rsidRPr="00D22AF9">
              <w:rPr>
                <w:iCs/>
                <w:sz w:val="24"/>
                <w:szCs w:val="24"/>
              </w:rPr>
              <w:t xml:space="preserve">Сибирский государственный индустриальный университет / </w:t>
            </w:r>
            <w:r w:rsidRPr="00D22AF9">
              <w:rPr>
                <w:bCs/>
                <w:sz w:val="24"/>
                <w:szCs w:val="24"/>
              </w:rPr>
              <w:t xml:space="preserve">Направления </w:t>
            </w:r>
            <w:r w:rsidRPr="00D22AF9">
              <w:rPr>
                <w:bCs/>
                <w:sz w:val="24"/>
                <w:szCs w:val="24"/>
              </w:rPr>
              <w:lastRenderedPageBreak/>
              <w:t xml:space="preserve">инновационной и инвестиционной деятельности угольных компаний России </w:t>
            </w:r>
            <w:r w:rsidRPr="00D22AF9">
              <w:rPr>
                <w:sz w:val="24"/>
                <w:szCs w:val="24"/>
              </w:rPr>
              <w:t xml:space="preserve">/ </w:t>
            </w:r>
            <w:r w:rsidRPr="00D22AF9">
              <w:rPr>
                <w:bCs/>
                <w:sz w:val="24"/>
                <w:szCs w:val="24"/>
              </w:rPr>
              <w:t xml:space="preserve">Ходич  О.А. – </w:t>
            </w:r>
            <w:r w:rsidRPr="00D22AF9">
              <w:rPr>
                <w:sz w:val="24"/>
                <w:szCs w:val="24"/>
              </w:rPr>
              <w:t xml:space="preserve">[Электронный ресурс] – Режим доступа: </w:t>
            </w:r>
            <w:hyperlink r:id="rId11" w:history="1">
              <w:r w:rsidRPr="00D22AF9">
                <w:rPr>
                  <w:rStyle w:val="a7"/>
                  <w:sz w:val="24"/>
                  <w:szCs w:val="24"/>
                </w:rPr>
                <w:t>http://.rusnauka.com/23_NTP_2013/Economics/9_143557.doc.htm</w:t>
              </w:r>
            </w:hyperlink>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tabs>
                <w:tab w:val="left" w:pos="426"/>
                <w:tab w:val="left" w:pos="993"/>
              </w:tabs>
              <w:ind w:firstLine="0"/>
              <w:jc w:val="both"/>
              <w:rPr>
                <w:sz w:val="24"/>
                <w:szCs w:val="24"/>
              </w:rPr>
            </w:pPr>
            <w:r w:rsidRPr="00D22AF9">
              <w:rPr>
                <w:sz w:val="24"/>
                <w:szCs w:val="24"/>
              </w:rPr>
              <w:t xml:space="preserve">Еженедельный обзор угольной и коксохимической продукции </w:t>
            </w:r>
            <w:r w:rsidRPr="00D22AF9">
              <w:rPr>
                <w:bCs/>
                <w:sz w:val="24"/>
                <w:szCs w:val="24"/>
              </w:rPr>
              <w:t xml:space="preserve">– </w:t>
            </w:r>
            <w:r w:rsidRPr="00D22AF9">
              <w:rPr>
                <w:sz w:val="24"/>
                <w:szCs w:val="24"/>
              </w:rPr>
              <w:t>[Электронный ресурс] – Режим доступа</w:t>
            </w:r>
            <w:r w:rsidRPr="00D22AF9">
              <w:rPr>
                <w:sz w:val="24"/>
                <w:szCs w:val="24"/>
                <w:u w:val="single"/>
              </w:rPr>
              <w:t xml:space="preserve">: </w:t>
            </w:r>
            <w:hyperlink r:id="rId12" w:history="1">
              <w:r w:rsidRPr="00D22AF9">
                <w:rPr>
                  <w:rStyle w:val="a7"/>
                  <w:sz w:val="24"/>
                  <w:szCs w:val="24"/>
                </w:rPr>
                <w:t>http://coal-coke.at.ua/</w:t>
              </w:r>
            </w:hyperlink>
          </w:p>
        </w:tc>
      </w:tr>
      <w:tr w:rsidR="00410621" w:rsidRPr="00D22AF9" w:rsidTr="004E1C7B">
        <w:tc>
          <w:tcPr>
            <w:tcW w:w="567" w:type="dxa"/>
          </w:tcPr>
          <w:p w:rsidR="00410621" w:rsidRPr="00D22AF9" w:rsidRDefault="00410621" w:rsidP="00410621">
            <w:pPr>
              <w:pStyle w:val="a3"/>
              <w:widowControl w:val="0"/>
              <w:numPr>
                <w:ilvl w:val="0"/>
                <w:numId w:val="1"/>
              </w:numPr>
              <w:ind w:left="0" w:firstLine="0"/>
              <w:jc w:val="both"/>
              <w:rPr>
                <w:sz w:val="24"/>
                <w:szCs w:val="24"/>
              </w:rPr>
            </w:pPr>
          </w:p>
        </w:tc>
        <w:tc>
          <w:tcPr>
            <w:tcW w:w="9072" w:type="dxa"/>
            <w:gridSpan w:val="2"/>
          </w:tcPr>
          <w:p w:rsidR="00410621" w:rsidRPr="00D22AF9" w:rsidRDefault="00410621" w:rsidP="004E1C7B">
            <w:pPr>
              <w:widowControl w:val="0"/>
              <w:tabs>
                <w:tab w:val="left" w:pos="426"/>
                <w:tab w:val="left" w:pos="993"/>
              </w:tabs>
              <w:ind w:firstLine="0"/>
              <w:jc w:val="both"/>
              <w:rPr>
                <w:sz w:val="24"/>
                <w:szCs w:val="24"/>
              </w:rPr>
            </w:pPr>
            <w:r w:rsidRPr="00D22AF9">
              <w:rPr>
                <w:rStyle w:val="a7"/>
                <w:sz w:val="24"/>
                <w:szCs w:val="24"/>
              </w:rPr>
              <w:t>Уголь Донбасса</w:t>
            </w:r>
            <w:r w:rsidRPr="00D22AF9">
              <w:rPr>
                <w:sz w:val="24"/>
                <w:szCs w:val="24"/>
              </w:rPr>
              <w:t xml:space="preserve">продукции </w:t>
            </w:r>
            <w:r w:rsidRPr="00D22AF9">
              <w:rPr>
                <w:bCs/>
                <w:sz w:val="24"/>
                <w:szCs w:val="24"/>
              </w:rPr>
              <w:t xml:space="preserve">– </w:t>
            </w:r>
            <w:r w:rsidRPr="00D22AF9">
              <w:rPr>
                <w:sz w:val="24"/>
                <w:szCs w:val="24"/>
              </w:rPr>
              <w:t>[Электронный ресурс] – Режим доступа: http://coal.in.ua/</w:t>
            </w:r>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54545"/>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21"/>
    <w:rsid w:val="00410621"/>
    <w:rsid w:val="0053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AE269-0459-4AF7-936F-2DB0B530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21"/>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410621"/>
    <w:pPr>
      <w:keepNext/>
      <w:keepLines/>
      <w:ind w:firstLine="0"/>
      <w:jc w:val="center"/>
      <w:outlineLvl w:val="0"/>
    </w:pPr>
    <w:rPr>
      <w:b/>
      <w:bCs/>
      <w:szCs w:val="28"/>
    </w:rPr>
  </w:style>
  <w:style w:type="paragraph" w:styleId="2">
    <w:name w:val="heading 2"/>
    <w:basedOn w:val="a"/>
    <w:next w:val="a"/>
    <w:link w:val="20"/>
    <w:uiPriority w:val="9"/>
    <w:unhideWhenUsed/>
    <w:qFormat/>
    <w:rsid w:val="00410621"/>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621"/>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410621"/>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410621"/>
    <w:pPr>
      <w:ind w:left="720"/>
      <w:contextualSpacing/>
    </w:pPr>
  </w:style>
  <w:style w:type="paragraph" w:styleId="a5">
    <w:name w:val="Normal (Web)"/>
    <w:aliases w:val="Обычный (Web)"/>
    <w:basedOn w:val="a"/>
    <w:link w:val="a6"/>
    <w:uiPriority w:val="99"/>
    <w:unhideWhenUsed/>
    <w:qFormat/>
    <w:rsid w:val="00410621"/>
    <w:pPr>
      <w:spacing w:before="100" w:beforeAutospacing="1" w:after="100" w:afterAutospacing="1"/>
    </w:pPr>
    <w:rPr>
      <w:sz w:val="24"/>
      <w:szCs w:val="24"/>
    </w:rPr>
  </w:style>
  <w:style w:type="character" w:customStyle="1" w:styleId="apple-converted-space">
    <w:name w:val="apple-converted-space"/>
    <w:basedOn w:val="a0"/>
    <w:rsid w:val="00410621"/>
  </w:style>
  <w:style w:type="character" w:styleId="a7">
    <w:name w:val="Hyperlink"/>
    <w:uiPriority w:val="99"/>
    <w:unhideWhenUsed/>
    <w:rsid w:val="00410621"/>
    <w:rPr>
      <w:color w:val="0000FF"/>
      <w:u w:val="single"/>
    </w:rPr>
  </w:style>
  <w:style w:type="table" w:styleId="a8">
    <w:name w:val="Table Grid"/>
    <w:basedOn w:val="a1"/>
    <w:uiPriority w:val="59"/>
    <w:rsid w:val="0041062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Обычный (Web) Знак"/>
    <w:basedOn w:val="a0"/>
    <w:link w:val="a5"/>
    <w:uiPriority w:val="99"/>
    <w:locked/>
    <w:rsid w:val="00410621"/>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410621"/>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ptdn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42.ru/" TargetMode="External"/><Relationship Id="rId12" Type="http://schemas.openxmlformats.org/officeDocument/2006/relationships/hyperlink" Target="http://coal-coke.at.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kontakte.ru/away.php?to=http%3A%2F%2Frada.com.ua%2Frus%2FRegionsPotential%2FDonetsk%2F&amp;h=a9e080b5acfbbf0ecd" TargetMode="External"/><Relationship Id="rId11" Type="http://schemas.openxmlformats.org/officeDocument/2006/relationships/hyperlink" Target="http://.rusnauka.com/23_NTP_2013/Economics/9_143557.doc.htm" TargetMode="External"/><Relationship Id="rId5" Type="http://schemas.openxmlformats.org/officeDocument/2006/relationships/chart" Target="charts/chart1.xml"/><Relationship Id="rId10" Type="http://schemas.openxmlformats.org/officeDocument/2006/relationships/hyperlink" Target="http://www.nifu.no/files/2012/11/STEPrapport13-1996.pdf" TargetMode="External"/><Relationship Id="rId4" Type="http://schemas.openxmlformats.org/officeDocument/2006/relationships/webSettings" Target="webSettings.xml"/><Relationship Id="rId9" Type="http://schemas.openxmlformats.org/officeDocument/2006/relationships/hyperlink" Target="http://www.unido.org/fileadmin/user_media/Publication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3%20&#1082;&#1091;&#1088;&#1089;\&#1086;&#1084;\&#1082;&#1086;&#1085;&#1092;&#1077;&#1088;&#1077;&#1085;&#1094;&#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pattFill prst="wdDnDiag">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dPt>
            <c:idx val="1"/>
            <c:invertIfNegative val="0"/>
            <c:bubble3D val="0"/>
            <c:spPr>
              <a:pattFill prst="ltVert">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7838-4C58-BBDB-2087F958BA70}"/>
              </c:ext>
            </c:extLst>
          </c:dPt>
          <c:dPt>
            <c:idx val="2"/>
            <c:invertIfNegative val="0"/>
            <c:bubble3D val="0"/>
            <c:spPr>
              <a:pattFill prst="diagBrick">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7838-4C58-BBDB-2087F958BA70}"/>
              </c:ext>
            </c:extLst>
          </c:dPt>
          <c:dPt>
            <c:idx val="3"/>
            <c:invertIfNegative val="0"/>
            <c:bubble3D val="0"/>
            <c:spPr>
              <a:pattFill prst="dashVert">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5-7838-4C58-BBDB-2087F958BA70}"/>
              </c:ext>
            </c:extLst>
          </c:dPt>
          <c:dPt>
            <c:idx val="4"/>
            <c:invertIfNegative val="0"/>
            <c:bubble3D val="0"/>
            <c:spPr>
              <a:pattFill prst="lgGrid">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7-7838-4C58-BBDB-2087F958BA70}"/>
              </c:ext>
            </c:extLst>
          </c:dPt>
          <c:dPt>
            <c:idx val="5"/>
            <c:invertIfNegative val="0"/>
            <c:bubble3D val="0"/>
            <c:spPr>
              <a:pattFill prst="lgCheck">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9-7838-4C58-BBDB-2087F958BA70}"/>
              </c:ext>
            </c:extLst>
          </c:dPt>
          <c:dPt>
            <c:idx val="6"/>
            <c:invertIfNegative val="0"/>
            <c:bubble3D val="0"/>
            <c:spPr>
              <a:pattFill prst="narVert">
                <a:fgClr>
                  <a:schemeClr val="tx1">
                    <a:lumMod val="50000"/>
                    <a:lumOff val="50000"/>
                  </a:schemeClr>
                </a:fgClr>
                <a:bgClr>
                  <a:schemeClr val="bg1"/>
                </a:bgClr>
              </a:patt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B-7838-4C58-BBDB-2087F958BA70}"/>
              </c:ext>
            </c:extLst>
          </c:dPt>
          <c:cat>
            <c:strRef>
              <c:f>Лист1!$A$1:$G$1</c:f>
              <c:strCache>
                <c:ptCount val="7"/>
                <c:pt idx="0">
                  <c:v>Донбасс </c:v>
                </c:pt>
                <c:pt idx="1">
                  <c:v>Россия</c:v>
                </c:pt>
                <c:pt idx="2">
                  <c:v>Австралия</c:v>
                </c:pt>
                <c:pt idx="3">
                  <c:v>Турция</c:v>
                </c:pt>
                <c:pt idx="4">
                  <c:v>США</c:v>
                </c:pt>
                <c:pt idx="5">
                  <c:v>Колумбия</c:v>
                </c:pt>
                <c:pt idx="6">
                  <c:v>ЮАР</c:v>
                </c:pt>
              </c:strCache>
            </c:strRef>
          </c:cat>
          <c:val>
            <c:numRef>
              <c:f>Лист1!$A$2:$G$2</c:f>
              <c:numCache>
                <c:formatCode>General</c:formatCode>
                <c:ptCount val="7"/>
                <c:pt idx="0">
                  <c:v>5190</c:v>
                </c:pt>
                <c:pt idx="1">
                  <c:v>1700</c:v>
                </c:pt>
                <c:pt idx="2">
                  <c:v>4920</c:v>
                </c:pt>
                <c:pt idx="3">
                  <c:v>5220</c:v>
                </c:pt>
                <c:pt idx="4">
                  <c:v>4800</c:v>
                </c:pt>
                <c:pt idx="5">
                  <c:v>4500</c:v>
                </c:pt>
                <c:pt idx="6">
                  <c:v>5100</c:v>
                </c:pt>
              </c:numCache>
            </c:numRef>
          </c:val>
          <c:extLst>
            <c:ext xmlns:c16="http://schemas.microsoft.com/office/drawing/2014/chart" uri="{C3380CC4-5D6E-409C-BE32-E72D297353CC}">
              <c16:uniqueId val="{0000000C-7838-4C58-BBDB-2087F958BA70}"/>
            </c:ext>
          </c:extLst>
        </c:ser>
        <c:dLbls>
          <c:showLegendKey val="0"/>
          <c:showVal val="0"/>
          <c:showCatName val="0"/>
          <c:showSerName val="0"/>
          <c:showPercent val="0"/>
          <c:showBubbleSize val="0"/>
        </c:dLbls>
        <c:gapWidth val="150"/>
        <c:axId val="196752896"/>
        <c:axId val="196754432"/>
      </c:barChart>
      <c:catAx>
        <c:axId val="196752896"/>
        <c:scaling>
          <c:orientation val="minMax"/>
        </c:scaling>
        <c:delete val="0"/>
        <c:axPos val="b"/>
        <c:numFmt formatCode="General" sourceLinked="1"/>
        <c:majorTickMark val="out"/>
        <c:minorTickMark val="none"/>
        <c:tickLblPos val="nextTo"/>
        <c:crossAx val="196754432"/>
        <c:crosses val="autoZero"/>
        <c:auto val="1"/>
        <c:lblAlgn val="ctr"/>
        <c:lblOffset val="100"/>
        <c:noMultiLvlLbl val="0"/>
      </c:catAx>
      <c:valAx>
        <c:axId val="196754432"/>
        <c:scaling>
          <c:orientation val="minMax"/>
        </c:scaling>
        <c:delete val="0"/>
        <c:axPos val="l"/>
        <c:numFmt formatCode="General" sourceLinked="1"/>
        <c:majorTickMark val="out"/>
        <c:minorTickMark val="none"/>
        <c:tickLblPos val="nextTo"/>
        <c:crossAx val="196752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8320</Characters>
  <Application>Microsoft Office Word</Application>
  <DocSecurity>0</DocSecurity>
  <Lines>69</Lines>
  <Paragraphs>19</Paragraphs>
  <ScaleCrop>false</ScaleCrop>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2017-12-05T14:58:00Z</dcterms:created>
  <dcterms:modified xsi:type="dcterms:W3CDTF">2017-12-05T14:58:00Z</dcterms:modified>
</cp:coreProperties>
</file>