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2"/>
        <w:gridCol w:w="5020"/>
      </w:tblGrid>
      <w:tr w:rsidR="00D255C1" w:rsidRPr="00D255C1" w:rsidTr="00BB1D7C">
        <w:trPr>
          <w:jc w:val="center"/>
        </w:trPr>
        <w:tc>
          <w:tcPr>
            <w:tcW w:w="4264" w:type="dxa"/>
          </w:tcPr>
          <w:p w:rsidR="00D255C1" w:rsidRPr="00D255C1" w:rsidRDefault="00D255C1" w:rsidP="00D255C1">
            <w:pPr>
              <w:rPr>
                <w:rFonts w:ascii="Times New Roman" w:hAnsi="Times New Roman"/>
                <w:sz w:val="28"/>
                <w:szCs w:val="28"/>
              </w:rPr>
            </w:pPr>
            <w:r w:rsidRPr="00D255C1">
              <w:rPr>
                <w:rFonts w:ascii="Times New Roman" w:hAnsi="Times New Roman"/>
                <w:b/>
                <w:kern w:val="1"/>
                <w:sz w:val="28"/>
                <w:szCs w:val="24"/>
              </w:rPr>
              <w:t>УДК 336.71</w:t>
            </w:r>
          </w:p>
        </w:tc>
        <w:tc>
          <w:tcPr>
            <w:tcW w:w="5197" w:type="dxa"/>
            <w:tcMar>
              <w:left w:w="0" w:type="dxa"/>
              <w:right w:w="0" w:type="dxa"/>
            </w:tcMar>
          </w:tcPr>
          <w:p w:rsidR="00D255C1" w:rsidRPr="00D255C1" w:rsidRDefault="00D255C1" w:rsidP="00D255C1">
            <w:pPr>
              <w:widowControl w:val="0"/>
              <w:shd w:val="clear" w:color="auto" w:fill="FFFFFF"/>
              <w:rPr>
                <w:rFonts w:ascii="Times New Roman" w:hAnsi="Times New Roman"/>
                <w:sz w:val="28"/>
                <w:szCs w:val="28"/>
              </w:rPr>
            </w:pPr>
          </w:p>
        </w:tc>
      </w:tr>
      <w:tr w:rsidR="00D255C1" w:rsidRPr="00D255C1" w:rsidTr="00BB1D7C">
        <w:trPr>
          <w:jc w:val="center"/>
        </w:trPr>
        <w:tc>
          <w:tcPr>
            <w:tcW w:w="4264" w:type="dxa"/>
          </w:tcPr>
          <w:p w:rsidR="00D255C1" w:rsidRPr="00D255C1" w:rsidRDefault="00D255C1" w:rsidP="00D255C1">
            <w:pPr>
              <w:keepNext/>
              <w:keepLines/>
              <w:ind w:hanging="28"/>
              <w:jc w:val="center"/>
              <w:outlineLvl w:val="0"/>
              <w:rPr>
                <w:rFonts w:ascii="Times New Roman" w:hAnsi="Times New Roman"/>
                <w:b/>
                <w:bCs/>
                <w:caps/>
                <w:sz w:val="28"/>
                <w:szCs w:val="28"/>
                <w:shd w:val="clear" w:color="auto" w:fill="FFFFFF"/>
              </w:rPr>
            </w:pPr>
          </w:p>
        </w:tc>
        <w:tc>
          <w:tcPr>
            <w:tcW w:w="5197" w:type="dxa"/>
          </w:tcPr>
          <w:p w:rsidR="00D255C1" w:rsidRPr="00D255C1" w:rsidRDefault="00D255C1" w:rsidP="00D255C1">
            <w:pPr>
              <w:jc w:val="both"/>
              <w:rPr>
                <w:rFonts w:ascii="Times New Roman" w:hAnsi="Times New Roman"/>
                <w:i/>
                <w:kern w:val="1"/>
                <w:sz w:val="28"/>
                <w:szCs w:val="24"/>
              </w:rPr>
            </w:pPr>
            <w:bookmarkStart w:id="0" w:name="_Toc518846452"/>
            <w:r w:rsidRPr="00D255C1">
              <w:rPr>
                <w:rFonts w:ascii="Times New Roman" w:hAnsi="Times New Roman"/>
                <w:b/>
                <w:bCs/>
                <w:sz w:val="28"/>
                <w:szCs w:val="28"/>
              </w:rPr>
              <w:t>В.В. Кремлева,</w:t>
            </w:r>
            <w:bookmarkEnd w:id="0"/>
            <w:r w:rsidRPr="00D255C1">
              <w:rPr>
                <w:rFonts w:ascii="Times New Roman" w:hAnsi="Times New Roman"/>
                <w:b/>
                <w:bCs/>
                <w:sz w:val="28"/>
                <w:szCs w:val="28"/>
              </w:rPr>
              <w:t xml:space="preserve"> </w:t>
            </w:r>
            <w:r w:rsidRPr="00D255C1">
              <w:rPr>
                <w:rFonts w:ascii="Times New Roman" w:hAnsi="Times New Roman"/>
                <w:i/>
                <w:kern w:val="1"/>
                <w:sz w:val="28"/>
                <w:szCs w:val="24"/>
              </w:rPr>
              <w:t xml:space="preserve"> к.э.н., доц.</w:t>
            </w:r>
          </w:p>
          <w:p w:rsidR="00D255C1" w:rsidRPr="00D255C1" w:rsidRDefault="00D255C1" w:rsidP="00D255C1">
            <w:pPr>
              <w:jc w:val="both"/>
              <w:rPr>
                <w:rFonts w:ascii="Times New Roman" w:hAnsi="Times New Roman"/>
                <w:i/>
                <w:kern w:val="1"/>
                <w:sz w:val="28"/>
                <w:szCs w:val="24"/>
              </w:rPr>
            </w:pPr>
            <w:bookmarkStart w:id="1" w:name="_Toc518846453"/>
            <w:r w:rsidRPr="00D255C1">
              <w:rPr>
                <w:rFonts w:ascii="Times New Roman" w:hAnsi="Times New Roman"/>
                <w:b/>
                <w:bCs/>
                <w:sz w:val="28"/>
                <w:szCs w:val="28"/>
              </w:rPr>
              <w:t>Д.С. Аджаматова</w:t>
            </w:r>
            <w:bookmarkEnd w:id="1"/>
            <w:r w:rsidRPr="00D255C1">
              <w:rPr>
                <w:rFonts w:ascii="Times New Roman" w:hAnsi="Times New Roman"/>
                <w:sz w:val="28"/>
                <w:szCs w:val="24"/>
              </w:rPr>
              <w:t xml:space="preserve">, </w:t>
            </w:r>
            <w:r w:rsidRPr="00D255C1">
              <w:rPr>
                <w:rFonts w:ascii="Times New Roman" w:hAnsi="Times New Roman"/>
                <w:i/>
                <w:kern w:val="1"/>
                <w:sz w:val="28"/>
                <w:szCs w:val="24"/>
              </w:rPr>
              <w:t>к.э.н., доц.</w:t>
            </w:r>
          </w:p>
          <w:p w:rsidR="00D255C1" w:rsidRPr="00D255C1" w:rsidRDefault="00D255C1" w:rsidP="00D255C1">
            <w:pPr>
              <w:rPr>
                <w:rFonts w:ascii="Times New Roman" w:hAnsi="Times New Roman"/>
                <w:i/>
                <w:kern w:val="1"/>
                <w:sz w:val="28"/>
                <w:szCs w:val="24"/>
              </w:rPr>
            </w:pPr>
            <w:r w:rsidRPr="00D255C1">
              <w:rPr>
                <w:rFonts w:ascii="Times New Roman" w:hAnsi="Times New Roman"/>
                <w:i/>
                <w:sz w:val="28"/>
                <w:szCs w:val="28"/>
              </w:rPr>
              <w:t>ГАОУ ВО «</w:t>
            </w:r>
            <w:r w:rsidRPr="00D255C1">
              <w:rPr>
                <w:rFonts w:ascii="Times New Roman" w:hAnsi="Times New Roman"/>
                <w:i/>
                <w:kern w:val="1"/>
                <w:sz w:val="28"/>
                <w:szCs w:val="24"/>
              </w:rPr>
              <w:t>Дагестанский государственный университет народного хозяйства</w:t>
            </w:r>
            <w:r w:rsidRPr="00D255C1">
              <w:rPr>
                <w:rFonts w:ascii="Times New Roman" w:hAnsi="Times New Roman"/>
                <w:i/>
                <w:sz w:val="28"/>
                <w:szCs w:val="28"/>
              </w:rPr>
              <w:t xml:space="preserve">», </w:t>
            </w:r>
          </w:p>
          <w:p w:rsidR="00D255C1" w:rsidRPr="00D255C1" w:rsidRDefault="00D255C1" w:rsidP="00D255C1">
            <w:pPr>
              <w:rPr>
                <w:rFonts w:ascii="Times New Roman" w:hAnsi="Times New Roman"/>
                <w:bCs/>
                <w:i/>
                <w:kern w:val="1"/>
                <w:sz w:val="28"/>
                <w:szCs w:val="28"/>
              </w:rPr>
            </w:pPr>
            <w:r w:rsidRPr="00D255C1">
              <w:rPr>
                <w:rFonts w:ascii="Times New Roman" w:hAnsi="Times New Roman"/>
                <w:bCs/>
                <w:i/>
                <w:kern w:val="1"/>
                <w:sz w:val="28"/>
                <w:szCs w:val="28"/>
              </w:rPr>
              <w:t>Махачкала, Россия</w:t>
            </w:r>
          </w:p>
          <w:p w:rsidR="00D255C1" w:rsidRPr="00D255C1" w:rsidRDefault="00D255C1" w:rsidP="00D255C1">
            <w:pPr>
              <w:rPr>
                <w:rFonts w:ascii="Times New Roman" w:hAnsi="Times New Roman"/>
                <w:b/>
                <w:i/>
                <w:kern w:val="1"/>
                <w:sz w:val="28"/>
                <w:szCs w:val="28"/>
              </w:rPr>
            </w:pPr>
            <w:r w:rsidRPr="00D255C1">
              <w:rPr>
                <w:rFonts w:ascii="Times New Roman" w:hAnsi="Times New Roman"/>
                <w:b/>
                <w:i/>
                <w:sz w:val="28"/>
                <w:szCs w:val="28"/>
                <w:shd w:val="clear" w:color="auto" w:fill="FFFFFF"/>
                <w:lang w:val="en-US"/>
              </w:rPr>
              <w:t>Kremleva</w:t>
            </w:r>
            <w:r w:rsidRPr="00D255C1">
              <w:rPr>
                <w:rFonts w:ascii="Times New Roman" w:hAnsi="Times New Roman"/>
                <w:b/>
                <w:i/>
                <w:sz w:val="28"/>
                <w:szCs w:val="28"/>
                <w:shd w:val="clear" w:color="auto" w:fill="FFFFFF"/>
              </w:rPr>
              <w:t xml:space="preserve"> </w:t>
            </w:r>
            <w:r w:rsidRPr="00D255C1">
              <w:rPr>
                <w:rFonts w:ascii="Times New Roman" w:hAnsi="Times New Roman"/>
                <w:b/>
                <w:i/>
                <w:sz w:val="28"/>
                <w:szCs w:val="28"/>
                <w:shd w:val="clear" w:color="auto" w:fill="FFFFFF"/>
                <w:lang w:val="en-US"/>
              </w:rPr>
              <w:t>V</w:t>
            </w:r>
            <w:r w:rsidRPr="00D255C1">
              <w:rPr>
                <w:rFonts w:ascii="Times New Roman" w:hAnsi="Times New Roman"/>
                <w:b/>
                <w:i/>
                <w:sz w:val="28"/>
                <w:szCs w:val="28"/>
                <w:shd w:val="clear" w:color="auto" w:fill="FFFFFF"/>
              </w:rPr>
              <w:t>.</w:t>
            </w:r>
            <w:r w:rsidRPr="00D255C1">
              <w:rPr>
                <w:rFonts w:ascii="Times New Roman" w:hAnsi="Times New Roman"/>
                <w:b/>
                <w:i/>
                <w:sz w:val="28"/>
                <w:szCs w:val="28"/>
                <w:shd w:val="clear" w:color="auto" w:fill="FFFFFF"/>
                <w:lang w:val="en-US"/>
              </w:rPr>
              <w:t>V</w:t>
            </w:r>
            <w:r w:rsidRPr="00D255C1">
              <w:rPr>
                <w:rFonts w:ascii="Times New Roman" w:hAnsi="Times New Roman"/>
                <w:b/>
                <w:i/>
                <w:sz w:val="28"/>
                <w:szCs w:val="28"/>
                <w:shd w:val="clear" w:color="auto" w:fill="FFFFFF"/>
              </w:rPr>
              <w:t>.</w:t>
            </w:r>
          </w:p>
          <w:p w:rsidR="00D255C1" w:rsidRPr="00D255C1" w:rsidRDefault="00D255C1" w:rsidP="00D255C1">
            <w:pPr>
              <w:rPr>
                <w:rFonts w:ascii="Times New Roman" w:hAnsi="Times New Roman"/>
                <w:b/>
                <w:i/>
                <w:sz w:val="28"/>
                <w:szCs w:val="28"/>
                <w:lang w:val="en-US"/>
              </w:rPr>
            </w:pPr>
            <w:r w:rsidRPr="00D255C1">
              <w:rPr>
                <w:rFonts w:ascii="Times New Roman" w:hAnsi="Times New Roman"/>
                <w:b/>
                <w:i/>
                <w:sz w:val="28"/>
                <w:szCs w:val="28"/>
                <w:shd w:val="clear" w:color="auto" w:fill="FFFFFF"/>
                <w:lang w:val="en-US"/>
              </w:rPr>
              <w:t>Adzhamatova D.S.</w:t>
            </w:r>
          </w:p>
          <w:p w:rsidR="00D255C1" w:rsidRPr="00D255C1" w:rsidRDefault="00D255C1" w:rsidP="00D255C1">
            <w:pPr>
              <w:rPr>
                <w:rFonts w:ascii="Times New Roman" w:hAnsi="Times New Roman"/>
                <w:i/>
                <w:sz w:val="28"/>
                <w:szCs w:val="28"/>
                <w:shd w:val="clear" w:color="auto" w:fill="FFFFFF"/>
                <w:lang w:val="en-US"/>
              </w:rPr>
            </w:pPr>
            <w:r w:rsidRPr="00D255C1">
              <w:rPr>
                <w:rFonts w:ascii="Times New Roman" w:hAnsi="Times New Roman"/>
                <w:i/>
                <w:sz w:val="28"/>
                <w:szCs w:val="28"/>
                <w:shd w:val="clear" w:color="auto" w:fill="FFFFFF"/>
                <w:lang w:val="en-US"/>
              </w:rPr>
              <w:t>Dagestan state university of the national economy,</w:t>
            </w:r>
          </w:p>
          <w:p w:rsidR="00D255C1" w:rsidRPr="00D255C1" w:rsidRDefault="00D255C1" w:rsidP="00D255C1">
            <w:pPr>
              <w:rPr>
                <w:rFonts w:ascii="Times New Roman" w:hAnsi="Times New Roman"/>
                <w:sz w:val="28"/>
                <w:szCs w:val="24"/>
              </w:rPr>
            </w:pPr>
            <w:r w:rsidRPr="00D255C1">
              <w:rPr>
                <w:rFonts w:ascii="Times New Roman" w:hAnsi="Times New Roman"/>
                <w:i/>
                <w:sz w:val="28"/>
                <w:szCs w:val="28"/>
                <w:shd w:val="clear" w:color="auto" w:fill="FFFFFF"/>
                <w:lang w:val="en-US"/>
              </w:rPr>
              <w:t>Makhachkala</w:t>
            </w:r>
            <w:r w:rsidRPr="00D255C1">
              <w:rPr>
                <w:rFonts w:ascii="Times New Roman" w:hAnsi="Times New Roman"/>
                <w:i/>
                <w:sz w:val="28"/>
                <w:szCs w:val="28"/>
                <w:shd w:val="clear" w:color="auto" w:fill="FFFFFF"/>
              </w:rPr>
              <w:t xml:space="preserve">, </w:t>
            </w:r>
            <w:r w:rsidRPr="00D255C1">
              <w:rPr>
                <w:rFonts w:ascii="Times New Roman" w:hAnsi="Times New Roman"/>
                <w:i/>
                <w:sz w:val="28"/>
                <w:szCs w:val="28"/>
                <w:shd w:val="clear" w:color="auto" w:fill="FFFFFF"/>
                <w:lang w:val="en-US"/>
              </w:rPr>
              <w:t>Russia</w:t>
            </w:r>
          </w:p>
        </w:tc>
      </w:tr>
      <w:tr w:rsidR="00D255C1" w:rsidRPr="00D255C1" w:rsidTr="00BB1D7C">
        <w:trPr>
          <w:jc w:val="center"/>
        </w:trPr>
        <w:tc>
          <w:tcPr>
            <w:tcW w:w="4264" w:type="dxa"/>
          </w:tcPr>
          <w:p w:rsidR="00D255C1" w:rsidRPr="00D255C1" w:rsidRDefault="00D255C1" w:rsidP="00D255C1">
            <w:pPr>
              <w:keepNext/>
              <w:keepLines/>
              <w:ind w:hanging="28"/>
              <w:jc w:val="center"/>
              <w:outlineLvl w:val="0"/>
              <w:rPr>
                <w:rFonts w:ascii="Times New Roman" w:hAnsi="Times New Roman"/>
                <w:b/>
                <w:bCs/>
                <w:caps/>
                <w:sz w:val="28"/>
                <w:szCs w:val="28"/>
                <w:shd w:val="clear" w:color="auto" w:fill="FFFFFF"/>
              </w:rPr>
            </w:pPr>
          </w:p>
        </w:tc>
        <w:tc>
          <w:tcPr>
            <w:tcW w:w="5197" w:type="dxa"/>
          </w:tcPr>
          <w:p w:rsidR="00D255C1" w:rsidRPr="00D255C1" w:rsidRDefault="00D255C1" w:rsidP="00D255C1">
            <w:pPr>
              <w:widowControl w:val="0"/>
              <w:jc w:val="both"/>
              <w:rPr>
                <w:rFonts w:ascii="Times New Roman" w:hAnsi="Times New Roman"/>
                <w:sz w:val="28"/>
                <w:szCs w:val="24"/>
              </w:rPr>
            </w:pPr>
          </w:p>
        </w:tc>
      </w:tr>
      <w:tr w:rsidR="00D255C1" w:rsidRPr="00D255C1" w:rsidTr="00BB1D7C">
        <w:trPr>
          <w:jc w:val="center"/>
        </w:trPr>
        <w:tc>
          <w:tcPr>
            <w:tcW w:w="9461" w:type="dxa"/>
            <w:gridSpan w:val="2"/>
          </w:tcPr>
          <w:p w:rsidR="00D255C1" w:rsidRPr="00D255C1" w:rsidRDefault="00D255C1" w:rsidP="00D255C1">
            <w:pPr>
              <w:keepNext/>
              <w:keepLines/>
              <w:ind w:hanging="28"/>
              <w:jc w:val="center"/>
              <w:outlineLvl w:val="0"/>
              <w:rPr>
                <w:rFonts w:ascii="Times New Roman" w:hAnsi="Times New Roman"/>
                <w:b/>
                <w:bCs/>
                <w:caps/>
                <w:sz w:val="28"/>
                <w:szCs w:val="28"/>
                <w:shd w:val="clear" w:color="auto" w:fill="FFFFFF"/>
              </w:rPr>
            </w:pPr>
            <w:bookmarkStart w:id="2" w:name="_Toc518846454"/>
            <w:r w:rsidRPr="00D255C1">
              <w:rPr>
                <w:rFonts w:ascii="Times New Roman" w:hAnsi="Times New Roman"/>
                <w:b/>
                <w:bCs/>
                <w:caps/>
                <w:sz w:val="28"/>
                <w:szCs w:val="28"/>
                <w:shd w:val="clear" w:color="auto" w:fill="FFFFFF"/>
              </w:rPr>
              <w:t>ПЕРСПЕКТИВЫ СБЕРБАНКА НА РЫНКЕ БАНКОВСКИХ УСЛУГ</w:t>
            </w:r>
            <w:bookmarkEnd w:id="2"/>
          </w:p>
        </w:tc>
      </w:tr>
      <w:tr w:rsidR="00D255C1" w:rsidRPr="00D255C1" w:rsidTr="00BB1D7C">
        <w:trPr>
          <w:jc w:val="center"/>
        </w:trPr>
        <w:tc>
          <w:tcPr>
            <w:tcW w:w="9461" w:type="dxa"/>
            <w:gridSpan w:val="2"/>
          </w:tcPr>
          <w:p w:rsidR="00D255C1" w:rsidRPr="00D255C1" w:rsidRDefault="00D255C1" w:rsidP="00D255C1">
            <w:pPr>
              <w:jc w:val="both"/>
              <w:rPr>
                <w:rFonts w:ascii="Times New Roman" w:hAnsi="Times New Roman"/>
                <w:sz w:val="28"/>
                <w:szCs w:val="24"/>
              </w:rPr>
            </w:pPr>
          </w:p>
        </w:tc>
      </w:tr>
      <w:tr w:rsidR="00D255C1" w:rsidRPr="00D255C1" w:rsidTr="00BB1D7C">
        <w:trPr>
          <w:jc w:val="center"/>
        </w:trPr>
        <w:tc>
          <w:tcPr>
            <w:tcW w:w="9461" w:type="dxa"/>
            <w:gridSpan w:val="2"/>
          </w:tcPr>
          <w:p w:rsidR="00D255C1" w:rsidRPr="00D255C1" w:rsidRDefault="00D255C1" w:rsidP="00D255C1">
            <w:pPr>
              <w:shd w:val="clear" w:color="auto" w:fill="FFFFFF"/>
              <w:ind w:firstLine="567"/>
              <w:jc w:val="center"/>
              <w:textAlignment w:val="baseline"/>
              <w:rPr>
                <w:rFonts w:ascii="Times New Roman" w:hAnsi="Times New Roman"/>
                <w:b/>
                <w:sz w:val="28"/>
                <w:szCs w:val="28"/>
                <w:lang w:val="en-US"/>
              </w:rPr>
            </w:pPr>
            <w:r w:rsidRPr="00D255C1">
              <w:rPr>
                <w:rFonts w:ascii="Times New Roman" w:hAnsi="Times New Roman"/>
                <w:b/>
                <w:sz w:val="28"/>
                <w:szCs w:val="28"/>
                <w:shd w:val="clear" w:color="auto" w:fill="FFFFFF"/>
                <w:lang w:val="en-US"/>
              </w:rPr>
              <w:t>PROSPECTS OF SBERBANK IN THE MARKET OF BANKING SERVICES</w:t>
            </w:r>
          </w:p>
        </w:tc>
      </w:tr>
    </w:tbl>
    <w:p w:rsidR="00D255C1" w:rsidRPr="00D255C1" w:rsidRDefault="00D255C1" w:rsidP="00D255C1">
      <w:pPr>
        <w:shd w:val="clear" w:color="auto" w:fill="FFFFFF"/>
        <w:spacing w:after="0" w:line="240" w:lineRule="auto"/>
        <w:ind w:firstLine="567"/>
        <w:jc w:val="center"/>
        <w:textAlignment w:val="baseline"/>
        <w:rPr>
          <w:rFonts w:ascii="Times New Roman" w:eastAsia="Times New Roman" w:hAnsi="Times New Roman" w:cs="Times New Roman"/>
          <w:b/>
          <w:sz w:val="28"/>
          <w:szCs w:val="24"/>
          <w:lang w:val="en-US" w:eastAsia="ru-RU"/>
        </w:rPr>
      </w:pPr>
    </w:p>
    <w:p w:rsidR="00D255C1" w:rsidRPr="00D255C1" w:rsidRDefault="00D255C1" w:rsidP="00D255C1">
      <w:pPr>
        <w:shd w:val="clear" w:color="auto" w:fill="FFFFFF"/>
        <w:spacing w:after="0" w:line="240" w:lineRule="auto"/>
        <w:ind w:firstLine="709"/>
        <w:jc w:val="both"/>
        <w:textAlignment w:val="baseline"/>
        <w:rPr>
          <w:rFonts w:ascii="Times New Roman" w:eastAsia="Times New Roman" w:hAnsi="Times New Roman" w:cs="Times New Roman"/>
          <w:i/>
          <w:sz w:val="24"/>
          <w:szCs w:val="24"/>
          <w:shd w:val="clear" w:color="auto" w:fill="FFFFFF"/>
          <w:lang w:eastAsia="ru-RU"/>
        </w:rPr>
      </w:pPr>
      <w:r w:rsidRPr="00D255C1">
        <w:rPr>
          <w:rFonts w:ascii="Times New Roman" w:eastAsia="Times New Roman" w:hAnsi="Times New Roman" w:cs="Times New Roman"/>
          <w:i/>
          <w:sz w:val="24"/>
          <w:szCs w:val="24"/>
          <w:lang w:eastAsia="ru-RU"/>
        </w:rPr>
        <w:t>Аннотация.</w:t>
      </w:r>
      <w:r w:rsidRPr="00D255C1">
        <w:rPr>
          <w:rFonts w:ascii="Times New Roman" w:eastAsia="Times New Roman" w:hAnsi="Times New Roman" w:cs="Times New Roman"/>
          <w:b/>
          <w:i/>
          <w:sz w:val="24"/>
          <w:szCs w:val="24"/>
          <w:lang w:eastAsia="ru-RU"/>
        </w:rPr>
        <w:t xml:space="preserve"> </w:t>
      </w:r>
      <w:r w:rsidRPr="00D255C1">
        <w:rPr>
          <w:rFonts w:ascii="Times New Roman" w:eastAsia="Times New Roman" w:hAnsi="Times New Roman" w:cs="Times New Roman"/>
          <w:i/>
          <w:sz w:val="24"/>
          <w:szCs w:val="24"/>
          <w:lang w:eastAsia="ru-RU"/>
        </w:rPr>
        <w:t>Сбербанк, безусловно, является крупнейшим банком на рынке банковских услуг, однако н</w:t>
      </w:r>
      <w:r w:rsidRPr="00D255C1">
        <w:rPr>
          <w:rFonts w:ascii="Times New Roman" w:eastAsia="Times New Roman" w:hAnsi="Times New Roman" w:cs="Times New Roman"/>
          <w:i/>
          <w:sz w:val="24"/>
          <w:szCs w:val="24"/>
          <w:shd w:val="clear" w:color="auto" w:fill="FFFFFF"/>
          <w:lang w:eastAsia="ru-RU"/>
        </w:rPr>
        <w:t>а рынке присутствуют и другие банковские организации, способные составить конкуренцию Сбербанку. Это в основном системообразующие банки. Большой запас ликвидности, а также эффективная процентная политика дает Сбербанку возможность наращивать свой потенциал</w:t>
      </w:r>
    </w:p>
    <w:p w:rsidR="00D255C1" w:rsidRPr="00D255C1" w:rsidRDefault="00D255C1" w:rsidP="00D255C1">
      <w:pPr>
        <w:shd w:val="clear" w:color="auto" w:fill="FFFFFF"/>
        <w:spacing w:after="0" w:line="240" w:lineRule="auto"/>
        <w:ind w:firstLine="709"/>
        <w:jc w:val="both"/>
        <w:textAlignment w:val="baseline"/>
        <w:rPr>
          <w:rFonts w:ascii="Times New Roman" w:eastAsia="Times New Roman" w:hAnsi="Times New Roman" w:cs="Times New Roman"/>
          <w:i/>
          <w:sz w:val="24"/>
          <w:szCs w:val="24"/>
          <w:lang w:eastAsia="ru-RU"/>
        </w:rPr>
      </w:pPr>
      <w:r w:rsidRPr="00D255C1">
        <w:rPr>
          <w:rFonts w:ascii="Times New Roman" w:eastAsia="Times New Roman" w:hAnsi="Times New Roman" w:cs="Times New Roman"/>
          <w:i/>
          <w:sz w:val="24"/>
          <w:szCs w:val="24"/>
          <w:lang w:eastAsia="ru-RU"/>
        </w:rPr>
        <w:t>Ключевые слова:</w:t>
      </w:r>
      <w:r w:rsidRPr="00D255C1">
        <w:rPr>
          <w:rFonts w:ascii="Times New Roman" w:eastAsia="Times New Roman" w:hAnsi="Times New Roman" w:cs="Times New Roman"/>
          <w:b/>
          <w:i/>
          <w:sz w:val="24"/>
          <w:szCs w:val="24"/>
          <w:lang w:eastAsia="ru-RU"/>
        </w:rPr>
        <w:t xml:space="preserve"> </w:t>
      </w:r>
      <w:r w:rsidRPr="00D255C1">
        <w:rPr>
          <w:rFonts w:ascii="Times New Roman" w:eastAsia="Times New Roman" w:hAnsi="Times New Roman" w:cs="Times New Roman"/>
          <w:i/>
          <w:sz w:val="24"/>
          <w:szCs w:val="24"/>
          <w:lang w:eastAsia="ru-RU"/>
        </w:rPr>
        <w:t>нормативы ликвидности, процентная маржа, системообразующие банки, чистая ссудная задолженность, процентная политика.</w:t>
      </w:r>
    </w:p>
    <w:p w:rsidR="00D255C1" w:rsidRPr="00D255C1" w:rsidRDefault="00D255C1" w:rsidP="00D255C1">
      <w:pPr>
        <w:shd w:val="clear" w:color="auto" w:fill="FFFFFF"/>
        <w:spacing w:after="0" w:line="240" w:lineRule="auto"/>
        <w:ind w:firstLine="709"/>
        <w:jc w:val="both"/>
        <w:textAlignment w:val="baseline"/>
        <w:rPr>
          <w:rFonts w:ascii="Times New Roman" w:eastAsia="Times New Roman" w:hAnsi="Times New Roman" w:cs="Times New Roman"/>
          <w:i/>
          <w:sz w:val="28"/>
          <w:szCs w:val="28"/>
          <w:lang w:eastAsia="ru-RU"/>
        </w:rPr>
      </w:pPr>
    </w:p>
    <w:p w:rsidR="00D255C1" w:rsidRPr="00D255C1" w:rsidRDefault="00D255C1" w:rsidP="00D255C1">
      <w:pPr>
        <w:shd w:val="clear" w:color="auto" w:fill="FFFFFF"/>
        <w:spacing w:after="0" w:line="240" w:lineRule="auto"/>
        <w:ind w:firstLine="709"/>
        <w:jc w:val="both"/>
        <w:textAlignment w:val="baseline"/>
        <w:rPr>
          <w:rFonts w:ascii="Times New Roman" w:eastAsia="Calibri" w:hAnsi="Times New Roman" w:cs="Times New Roman"/>
          <w:i/>
          <w:sz w:val="24"/>
          <w:szCs w:val="24"/>
          <w:lang w:val="en-US"/>
        </w:rPr>
      </w:pPr>
      <w:r w:rsidRPr="00D255C1">
        <w:rPr>
          <w:rFonts w:ascii="Times New Roman" w:eastAsia="Times New Roman" w:hAnsi="Times New Roman" w:cs="Times New Roman"/>
          <w:i/>
          <w:sz w:val="24"/>
          <w:szCs w:val="24"/>
          <w:lang w:val="en-US" w:eastAsia="ru-RU"/>
        </w:rPr>
        <w:t>Abstract.</w:t>
      </w:r>
      <w:r w:rsidRPr="00D255C1">
        <w:rPr>
          <w:rFonts w:ascii="Times New Roman" w:eastAsia="Times New Roman" w:hAnsi="Times New Roman" w:cs="Times New Roman"/>
          <w:b/>
          <w:i/>
          <w:sz w:val="24"/>
          <w:szCs w:val="24"/>
          <w:lang w:val="en-US" w:eastAsia="ru-RU"/>
        </w:rPr>
        <w:t xml:space="preserve"> </w:t>
      </w:r>
      <w:r w:rsidRPr="00D255C1">
        <w:rPr>
          <w:rFonts w:ascii="Times New Roman" w:eastAsia="Calibri" w:hAnsi="Times New Roman" w:cs="Times New Roman"/>
          <w:i/>
          <w:sz w:val="24"/>
          <w:szCs w:val="24"/>
          <w:lang w:val="en-US"/>
        </w:rPr>
        <w:t>Sberbank is the universal bank which is the largest bank of the country in size of assets, profit and in other parameters among the Russian banks. Also Sberbank has a large supply of liquidity, and the effective percentage policy gives to Sberbank of an opportunity to increase the potential.</w:t>
      </w:r>
    </w:p>
    <w:p w:rsidR="00D255C1" w:rsidRPr="00D255C1" w:rsidRDefault="00D255C1" w:rsidP="00D255C1">
      <w:pPr>
        <w:spacing w:after="0" w:line="240" w:lineRule="auto"/>
        <w:ind w:firstLine="709"/>
        <w:jc w:val="both"/>
        <w:rPr>
          <w:rFonts w:ascii="Times New Roman" w:eastAsia="Times New Roman" w:hAnsi="Times New Roman" w:cs="Times New Roman"/>
          <w:bCs/>
          <w:i/>
          <w:sz w:val="24"/>
          <w:szCs w:val="24"/>
          <w:shd w:val="clear" w:color="auto" w:fill="FFFFFF"/>
          <w:lang w:val="en-US" w:eastAsia="ru-RU"/>
        </w:rPr>
      </w:pPr>
      <w:r w:rsidRPr="00D255C1">
        <w:rPr>
          <w:rFonts w:ascii="Times New Roman" w:eastAsia="Times New Roman" w:hAnsi="Times New Roman" w:cs="Times New Roman"/>
          <w:i/>
          <w:sz w:val="24"/>
          <w:szCs w:val="24"/>
          <w:lang w:val="en-US" w:eastAsia="ru-RU"/>
        </w:rPr>
        <w:t>Keywords:</w:t>
      </w:r>
      <w:r w:rsidRPr="00D255C1">
        <w:rPr>
          <w:rFonts w:ascii="Times New Roman" w:eastAsia="Times New Roman" w:hAnsi="Times New Roman" w:cs="Times New Roman"/>
          <w:b/>
          <w:i/>
          <w:sz w:val="24"/>
          <w:szCs w:val="24"/>
          <w:lang w:val="en-US" w:eastAsia="ru-RU"/>
        </w:rPr>
        <w:t xml:space="preserve"> </w:t>
      </w:r>
      <w:r w:rsidRPr="00D255C1">
        <w:rPr>
          <w:rFonts w:ascii="Times New Roman" w:eastAsia="Times New Roman" w:hAnsi="Times New Roman" w:cs="Times New Roman"/>
          <w:bCs/>
          <w:i/>
          <w:sz w:val="24"/>
          <w:szCs w:val="24"/>
          <w:shd w:val="clear" w:color="auto" w:fill="FFFFFF"/>
          <w:lang w:val="en-US" w:eastAsia="ru-RU"/>
        </w:rPr>
        <w:t>standards of liquidity, percentage margin, systemically important banks, net loan debt, percentage policy.</w:t>
      </w:r>
    </w:p>
    <w:p w:rsidR="00D255C1" w:rsidRPr="00D255C1" w:rsidRDefault="00D255C1" w:rsidP="00D255C1">
      <w:pPr>
        <w:spacing w:after="0" w:line="240" w:lineRule="auto"/>
        <w:ind w:firstLine="709"/>
        <w:contextualSpacing/>
        <w:jc w:val="both"/>
        <w:rPr>
          <w:rFonts w:ascii="Times New Roman" w:eastAsia="Times New Roman" w:hAnsi="Times New Roman" w:cs="Times New Roman"/>
          <w:bCs/>
          <w:sz w:val="28"/>
          <w:szCs w:val="28"/>
          <w:shd w:val="clear" w:color="auto" w:fill="FFFFFF"/>
          <w:lang w:val="en-US" w:eastAsia="ru-RU"/>
        </w:rPr>
      </w:pPr>
    </w:p>
    <w:p w:rsidR="00D255C1" w:rsidRPr="00D255C1" w:rsidRDefault="00D255C1" w:rsidP="00D255C1">
      <w:pPr>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D255C1">
        <w:rPr>
          <w:rFonts w:ascii="Times New Roman" w:eastAsia="Times New Roman" w:hAnsi="Times New Roman" w:cs="Times New Roman"/>
          <w:b/>
          <w:sz w:val="28"/>
          <w:szCs w:val="28"/>
          <w:shd w:val="clear" w:color="auto" w:fill="FFFFFF"/>
          <w:lang w:eastAsia="ru-RU"/>
        </w:rPr>
        <w:t>Актуальность исследования</w:t>
      </w:r>
      <w:r w:rsidRPr="00D255C1">
        <w:rPr>
          <w:rFonts w:ascii="Times New Roman" w:eastAsia="Times New Roman" w:hAnsi="Times New Roman" w:cs="Times New Roman"/>
          <w:sz w:val="28"/>
          <w:szCs w:val="28"/>
          <w:shd w:val="clear" w:color="auto" w:fill="FFFFFF"/>
          <w:lang w:eastAsia="ru-RU"/>
        </w:rPr>
        <w:t xml:space="preserve">. ПАО Сбербанк является лидером на рынке банковских услуг в РФ. Более того, по вкладам физических лиц только на долю Сбербанка приходится около половины привлеченных вкладов физлиц. Напомним, что крупных системообразующих банков в России 11, а всего банков в РФ – 558[8]. </w:t>
      </w:r>
    </w:p>
    <w:p w:rsidR="00D255C1" w:rsidRPr="00D255C1" w:rsidRDefault="00D255C1" w:rsidP="00D255C1">
      <w:pPr>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D255C1">
        <w:rPr>
          <w:rFonts w:ascii="Times New Roman" w:eastAsia="Times New Roman" w:hAnsi="Times New Roman" w:cs="Times New Roman"/>
          <w:b/>
          <w:sz w:val="28"/>
          <w:szCs w:val="28"/>
          <w:shd w:val="clear" w:color="auto" w:fill="FFFFFF"/>
          <w:lang w:eastAsia="ru-RU"/>
        </w:rPr>
        <w:t>Цель исследования</w:t>
      </w:r>
      <w:r w:rsidRPr="00D255C1">
        <w:rPr>
          <w:rFonts w:ascii="Times New Roman" w:eastAsia="Times New Roman" w:hAnsi="Times New Roman" w:cs="Times New Roman"/>
          <w:sz w:val="28"/>
          <w:szCs w:val="28"/>
          <w:shd w:val="clear" w:color="auto" w:fill="FFFFFF"/>
          <w:lang w:eastAsia="ru-RU"/>
        </w:rPr>
        <w:t xml:space="preserve"> заключается в том, чтобы выяснить, будет ли дальше усиливаться монополия Сбербанка, и как будет выглядеть он будущем?  Что позволило Сбербанку в период кризиса нарастить активы, повысить их рентабельность и при этом выплачивать дивиденды своим акционерам? </w:t>
      </w:r>
    </w:p>
    <w:p w:rsidR="00D255C1" w:rsidRPr="00D255C1" w:rsidRDefault="00D255C1" w:rsidP="00D255C1">
      <w:pPr>
        <w:spacing w:after="0" w:line="240" w:lineRule="auto"/>
        <w:ind w:firstLine="709"/>
        <w:contextualSpacing/>
        <w:jc w:val="both"/>
        <w:rPr>
          <w:rFonts w:ascii="Times New Roman" w:eastAsia="Times New Roman" w:hAnsi="Times New Roman" w:cs="Times New Roman"/>
          <w:bCs/>
          <w:sz w:val="28"/>
          <w:szCs w:val="28"/>
          <w:shd w:val="clear" w:color="auto" w:fill="FFFFFF"/>
          <w:lang w:eastAsia="ru-RU"/>
        </w:rPr>
      </w:pPr>
      <w:r w:rsidRPr="00D255C1">
        <w:rPr>
          <w:rFonts w:ascii="Times New Roman" w:eastAsia="Times New Roman" w:hAnsi="Times New Roman" w:cs="Times New Roman"/>
          <w:b/>
          <w:sz w:val="28"/>
          <w:szCs w:val="28"/>
          <w:shd w:val="clear" w:color="auto" w:fill="FFFFFF"/>
          <w:lang w:eastAsia="ru-RU"/>
        </w:rPr>
        <w:t xml:space="preserve">Основные результаты исследования. </w:t>
      </w:r>
      <w:r w:rsidRPr="00D255C1">
        <w:rPr>
          <w:rFonts w:ascii="Times New Roman" w:eastAsia="Times New Roman" w:hAnsi="Times New Roman" w:cs="Times New Roman"/>
          <w:sz w:val="28"/>
          <w:szCs w:val="28"/>
          <w:shd w:val="clear" w:color="auto" w:fill="FFFFFF"/>
          <w:lang w:eastAsia="ru-RU"/>
        </w:rPr>
        <w:t xml:space="preserve">В декабре 2017 г. Сбербанк представил инвесторам свою новую  стратегию развития на период 2018 –2020 гг. [7]. Данная стратегия предполагает качественно новые ориентиры, основанные на технологическом лидерстве, масштабном наращивании </w:t>
      </w:r>
      <w:r w:rsidRPr="00D255C1">
        <w:rPr>
          <w:rFonts w:ascii="Times New Roman" w:eastAsia="Times New Roman" w:hAnsi="Times New Roman" w:cs="Times New Roman"/>
          <w:sz w:val="28"/>
          <w:szCs w:val="28"/>
          <w:shd w:val="clear" w:color="auto" w:fill="FFFFFF"/>
          <w:lang w:eastAsia="ru-RU"/>
        </w:rPr>
        <w:lastRenderedPageBreak/>
        <w:t xml:space="preserve">бизнеса, а также максимальной эффективности. Прибыль Сбербанка в 2016 г. составила 549 млрд руб., при том, что по всему банковскому сектору РФ этот показатель составил 930 млрд. руб. В 2017 г. Сбербанк заработал уже 674 млрд руб. чистой  прибыли.  Несмотря на неблагоприятные условия развития банковского сектора (зачистка банковского сектора, просроченная задолженность), Сбербанк продолжает наращивать активы и улучшать свои показатели эффективности. За 2017 г. кредитование экономики выросло всего на 3,9%, но </w:t>
      </w:r>
      <w:r w:rsidRPr="00D255C1">
        <w:rPr>
          <w:rFonts w:ascii="Times New Roman" w:eastAsia="Times New Roman" w:hAnsi="Times New Roman" w:cs="Times New Roman"/>
          <w:sz w:val="28"/>
          <w:szCs w:val="28"/>
          <w:lang w:eastAsia="ru-RU"/>
        </w:rPr>
        <w:t>увеличился корпоративный кредитный портфель на 5,8%, розничный на 13,6%[4].</w:t>
      </w:r>
    </w:p>
    <w:p w:rsidR="00D255C1" w:rsidRPr="00D255C1" w:rsidRDefault="00D255C1" w:rsidP="00D255C1">
      <w:pPr>
        <w:spacing w:after="0" w:line="240" w:lineRule="auto"/>
        <w:ind w:firstLine="709"/>
        <w:jc w:val="both"/>
        <w:rPr>
          <w:rFonts w:ascii="Times New Roman" w:eastAsia="Times New Roman" w:hAnsi="Times New Roman" w:cs="Times New Roman"/>
          <w:sz w:val="28"/>
          <w:szCs w:val="28"/>
          <w:lang w:eastAsia="ru-RU"/>
        </w:rPr>
      </w:pPr>
      <w:r w:rsidRPr="00D255C1">
        <w:rPr>
          <w:rFonts w:ascii="Times New Roman" w:eastAsia="Times New Roman" w:hAnsi="Times New Roman" w:cs="Times New Roman"/>
          <w:sz w:val="28"/>
          <w:szCs w:val="28"/>
          <w:lang w:eastAsia="ru-RU"/>
        </w:rPr>
        <w:t>Рассмотрим роль Сбербанка на рынке всех банковских услуг (вклады, кредиты юридических и физических лиц) в табл. 1.</w:t>
      </w:r>
    </w:p>
    <w:p w:rsidR="00D255C1" w:rsidRPr="00D255C1" w:rsidRDefault="00D255C1" w:rsidP="00D255C1">
      <w:pPr>
        <w:spacing w:after="0" w:line="240" w:lineRule="auto"/>
        <w:ind w:firstLine="709"/>
        <w:jc w:val="right"/>
        <w:rPr>
          <w:rFonts w:ascii="Times New Roman" w:eastAsia="Times New Roman" w:hAnsi="Times New Roman" w:cs="Times New Roman"/>
          <w:sz w:val="28"/>
          <w:szCs w:val="28"/>
          <w:lang w:eastAsia="ru-RU"/>
        </w:rPr>
      </w:pPr>
    </w:p>
    <w:p w:rsidR="00D255C1" w:rsidRPr="00D255C1" w:rsidRDefault="00D255C1" w:rsidP="00D255C1">
      <w:pPr>
        <w:spacing w:after="0" w:line="240" w:lineRule="auto"/>
        <w:ind w:firstLine="709"/>
        <w:jc w:val="right"/>
        <w:rPr>
          <w:rFonts w:ascii="Times New Roman" w:eastAsia="Times New Roman" w:hAnsi="Times New Roman" w:cs="Times New Roman"/>
          <w:sz w:val="28"/>
          <w:szCs w:val="28"/>
          <w:lang w:eastAsia="ru-RU"/>
        </w:rPr>
      </w:pPr>
      <w:r w:rsidRPr="00D255C1">
        <w:rPr>
          <w:rFonts w:ascii="Times New Roman" w:eastAsia="Times New Roman" w:hAnsi="Times New Roman" w:cs="Times New Roman"/>
          <w:sz w:val="28"/>
          <w:szCs w:val="28"/>
          <w:lang w:eastAsia="ru-RU"/>
        </w:rPr>
        <w:t xml:space="preserve">Таблица 1 </w:t>
      </w:r>
    </w:p>
    <w:p w:rsidR="00D255C1" w:rsidRPr="00D255C1" w:rsidRDefault="00D255C1" w:rsidP="00D255C1">
      <w:pPr>
        <w:spacing w:after="0" w:line="240" w:lineRule="auto"/>
        <w:ind w:firstLine="709"/>
        <w:jc w:val="center"/>
        <w:rPr>
          <w:rFonts w:ascii="Times New Roman" w:eastAsia="Times New Roman" w:hAnsi="Times New Roman" w:cs="Times New Roman"/>
          <w:sz w:val="28"/>
          <w:szCs w:val="28"/>
          <w:lang w:eastAsia="ru-RU"/>
        </w:rPr>
      </w:pPr>
      <w:r w:rsidRPr="00D255C1">
        <w:rPr>
          <w:rFonts w:ascii="Times New Roman" w:eastAsia="Times New Roman" w:hAnsi="Times New Roman" w:cs="Times New Roman"/>
          <w:sz w:val="28"/>
          <w:szCs w:val="28"/>
          <w:lang w:eastAsia="ru-RU"/>
        </w:rPr>
        <w:t>Доля Сбербанка на рынке банковских услуг,% [4]</w:t>
      </w:r>
    </w:p>
    <w:tbl>
      <w:tblPr>
        <w:tblW w:w="7920" w:type="dxa"/>
        <w:jc w:val="center"/>
        <w:tblLook w:val="04A0" w:firstRow="1" w:lastRow="0" w:firstColumn="1" w:lastColumn="0" w:noHBand="0" w:noVBand="1"/>
      </w:tblPr>
      <w:tblGrid>
        <w:gridCol w:w="4721"/>
        <w:gridCol w:w="1620"/>
        <w:gridCol w:w="1579"/>
      </w:tblGrid>
      <w:tr w:rsidR="00D255C1" w:rsidRPr="00D255C1" w:rsidTr="00BB1D7C">
        <w:trPr>
          <w:trHeight w:val="300"/>
          <w:jc w:val="center"/>
        </w:trPr>
        <w:tc>
          <w:tcPr>
            <w:tcW w:w="4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b/>
                <w:sz w:val="24"/>
                <w:szCs w:val="24"/>
                <w:lang w:eastAsia="ru-RU"/>
              </w:rPr>
            </w:pPr>
            <w:r w:rsidRPr="00D255C1">
              <w:rPr>
                <w:rFonts w:ascii="Times New Roman" w:eastAsia="Times New Roman" w:hAnsi="Times New Roman" w:cs="Times New Roman"/>
                <w:b/>
                <w:sz w:val="24"/>
                <w:szCs w:val="24"/>
                <w:lang w:eastAsia="ru-RU"/>
              </w:rPr>
              <w:t>Показатель</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b/>
                <w:sz w:val="24"/>
                <w:szCs w:val="24"/>
                <w:lang w:eastAsia="ru-RU"/>
              </w:rPr>
            </w:pPr>
            <w:r w:rsidRPr="00D255C1">
              <w:rPr>
                <w:rFonts w:ascii="Times New Roman" w:eastAsia="Times New Roman" w:hAnsi="Times New Roman" w:cs="Times New Roman"/>
                <w:b/>
                <w:sz w:val="24"/>
                <w:szCs w:val="24"/>
                <w:lang w:eastAsia="ru-RU"/>
              </w:rPr>
              <w:t>01.01.2017</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b/>
                <w:sz w:val="24"/>
                <w:szCs w:val="24"/>
                <w:lang w:eastAsia="ru-RU"/>
              </w:rPr>
            </w:pPr>
            <w:r w:rsidRPr="00D255C1">
              <w:rPr>
                <w:rFonts w:ascii="Times New Roman" w:eastAsia="Times New Roman" w:hAnsi="Times New Roman" w:cs="Times New Roman"/>
                <w:b/>
                <w:sz w:val="24"/>
                <w:szCs w:val="24"/>
                <w:lang w:eastAsia="ru-RU"/>
              </w:rPr>
              <w:t>01.01.2018</w:t>
            </w:r>
          </w:p>
        </w:tc>
      </w:tr>
      <w:tr w:rsidR="00D255C1" w:rsidRPr="00D255C1" w:rsidTr="00BB1D7C">
        <w:trPr>
          <w:trHeight w:val="300"/>
          <w:jc w:val="center"/>
        </w:trPr>
        <w:tc>
          <w:tcPr>
            <w:tcW w:w="4721" w:type="dxa"/>
            <w:tcBorders>
              <w:top w:val="nil"/>
              <w:left w:val="single" w:sz="4" w:space="0" w:color="auto"/>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both"/>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Активы</w:t>
            </w:r>
          </w:p>
        </w:tc>
        <w:tc>
          <w:tcPr>
            <w:tcW w:w="1620" w:type="dxa"/>
            <w:tcBorders>
              <w:top w:val="nil"/>
              <w:left w:val="nil"/>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28,9</w:t>
            </w:r>
          </w:p>
        </w:tc>
        <w:tc>
          <w:tcPr>
            <w:tcW w:w="1579" w:type="dxa"/>
            <w:tcBorders>
              <w:top w:val="nil"/>
              <w:left w:val="nil"/>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28,7</w:t>
            </w:r>
          </w:p>
        </w:tc>
      </w:tr>
      <w:tr w:rsidR="00D255C1" w:rsidRPr="00D255C1" w:rsidTr="00BB1D7C">
        <w:trPr>
          <w:trHeight w:val="300"/>
          <w:jc w:val="center"/>
        </w:trPr>
        <w:tc>
          <w:tcPr>
            <w:tcW w:w="4721" w:type="dxa"/>
            <w:tcBorders>
              <w:top w:val="nil"/>
              <w:left w:val="single" w:sz="4" w:space="0" w:color="auto"/>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both"/>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Вклады</w:t>
            </w:r>
          </w:p>
        </w:tc>
        <w:tc>
          <w:tcPr>
            <w:tcW w:w="1620" w:type="dxa"/>
            <w:tcBorders>
              <w:top w:val="nil"/>
              <w:left w:val="nil"/>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46,6</w:t>
            </w:r>
          </w:p>
        </w:tc>
        <w:tc>
          <w:tcPr>
            <w:tcW w:w="1579" w:type="dxa"/>
            <w:tcBorders>
              <w:top w:val="nil"/>
              <w:left w:val="nil"/>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45,7</w:t>
            </w:r>
          </w:p>
        </w:tc>
      </w:tr>
      <w:tr w:rsidR="00D255C1" w:rsidRPr="00D255C1" w:rsidTr="00BB1D7C">
        <w:trPr>
          <w:trHeight w:val="300"/>
          <w:jc w:val="center"/>
        </w:trPr>
        <w:tc>
          <w:tcPr>
            <w:tcW w:w="4721" w:type="dxa"/>
            <w:tcBorders>
              <w:top w:val="nil"/>
              <w:left w:val="single" w:sz="4" w:space="0" w:color="auto"/>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both"/>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Привлеченные средства юридических лиц</w:t>
            </w:r>
          </w:p>
        </w:tc>
        <w:tc>
          <w:tcPr>
            <w:tcW w:w="1620" w:type="dxa"/>
            <w:tcBorders>
              <w:top w:val="nil"/>
              <w:left w:val="nil"/>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22,1</w:t>
            </w:r>
          </w:p>
        </w:tc>
        <w:tc>
          <w:tcPr>
            <w:tcW w:w="1579" w:type="dxa"/>
            <w:tcBorders>
              <w:top w:val="nil"/>
              <w:left w:val="nil"/>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21,5</w:t>
            </w:r>
          </w:p>
        </w:tc>
      </w:tr>
      <w:tr w:rsidR="00D255C1" w:rsidRPr="00D255C1" w:rsidTr="00BB1D7C">
        <w:trPr>
          <w:trHeight w:val="300"/>
          <w:jc w:val="center"/>
        </w:trPr>
        <w:tc>
          <w:tcPr>
            <w:tcW w:w="4721" w:type="dxa"/>
            <w:tcBorders>
              <w:top w:val="nil"/>
              <w:left w:val="single" w:sz="4" w:space="0" w:color="auto"/>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both"/>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Кредитование физических лиц</w:t>
            </w:r>
          </w:p>
        </w:tc>
        <w:tc>
          <w:tcPr>
            <w:tcW w:w="1620" w:type="dxa"/>
            <w:tcBorders>
              <w:top w:val="nil"/>
              <w:left w:val="nil"/>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40,1</w:t>
            </w:r>
          </w:p>
        </w:tc>
        <w:tc>
          <w:tcPr>
            <w:tcW w:w="1579" w:type="dxa"/>
            <w:tcBorders>
              <w:top w:val="nil"/>
              <w:left w:val="nil"/>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40,3</w:t>
            </w:r>
          </w:p>
        </w:tc>
      </w:tr>
      <w:tr w:rsidR="00D255C1" w:rsidRPr="00D255C1" w:rsidTr="00BB1D7C">
        <w:trPr>
          <w:trHeight w:val="300"/>
          <w:jc w:val="center"/>
        </w:trPr>
        <w:tc>
          <w:tcPr>
            <w:tcW w:w="4721" w:type="dxa"/>
            <w:tcBorders>
              <w:top w:val="nil"/>
              <w:left w:val="single" w:sz="4" w:space="0" w:color="auto"/>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both"/>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Кредитование юридических лиц</w:t>
            </w:r>
          </w:p>
        </w:tc>
        <w:tc>
          <w:tcPr>
            <w:tcW w:w="1620" w:type="dxa"/>
            <w:tcBorders>
              <w:top w:val="nil"/>
              <w:left w:val="nil"/>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31,7</w:t>
            </w:r>
          </w:p>
        </w:tc>
        <w:tc>
          <w:tcPr>
            <w:tcW w:w="1579" w:type="dxa"/>
            <w:tcBorders>
              <w:top w:val="nil"/>
              <w:left w:val="nil"/>
              <w:bottom w:val="single" w:sz="4" w:space="0" w:color="auto"/>
              <w:right w:val="single" w:sz="4" w:space="0" w:color="auto"/>
            </w:tcBorders>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33</w:t>
            </w:r>
          </w:p>
        </w:tc>
      </w:tr>
    </w:tbl>
    <w:p w:rsidR="00D255C1" w:rsidRPr="00D255C1" w:rsidRDefault="00D255C1" w:rsidP="00D255C1">
      <w:pPr>
        <w:spacing w:after="0" w:line="240" w:lineRule="auto"/>
        <w:ind w:firstLine="709"/>
        <w:jc w:val="both"/>
        <w:rPr>
          <w:rFonts w:ascii="Times New Roman" w:eastAsia="Times New Roman" w:hAnsi="Times New Roman" w:cs="Times New Roman"/>
          <w:sz w:val="28"/>
          <w:szCs w:val="28"/>
          <w:lang w:eastAsia="ru-RU"/>
        </w:rPr>
      </w:pPr>
    </w:p>
    <w:p w:rsidR="00D255C1" w:rsidRPr="00D255C1" w:rsidRDefault="00D255C1" w:rsidP="00D255C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255C1">
        <w:rPr>
          <w:rFonts w:ascii="Times New Roman" w:eastAsia="Times New Roman" w:hAnsi="Times New Roman" w:cs="Times New Roman"/>
          <w:sz w:val="28"/>
          <w:szCs w:val="28"/>
          <w:shd w:val="clear" w:color="auto" w:fill="FFFFFF"/>
          <w:lang w:eastAsia="ru-RU"/>
        </w:rPr>
        <w:t>Достичь роста прибыли ПАО Сбербанк удается благодаря эффективной процентной политике. Снижение ключевой ставки ЦБ способствует увеличению процентной маржи, и снижается средневзвешенная ставка по вкладам. Многие банки-конкуренты, наоборот, потеряли прибыль по причине снижения ключевой ставки ЦБ РФ, так как у них снизилась доходность кредитования, а ставку по вкладам им не удалось снизить в той же степени. Рентабельность активов Сбербанка самая высокая среди банков – конкурентов, и продолжает увеличиваться из года в год (табл. 2).</w:t>
      </w:r>
    </w:p>
    <w:p w:rsidR="00D255C1" w:rsidRPr="00D255C1" w:rsidRDefault="00D255C1" w:rsidP="00D255C1">
      <w:pPr>
        <w:spacing w:after="0" w:line="240" w:lineRule="auto"/>
        <w:ind w:firstLine="709"/>
        <w:jc w:val="both"/>
        <w:rPr>
          <w:rFonts w:ascii="Times New Roman" w:eastAsia="Times New Roman" w:hAnsi="Times New Roman" w:cs="Times New Roman"/>
          <w:sz w:val="28"/>
          <w:szCs w:val="28"/>
          <w:lang w:eastAsia="ru-RU"/>
        </w:rPr>
      </w:pPr>
    </w:p>
    <w:p w:rsidR="00D255C1" w:rsidRPr="00D255C1" w:rsidRDefault="00D255C1" w:rsidP="00D255C1">
      <w:pPr>
        <w:spacing w:after="0" w:line="240" w:lineRule="auto"/>
        <w:ind w:firstLine="709"/>
        <w:jc w:val="right"/>
        <w:rPr>
          <w:rFonts w:ascii="Times New Roman" w:eastAsia="Times New Roman" w:hAnsi="Times New Roman" w:cs="Times New Roman"/>
          <w:sz w:val="28"/>
          <w:szCs w:val="28"/>
          <w:shd w:val="clear" w:color="auto" w:fill="FFFFFF"/>
          <w:lang w:eastAsia="ru-RU"/>
        </w:rPr>
      </w:pPr>
      <w:r w:rsidRPr="00D255C1">
        <w:rPr>
          <w:rFonts w:ascii="Times New Roman" w:eastAsia="Times New Roman" w:hAnsi="Times New Roman" w:cs="Times New Roman"/>
          <w:sz w:val="28"/>
          <w:szCs w:val="28"/>
          <w:shd w:val="clear" w:color="auto" w:fill="FFFFFF"/>
          <w:lang w:eastAsia="ru-RU"/>
        </w:rPr>
        <w:t xml:space="preserve">Таблица 2 </w:t>
      </w:r>
    </w:p>
    <w:p w:rsidR="00D255C1" w:rsidRPr="00D255C1" w:rsidRDefault="00D255C1" w:rsidP="00D255C1">
      <w:pPr>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D255C1">
        <w:rPr>
          <w:rFonts w:ascii="Times New Roman" w:eastAsia="Times New Roman" w:hAnsi="Times New Roman" w:cs="Times New Roman"/>
          <w:sz w:val="28"/>
          <w:szCs w:val="28"/>
          <w:shd w:val="clear" w:color="auto" w:fill="FFFFFF"/>
          <w:lang w:eastAsia="ru-RU"/>
        </w:rPr>
        <w:t>Основные показатели эффективности ПАО «Сбербанк» [4]</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9"/>
        <w:gridCol w:w="1780"/>
        <w:gridCol w:w="1780"/>
      </w:tblGrid>
      <w:tr w:rsidR="00D255C1" w:rsidRPr="00D255C1" w:rsidTr="00BB1D7C">
        <w:trPr>
          <w:trHeight w:val="279"/>
          <w:jc w:val="center"/>
        </w:trPr>
        <w:tc>
          <w:tcPr>
            <w:tcW w:w="5829" w:type="dxa"/>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b/>
                <w:sz w:val="24"/>
                <w:szCs w:val="24"/>
                <w:lang w:eastAsia="ru-RU"/>
              </w:rPr>
            </w:pPr>
            <w:r w:rsidRPr="00D255C1">
              <w:rPr>
                <w:rFonts w:ascii="Times New Roman" w:eastAsia="Times New Roman" w:hAnsi="Times New Roman" w:cs="Times New Roman"/>
                <w:b/>
                <w:sz w:val="24"/>
                <w:szCs w:val="24"/>
                <w:lang w:eastAsia="ru-RU"/>
              </w:rPr>
              <w:t>Показатель эффективности</w:t>
            </w:r>
          </w:p>
        </w:tc>
        <w:tc>
          <w:tcPr>
            <w:tcW w:w="1780" w:type="dxa"/>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b/>
                <w:sz w:val="24"/>
                <w:szCs w:val="24"/>
                <w:lang w:eastAsia="ru-RU"/>
              </w:rPr>
            </w:pPr>
            <w:r w:rsidRPr="00D255C1">
              <w:rPr>
                <w:rFonts w:ascii="Times New Roman" w:eastAsia="Times New Roman" w:hAnsi="Times New Roman" w:cs="Times New Roman"/>
                <w:b/>
                <w:sz w:val="24"/>
                <w:szCs w:val="24"/>
                <w:lang w:eastAsia="ru-RU"/>
              </w:rPr>
              <w:t>2016</w:t>
            </w:r>
          </w:p>
        </w:tc>
        <w:tc>
          <w:tcPr>
            <w:tcW w:w="1780" w:type="dxa"/>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b/>
                <w:sz w:val="24"/>
                <w:szCs w:val="24"/>
                <w:lang w:eastAsia="ru-RU"/>
              </w:rPr>
            </w:pPr>
            <w:r w:rsidRPr="00D255C1">
              <w:rPr>
                <w:rFonts w:ascii="Times New Roman" w:eastAsia="Times New Roman" w:hAnsi="Times New Roman" w:cs="Times New Roman"/>
                <w:b/>
                <w:sz w:val="24"/>
                <w:szCs w:val="24"/>
                <w:lang w:eastAsia="ru-RU"/>
              </w:rPr>
              <w:t>2017</w:t>
            </w:r>
          </w:p>
        </w:tc>
      </w:tr>
      <w:tr w:rsidR="00D255C1" w:rsidRPr="00D255C1" w:rsidTr="00BB1D7C">
        <w:trPr>
          <w:trHeight w:val="186"/>
          <w:jc w:val="center"/>
        </w:trPr>
        <w:tc>
          <w:tcPr>
            <w:tcW w:w="5829" w:type="dxa"/>
            <w:shd w:val="clear" w:color="auto" w:fill="auto"/>
            <w:noWrap/>
            <w:vAlign w:val="bottom"/>
            <w:hideMark/>
          </w:tcPr>
          <w:p w:rsidR="00D255C1" w:rsidRPr="00D255C1" w:rsidRDefault="00D255C1" w:rsidP="00D255C1">
            <w:pPr>
              <w:spacing w:after="0" w:line="240" w:lineRule="auto"/>
              <w:jc w:val="both"/>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Рентабельность активов (ROA)</w:t>
            </w:r>
          </w:p>
        </w:tc>
        <w:tc>
          <w:tcPr>
            <w:tcW w:w="1780" w:type="dxa"/>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2,2</w:t>
            </w:r>
          </w:p>
        </w:tc>
        <w:tc>
          <w:tcPr>
            <w:tcW w:w="1780" w:type="dxa"/>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3,1</w:t>
            </w:r>
          </w:p>
        </w:tc>
      </w:tr>
      <w:tr w:rsidR="00D255C1" w:rsidRPr="00D255C1" w:rsidTr="00BB1D7C">
        <w:trPr>
          <w:trHeight w:val="273"/>
          <w:jc w:val="center"/>
        </w:trPr>
        <w:tc>
          <w:tcPr>
            <w:tcW w:w="5829" w:type="dxa"/>
            <w:shd w:val="clear" w:color="auto" w:fill="auto"/>
            <w:noWrap/>
            <w:vAlign w:val="bottom"/>
            <w:hideMark/>
          </w:tcPr>
          <w:p w:rsidR="00D255C1" w:rsidRPr="00D255C1" w:rsidRDefault="00D255C1" w:rsidP="00D255C1">
            <w:pPr>
              <w:spacing w:after="0" w:line="240" w:lineRule="auto"/>
              <w:jc w:val="both"/>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Рентабельность капитала (ROE)</w:t>
            </w:r>
          </w:p>
        </w:tc>
        <w:tc>
          <w:tcPr>
            <w:tcW w:w="1780" w:type="dxa"/>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13,6</w:t>
            </w:r>
          </w:p>
        </w:tc>
        <w:tc>
          <w:tcPr>
            <w:tcW w:w="1780" w:type="dxa"/>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14,9</w:t>
            </w:r>
          </w:p>
        </w:tc>
      </w:tr>
      <w:tr w:rsidR="00D255C1" w:rsidRPr="00D255C1" w:rsidTr="00BB1D7C">
        <w:trPr>
          <w:trHeight w:val="273"/>
          <w:jc w:val="center"/>
        </w:trPr>
        <w:tc>
          <w:tcPr>
            <w:tcW w:w="5829" w:type="dxa"/>
            <w:shd w:val="clear" w:color="auto" w:fill="auto"/>
            <w:noWrap/>
            <w:vAlign w:val="bottom"/>
            <w:hideMark/>
          </w:tcPr>
          <w:p w:rsidR="00D255C1" w:rsidRPr="00D255C1" w:rsidRDefault="00D255C1" w:rsidP="00D255C1">
            <w:pPr>
              <w:spacing w:after="0" w:line="240" w:lineRule="auto"/>
              <w:jc w:val="both"/>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Операционные доходы /Операционные расходы</w:t>
            </w:r>
          </w:p>
        </w:tc>
        <w:tc>
          <w:tcPr>
            <w:tcW w:w="1780" w:type="dxa"/>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32</w:t>
            </w:r>
          </w:p>
        </w:tc>
        <w:tc>
          <w:tcPr>
            <w:tcW w:w="1780" w:type="dxa"/>
            <w:shd w:val="clear" w:color="auto" w:fill="auto"/>
            <w:noWrap/>
            <w:vAlign w:val="bottom"/>
            <w:hideMark/>
          </w:tcPr>
          <w:p w:rsidR="00D255C1" w:rsidRPr="00D255C1" w:rsidRDefault="00D255C1" w:rsidP="00D255C1">
            <w:pPr>
              <w:spacing w:after="0" w:line="240" w:lineRule="auto"/>
              <w:jc w:val="center"/>
              <w:rPr>
                <w:rFonts w:ascii="Times New Roman" w:eastAsia="Times New Roman" w:hAnsi="Times New Roman" w:cs="Times New Roman"/>
                <w:sz w:val="24"/>
                <w:szCs w:val="24"/>
                <w:lang w:eastAsia="ru-RU"/>
              </w:rPr>
            </w:pPr>
            <w:r w:rsidRPr="00D255C1">
              <w:rPr>
                <w:rFonts w:ascii="Times New Roman" w:eastAsia="Times New Roman" w:hAnsi="Times New Roman" w:cs="Times New Roman"/>
                <w:sz w:val="24"/>
                <w:szCs w:val="24"/>
                <w:lang w:eastAsia="ru-RU"/>
              </w:rPr>
              <w:t>37,5</w:t>
            </w:r>
          </w:p>
        </w:tc>
      </w:tr>
    </w:tbl>
    <w:p w:rsidR="00D255C1" w:rsidRPr="00D255C1" w:rsidRDefault="00D255C1" w:rsidP="00D255C1">
      <w:pPr>
        <w:spacing w:after="0" w:line="240" w:lineRule="auto"/>
        <w:ind w:firstLine="709"/>
        <w:jc w:val="both"/>
        <w:rPr>
          <w:rFonts w:ascii="Times New Roman" w:eastAsia="Times New Roman" w:hAnsi="Times New Roman" w:cs="Times New Roman"/>
          <w:bCs/>
          <w:sz w:val="28"/>
          <w:szCs w:val="28"/>
          <w:shd w:val="clear" w:color="auto" w:fill="FFFFFF"/>
          <w:lang w:eastAsia="ru-RU"/>
        </w:rPr>
      </w:pPr>
    </w:p>
    <w:p w:rsidR="00D255C1" w:rsidRPr="00D255C1" w:rsidRDefault="00D255C1" w:rsidP="00D255C1">
      <w:pPr>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D255C1">
        <w:rPr>
          <w:rFonts w:ascii="Times New Roman" w:eastAsia="Times New Roman" w:hAnsi="Times New Roman" w:cs="Times New Roman"/>
          <w:bCs/>
          <w:sz w:val="28"/>
          <w:szCs w:val="28"/>
          <w:shd w:val="clear" w:color="auto" w:fill="FFFFFF"/>
          <w:lang w:eastAsia="ru-RU"/>
        </w:rPr>
        <w:t>Все качественные показатели Сбербанка выросли, как видно из табл. 2. Рост рентабельности активов и капитала означает рост прибыли банка.</w:t>
      </w:r>
    </w:p>
    <w:p w:rsidR="00D255C1" w:rsidRPr="00D255C1" w:rsidRDefault="00D255C1" w:rsidP="00D255C1">
      <w:pPr>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D255C1">
        <w:rPr>
          <w:rFonts w:ascii="Times New Roman" w:eastAsia="Times New Roman" w:hAnsi="Times New Roman" w:cs="Times New Roman"/>
          <w:bCs/>
          <w:sz w:val="28"/>
          <w:szCs w:val="28"/>
          <w:shd w:val="clear" w:color="auto" w:fill="FFFFFF"/>
          <w:lang w:eastAsia="ru-RU"/>
        </w:rPr>
        <w:t xml:space="preserve">Новая представленная стратегия Сбербанка предполагает получение прибыли 1 трлн  руб. в 2020 г. [4], а также выплатить дивиденды акционерам за период 2018-2020 гг. в том же размере. Для сравнения: планируемая прибыль способна покрыть прогнозируемый дефицит Федерального бюджета на 2020 г. (869,9 млрд  руб.) </w:t>
      </w:r>
    </w:p>
    <w:p w:rsidR="00D255C1" w:rsidRPr="00D255C1" w:rsidRDefault="00D255C1" w:rsidP="00D255C1">
      <w:pPr>
        <w:spacing w:after="0" w:line="240" w:lineRule="auto"/>
        <w:ind w:firstLine="567"/>
        <w:jc w:val="both"/>
        <w:rPr>
          <w:rFonts w:ascii="Times New Roman" w:eastAsia="Times New Roman" w:hAnsi="Times New Roman" w:cs="Times New Roman"/>
          <w:bCs/>
          <w:sz w:val="28"/>
          <w:szCs w:val="28"/>
          <w:shd w:val="clear" w:color="auto" w:fill="FFFFFF"/>
          <w:lang w:eastAsia="ru-RU"/>
        </w:rPr>
      </w:pPr>
      <w:r w:rsidRPr="00D255C1">
        <w:rPr>
          <w:rFonts w:ascii="Times New Roman" w:eastAsia="Times New Roman" w:hAnsi="Times New Roman" w:cs="Times New Roman"/>
          <w:bCs/>
          <w:sz w:val="28"/>
          <w:szCs w:val="28"/>
          <w:shd w:val="clear" w:color="auto" w:fill="FFFFFF"/>
          <w:lang w:eastAsia="ru-RU"/>
        </w:rPr>
        <w:lastRenderedPageBreak/>
        <w:t>Рассмотрим показатели устойчивости Сбербанка [2], представленные основными показателями – нормативами ликвидности и достаточностью капитала (табл. 3).</w:t>
      </w:r>
    </w:p>
    <w:p w:rsidR="00D255C1" w:rsidRPr="00D255C1" w:rsidRDefault="00D255C1" w:rsidP="00D255C1">
      <w:pPr>
        <w:tabs>
          <w:tab w:val="left" w:pos="142"/>
        </w:tabs>
        <w:spacing w:after="0" w:line="240" w:lineRule="auto"/>
        <w:ind w:firstLine="709"/>
        <w:jc w:val="right"/>
        <w:rPr>
          <w:rFonts w:ascii="Times New Roman" w:eastAsia="Times New Roman" w:hAnsi="Times New Roman" w:cs="Times New Roman"/>
          <w:sz w:val="28"/>
          <w:szCs w:val="28"/>
          <w:shd w:val="clear" w:color="auto" w:fill="FFFFFF"/>
          <w:lang w:eastAsia="ru-RU"/>
        </w:rPr>
      </w:pPr>
      <w:r w:rsidRPr="00D255C1">
        <w:rPr>
          <w:rFonts w:ascii="Times New Roman" w:eastAsia="Times New Roman" w:hAnsi="Times New Roman" w:cs="Times New Roman"/>
          <w:sz w:val="28"/>
          <w:szCs w:val="28"/>
          <w:shd w:val="clear" w:color="auto" w:fill="FFFFFF"/>
          <w:lang w:eastAsia="ru-RU"/>
        </w:rPr>
        <w:t xml:space="preserve">Таблица 3 </w:t>
      </w:r>
    </w:p>
    <w:p w:rsidR="00D255C1" w:rsidRPr="00D255C1" w:rsidRDefault="00D255C1" w:rsidP="00D255C1">
      <w:pPr>
        <w:tabs>
          <w:tab w:val="left" w:pos="142"/>
        </w:tabs>
        <w:spacing w:after="0" w:line="240" w:lineRule="auto"/>
        <w:jc w:val="center"/>
        <w:rPr>
          <w:rFonts w:ascii="Times New Roman" w:eastAsia="Times New Roman" w:hAnsi="Times New Roman" w:cs="Times New Roman"/>
          <w:sz w:val="28"/>
          <w:szCs w:val="28"/>
          <w:shd w:val="clear" w:color="auto" w:fill="FFFFFF"/>
          <w:lang w:eastAsia="ru-RU"/>
        </w:rPr>
      </w:pPr>
      <w:r w:rsidRPr="00D255C1">
        <w:rPr>
          <w:rFonts w:ascii="Times New Roman" w:eastAsia="Times New Roman" w:hAnsi="Times New Roman" w:cs="Times New Roman"/>
          <w:sz w:val="28"/>
          <w:szCs w:val="28"/>
          <w:shd w:val="clear" w:color="auto" w:fill="FFFFFF"/>
          <w:lang w:eastAsia="ru-RU"/>
        </w:rPr>
        <w:t>Нормативы  ликвидности ПАО Сбербанк РФ на 01.01.2016 – 01.01.2018 гг.[2]</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1560"/>
        <w:gridCol w:w="1853"/>
        <w:gridCol w:w="1969"/>
        <w:gridCol w:w="1815"/>
      </w:tblGrid>
      <w:tr w:rsidR="00D255C1" w:rsidRPr="00D255C1" w:rsidTr="00BB1D7C">
        <w:trPr>
          <w:trHeight w:val="392"/>
          <w:jc w:val="center"/>
        </w:trPr>
        <w:tc>
          <w:tcPr>
            <w:tcW w:w="2407" w:type="dxa"/>
            <w:vMerge w:val="restart"/>
            <w:vAlign w:val="center"/>
          </w:tcPr>
          <w:p w:rsidR="00D255C1" w:rsidRPr="00D255C1" w:rsidRDefault="00D255C1" w:rsidP="00D255C1">
            <w:pPr>
              <w:spacing w:after="0" w:line="240" w:lineRule="auto"/>
              <w:jc w:val="center"/>
              <w:rPr>
                <w:rFonts w:ascii="Times New Roman" w:eastAsia="Times New Roman" w:hAnsi="Times New Roman" w:cs="Times New Roman"/>
                <w:b/>
                <w:sz w:val="24"/>
                <w:szCs w:val="24"/>
                <w:shd w:val="clear" w:color="auto" w:fill="FFFFFF"/>
                <w:lang w:eastAsia="ru-RU"/>
              </w:rPr>
            </w:pPr>
            <w:r w:rsidRPr="00D255C1">
              <w:rPr>
                <w:rFonts w:ascii="Times New Roman" w:eastAsia="Times New Roman" w:hAnsi="Times New Roman" w:cs="Times New Roman"/>
                <w:b/>
                <w:sz w:val="24"/>
                <w:szCs w:val="24"/>
                <w:shd w:val="clear" w:color="auto" w:fill="FFFFFF"/>
                <w:lang w:eastAsia="ru-RU"/>
              </w:rPr>
              <w:t>Норматив</w:t>
            </w:r>
          </w:p>
        </w:tc>
        <w:tc>
          <w:tcPr>
            <w:tcW w:w="1560" w:type="dxa"/>
            <w:vAlign w:val="center"/>
          </w:tcPr>
          <w:p w:rsidR="00D255C1" w:rsidRPr="00D255C1" w:rsidRDefault="00D255C1" w:rsidP="00D255C1">
            <w:pPr>
              <w:spacing w:after="0" w:line="240" w:lineRule="auto"/>
              <w:jc w:val="center"/>
              <w:rPr>
                <w:rFonts w:ascii="Times New Roman" w:eastAsia="Times New Roman" w:hAnsi="Times New Roman" w:cs="Times New Roman"/>
                <w:b/>
                <w:sz w:val="24"/>
                <w:szCs w:val="24"/>
                <w:shd w:val="clear" w:color="auto" w:fill="FFFFFF"/>
                <w:lang w:eastAsia="ru-RU"/>
              </w:rPr>
            </w:pPr>
          </w:p>
        </w:tc>
        <w:tc>
          <w:tcPr>
            <w:tcW w:w="3822" w:type="dxa"/>
            <w:gridSpan w:val="2"/>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b/>
                <w:sz w:val="24"/>
                <w:szCs w:val="24"/>
                <w:shd w:val="clear" w:color="auto" w:fill="FFFFFF"/>
                <w:lang w:eastAsia="ru-RU"/>
              </w:rPr>
            </w:pPr>
            <w:r w:rsidRPr="00D255C1">
              <w:rPr>
                <w:rFonts w:ascii="Times New Roman" w:eastAsia="Times New Roman" w:hAnsi="Times New Roman" w:cs="Times New Roman"/>
                <w:b/>
                <w:sz w:val="24"/>
                <w:szCs w:val="24"/>
                <w:shd w:val="clear" w:color="auto" w:fill="FFFFFF"/>
                <w:lang w:eastAsia="ru-RU"/>
              </w:rPr>
              <w:t>Фактические значения</w:t>
            </w:r>
          </w:p>
        </w:tc>
        <w:tc>
          <w:tcPr>
            <w:tcW w:w="1815" w:type="dxa"/>
            <w:vMerge w:val="restart"/>
            <w:vAlign w:val="center"/>
          </w:tcPr>
          <w:p w:rsidR="00D255C1" w:rsidRPr="00D255C1" w:rsidRDefault="00D255C1" w:rsidP="00D255C1">
            <w:pPr>
              <w:spacing w:after="0" w:line="240" w:lineRule="auto"/>
              <w:jc w:val="center"/>
              <w:rPr>
                <w:rFonts w:ascii="Times New Roman" w:eastAsia="Times New Roman" w:hAnsi="Times New Roman" w:cs="Times New Roman"/>
                <w:b/>
                <w:sz w:val="24"/>
                <w:szCs w:val="24"/>
                <w:shd w:val="clear" w:color="auto" w:fill="FFFFFF"/>
                <w:lang w:eastAsia="ru-RU"/>
              </w:rPr>
            </w:pPr>
            <w:r w:rsidRPr="00D255C1">
              <w:rPr>
                <w:rFonts w:ascii="Times New Roman" w:eastAsia="Times New Roman" w:hAnsi="Times New Roman" w:cs="Times New Roman"/>
                <w:b/>
                <w:sz w:val="24"/>
                <w:szCs w:val="24"/>
                <w:shd w:val="clear" w:color="auto" w:fill="FFFFFF"/>
                <w:lang w:eastAsia="ru-RU"/>
              </w:rPr>
              <w:t>Нормативные значения</w:t>
            </w:r>
          </w:p>
        </w:tc>
      </w:tr>
      <w:tr w:rsidR="00D255C1" w:rsidRPr="00D255C1" w:rsidTr="00BB1D7C">
        <w:trPr>
          <w:trHeight w:val="372"/>
          <w:jc w:val="center"/>
        </w:trPr>
        <w:tc>
          <w:tcPr>
            <w:tcW w:w="2407" w:type="dxa"/>
            <w:vMerge/>
            <w:vAlign w:val="center"/>
          </w:tcPr>
          <w:p w:rsidR="00D255C1" w:rsidRPr="00D255C1" w:rsidRDefault="00D255C1" w:rsidP="00D255C1">
            <w:pPr>
              <w:spacing w:after="0" w:line="240" w:lineRule="auto"/>
              <w:jc w:val="center"/>
              <w:rPr>
                <w:rFonts w:ascii="Times New Roman" w:eastAsia="Times New Roman" w:hAnsi="Times New Roman" w:cs="Times New Roman"/>
                <w:sz w:val="24"/>
                <w:szCs w:val="24"/>
                <w:shd w:val="clear" w:color="auto" w:fill="FFFFFF"/>
                <w:lang w:eastAsia="ru-RU"/>
              </w:rPr>
            </w:pPr>
          </w:p>
        </w:tc>
        <w:tc>
          <w:tcPr>
            <w:tcW w:w="1560" w:type="dxa"/>
            <w:vAlign w:val="center"/>
          </w:tcPr>
          <w:p w:rsidR="00D255C1" w:rsidRPr="00D255C1" w:rsidRDefault="00D255C1" w:rsidP="00D255C1">
            <w:pPr>
              <w:spacing w:after="0" w:line="240" w:lineRule="auto"/>
              <w:jc w:val="center"/>
              <w:rPr>
                <w:rFonts w:ascii="Times New Roman" w:eastAsia="Times New Roman" w:hAnsi="Times New Roman" w:cs="Times New Roman"/>
                <w:sz w:val="24"/>
                <w:szCs w:val="24"/>
                <w:shd w:val="clear" w:color="auto" w:fill="FFFFFF"/>
                <w:lang w:eastAsia="ru-RU"/>
              </w:rPr>
            </w:pPr>
            <w:r w:rsidRPr="00D255C1">
              <w:rPr>
                <w:rFonts w:ascii="Times New Roman" w:eastAsia="Times New Roman" w:hAnsi="Times New Roman" w:cs="Times New Roman"/>
                <w:sz w:val="24"/>
                <w:szCs w:val="24"/>
                <w:shd w:val="clear" w:color="auto" w:fill="FFFFFF"/>
                <w:lang w:eastAsia="ru-RU"/>
              </w:rPr>
              <w:t>01.01.2018</w:t>
            </w:r>
          </w:p>
        </w:tc>
        <w:tc>
          <w:tcPr>
            <w:tcW w:w="1853" w:type="dxa"/>
            <w:tcBorders>
              <w:bottom w:val="single" w:sz="4" w:space="0" w:color="auto"/>
            </w:tcBorders>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sz w:val="24"/>
                <w:szCs w:val="24"/>
                <w:shd w:val="clear" w:color="auto" w:fill="FFFFFF"/>
                <w:lang w:eastAsia="ru-RU"/>
              </w:rPr>
            </w:pPr>
            <w:r w:rsidRPr="00D255C1">
              <w:rPr>
                <w:rFonts w:ascii="Times New Roman" w:eastAsia="Times New Roman" w:hAnsi="Times New Roman" w:cs="Times New Roman"/>
                <w:sz w:val="24"/>
                <w:szCs w:val="24"/>
                <w:shd w:val="clear" w:color="auto" w:fill="FFFFFF"/>
                <w:lang w:eastAsia="ru-RU"/>
              </w:rPr>
              <w:t>01.01.17г.</w:t>
            </w:r>
          </w:p>
        </w:tc>
        <w:tc>
          <w:tcPr>
            <w:tcW w:w="1969" w:type="dxa"/>
            <w:tcBorders>
              <w:bottom w:val="single" w:sz="4" w:space="0" w:color="auto"/>
            </w:tcBorders>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sz w:val="24"/>
                <w:szCs w:val="24"/>
                <w:shd w:val="clear" w:color="auto" w:fill="FFFFFF"/>
                <w:lang w:eastAsia="ru-RU"/>
              </w:rPr>
            </w:pPr>
            <w:r w:rsidRPr="00D255C1">
              <w:rPr>
                <w:rFonts w:ascii="Times New Roman" w:eastAsia="Times New Roman" w:hAnsi="Times New Roman" w:cs="Times New Roman"/>
                <w:sz w:val="24"/>
                <w:szCs w:val="24"/>
                <w:shd w:val="clear" w:color="auto" w:fill="FFFFFF"/>
                <w:lang w:eastAsia="ru-RU"/>
              </w:rPr>
              <w:t>01.01.16г.</w:t>
            </w:r>
          </w:p>
        </w:tc>
        <w:tc>
          <w:tcPr>
            <w:tcW w:w="1815" w:type="dxa"/>
            <w:vMerge/>
            <w:vAlign w:val="center"/>
          </w:tcPr>
          <w:p w:rsidR="00D255C1" w:rsidRPr="00D255C1" w:rsidRDefault="00D255C1" w:rsidP="00D255C1">
            <w:pPr>
              <w:spacing w:after="0" w:line="240" w:lineRule="auto"/>
              <w:jc w:val="center"/>
              <w:rPr>
                <w:rFonts w:ascii="Times New Roman" w:eastAsia="Times New Roman" w:hAnsi="Times New Roman" w:cs="Times New Roman"/>
                <w:sz w:val="24"/>
                <w:szCs w:val="24"/>
                <w:shd w:val="clear" w:color="auto" w:fill="FFFFFF"/>
                <w:lang w:eastAsia="ru-RU"/>
              </w:rPr>
            </w:pPr>
          </w:p>
        </w:tc>
      </w:tr>
      <w:tr w:rsidR="00D255C1" w:rsidRPr="00D255C1" w:rsidTr="00BB1D7C">
        <w:trPr>
          <w:trHeight w:val="324"/>
          <w:jc w:val="center"/>
        </w:trPr>
        <w:tc>
          <w:tcPr>
            <w:tcW w:w="2407" w:type="dxa"/>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Н1</w:t>
            </w:r>
          </w:p>
        </w:tc>
        <w:tc>
          <w:tcPr>
            <w:tcW w:w="1560" w:type="dxa"/>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14,97</w:t>
            </w:r>
          </w:p>
        </w:tc>
        <w:tc>
          <w:tcPr>
            <w:tcW w:w="1853" w:type="dxa"/>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13,6</w:t>
            </w:r>
          </w:p>
        </w:tc>
        <w:tc>
          <w:tcPr>
            <w:tcW w:w="1969" w:type="dxa"/>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11,9</w:t>
            </w:r>
          </w:p>
        </w:tc>
        <w:tc>
          <w:tcPr>
            <w:tcW w:w="1815" w:type="dxa"/>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&gt;=8%</w:t>
            </w:r>
          </w:p>
        </w:tc>
      </w:tr>
      <w:tr w:rsidR="00D255C1" w:rsidRPr="00D255C1" w:rsidTr="00BB1D7C">
        <w:trPr>
          <w:trHeight w:val="347"/>
          <w:jc w:val="center"/>
        </w:trPr>
        <w:tc>
          <w:tcPr>
            <w:tcW w:w="2407" w:type="dxa"/>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Н2</w:t>
            </w:r>
          </w:p>
        </w:tc>
        <w:tc>
          <w:tcPr>
            <w:tcW w:w="1560" w:type="dxa"/>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161,89</w:t>
            </w:r>
          </w:p>
        </w:tc>
        <w:tc>
          <w:tcPr>
            <w:tcW w:w="1853" w:type="dxa"/>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217</w:t>
            </w:r>
          </w:p>
        </w:tc>
        <w:tc>
          <w:tcPr>
            <w:tcW w:w="1969" w:type="dxa"/>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116,4</w:t>
            </w:r>
          </w:p>
        </w:tc>
        <w:tc>
          <w:tcPr>
            <w:tcW w:w="1815" w:type="dxa"/>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&gt;=15%</w:t>
            </w:r>
          </w:p>
        </w:tc>
      </w:tr>
      <w:tr w:rsidR="00D255C1" w:rsidRPr="00D255C1" w:rsidTr="00BB1D7C">
        <w:trPr>
          <w:trHeight w:val="343"/>
          <w:jc w:val="center"/>
        </w:trPr>
        <w:tc>
          <w:tcPr>
            <w:tcW w:w="2407" w:type="dxa"/>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Н3</w:t>
            </w:r>
          </w:p>
        </w:tc>
        <w:tc>
          <w:tcPr>
            <w:tcW w:w="1560" w:type="dxa"/>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264,9</w:t>
            </w:r>
          </w:p>
        </w:tc>
        <w:tc>
          <w:tcPr>
            <w:tcW w:w="1853" w:type="dxa"/>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301,6</w:t>
            </w:r>
          </w:p>
        </w:tc>
        <w:tc>
          <w:tcPr>
            <w:tcW w:w="1969" w:type="dxa"/>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154,4</w:t>
            </w:r>
          </w:p>
        </w:tc>
        <w:tc>
          <w:tcPr>
            <w:tcW w:w="1815" w:type="dxa"/>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&gt;=50%</w:t>
            </w:r>
          </w:p>
        </w:tc>
      </w:tr>
      <w:tr w:rsidR="00D255C1" w:rsidRPr="00D255C1" w:rsidTr="00BB1D7C">
        <w:trPr>
          <w:trHeight w:val="368"/>
          <w:jc w:val="center"/>
        </w:trPr>
        <w:tc>
          <w:tcPr>
            <w:tcW w:w="2407" w:type="dxa"/>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Н4</w:t>
            </w:r>
          </w:p>
        </w:tc>
        <w:tc>
          <w:tcPr>
            <w:tcW w:w="1560" w:type="dxa"/>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57,52</w:t>
            </w:r>
          </w:p>
        </w:tc>
        <w:tc>
          <w:tcPr>
            <w:tcW w:w="1853" w:type="dxa"/>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55,4</w:t>
            </w:r>
          </w:p>
        </w:tc>
        <w:tc>
          <w:tcPr>
            <w:tcW w:w="1969" w:type="dxa"/>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65,5</w:t>
            </w:r>
          </w:p>
        </w:tc>
        <w:tc>
          <w:tcPr>
            <w:tcW w:w="1815" w:type="dxa"/>
            <w:shd w:val="clear" w:color="auto" w:fill="auto"/>
            <w:vAlign w:val="center"/>
          </w:tcPr>
          <w:p w:rsidR="00D255C1" w:rsidRPr="00D255C1" w:rsidRDefault="00D255C1" w:rsidP="00D255C1">
            <w:pPr>
              <w:spacing w:after="0" w:line="240" w:lineRule="auto"/>
              <w:jc w:val="center"/>
              <w:rPr>
                <w:rFonts w:ascii="Times New Roman" w:eastAsia="Times New Roman" w:hAnsi="Times New Roman" w:cs="Times New Roman"/>
                <w:iCs/>
                <w:sz w:val="24"/>
                <w:szCs w:val="24"/>
                <w:shd w:val="clear" w:color="auto" w:fill="FFFFFF"/>
                <w:lang w:eastAsia="ru-RU"/>
              </w:rPr>
            </w:pPr>
            <w:r w:rsidRPr="00D255C1">
              <w:rPr>
                <w:rFonts w:ascii="Times New Roman" w:eastAsia="Times New Roman" w:hAnsi="Times New Roman" w:cs="Times New Roman"/>
                <w:iCs/>
                <w:sz w:val="24"/>
                <w:szCs w:val="24"/>
                <w:shd w:val="clear" w:color="auto" w:fill="FFFFFF"/>
                <w:lang w:eastAsia="ru-RU"/>
              </w:rPr>
              <w:t>&lt;=120%</w:t>
            </w:r>
          </w:p>
        </w:tc>
      </w:tr>
    </w:tbl>
    <w:p w:rsidR="00D255C1" w:rsidRPr="00D255C1" w:rsidRDefault="00D255C1" w:rsidP="00D255C1">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D255C1" w:rsidRPr="00D255C1" w:rsidRDefault="00D255C1" w:rsidP="00D255C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255C1">
        <w:rPr>
          <w:rFonts w:ascii="Times New Roman" w:eastAsia="Times New Roman" w:hAnsi="Times New Roman" w:cs="Times New Roman"/>
          <w:sz w:val="28"/>
          <w:szCs w:val="28"/>
          <w:shd w:val="clear" w:color="auto" w:fill="FFFFFF"/>
          <w:lang w:eastAsia="ru-RU"/>
        </w:rPr>
        <w:t xml:space="preserve">Запас ликвидности Сбербанка ежегодно увеличивается, это свидетельствует об огромном потенциале и  больших возможностях кредитования экономики, как на короткий срок, так и на долгий (более года). Банк имеет реальную возможность (с большим запасом) расплатиться как по краткосрочным, так и по долгосрочным обязательствам. Коэффициенты долгосрочной ликвидности (Н4) также выше норматива и имеют тенденцию к росту. </w:t>
      </w:r>
    </w:p>
    <w:p w:rsidR="00D255C1" w:rsidRPr="00D255C1" w:rsidRDefault="00D255C1" w:rsidP="00D255C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255C1">
        <w:rPr>
          <w:rFonts w:ascii="Times New Roman" w:eastAsia="Times New Roman" w:hAnsi="Times New Roman" w:cs="Times New Roman"/>
          <w:sz w:val="28"/>
          <w:szCs w:val="28"/>
          <w:shd w:val="clear" w:color="auto" w:fill="FFFFFF"/>
          <w:lang w:eastAsia="ru-RU"/>
        </w:rPr>
        <w:t>Выполнение нормативов по ликвидности за период свидетельствует о том, что Банк имеет возможности исполнять свои обязательства и по срочным привлеченным средствам (норматив Н3). За рассматриваемый период наблюдается снижение нормативов мгновенной и текущей ликвидности Банка, которые, однако, выше минимального значения, установленного ЦБ РФ. Норматив долгосрочной ликвидности (Н4) имеет положительную динамику роста, его значение намного ниже нормативного, это означает, что есть большой запас долгосрочных ресурсов (более года), что дает возможность банку вкладываться в долгосрочные активы.</w:t>
      </w:r>
    </w:p>
    <w:p w:rsidR="00D255C1" w:rsidRPr="00D255C1" w:rsidRDefault="00D255C1" w:rsidP="00D255C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255C1">
        <w:rPr>
          <w:rFonts w:ascii="Times New Roman" w:eastAsia="Times New Roman" w:hAnsi="Times New Roman" w:cs="Times New Roman"/>
          <w:sz w:val="28"/>
          <w:szCs w:val="28"/>
          <w:shd w:val="clear" w:color="auto" w:fill="FFFFFF"/>
          <w:lang w:eastAsia="ru-RU"/>
        </w:rPr>
        <w:t>Показатели нормативных значений ликвидности устанавливаются Центральным банком РФ [4]. В целях обеспечения экономических условий устойчивого функционирования банковской системы Российской Федерации, защиты интересов вкладчиков и кредиторов и в соответствии с Федеральным законом «О Центральном банке Российской федерации» Центральный банк РФ устанавливает обязательные нормативы деятельности банков. За исследуемый период структура активов увеличилась также в сторону чистой ссудной задолженности [4] (рис.1). Также незначительно увеличилась доля денежных средств. Наибольшее снижение в структуре активов ПАО Сбербанка отмечается по статье чистые вложения и другие финансовые активы, имеющиеся в наличии для продажи.</w:t>
      </w:r>
    </w:p>
    <w:p w:rsidR="00D255C1" w:rsidRPr="00D255C1" w:rsidRDefault="00D255C1" w:rsidP="00D255C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255C1">
        <w:rPr>
          <w:rFonts w:ascii="Times New Roman" w:eastAsia="Times New Roman" w:hAnsi="Times New Roman" w:cs="Times New Roman"/>
          <w:sz w:val="28"/>
          <w:szCs w:val="28"/>
          <w:shd w:val="clear" w:color="auto" w:fill="FFFFFF"/>
          <w:lang w:eastAsia="ru-RU"/>
        </w:rPr>
        <w:t xml:space="preserve">Доля Сбербанка на рынке розничных кредитов физическим лицам продолжала расти за 2014-2016 г.г. с 35,9 до 40,3%. Однако, доля кредитов корпоративным клиентам постепенно сокращается: 35% в 2014 г. и 33% в 2017 г.  (Табл. 1). Это связано с оздоровлением и развитием российской банковской системы, и это говорит о том, что  рынок банковских услуг </w:t>
      </w:r>
      <w:r w:rsidRPr="00D255C1">
        <w:rPr>
          <w:rFonts w:ascii="Times New Roman" w:eastAsia="Times New Roman" w:hAnsi="Times New Roman" w:cs="Times New Roman"/>
          <w:sz w:val="28"/>
          <w:szCs w:val="28"/>
          <w:shd w:val="clear" w:color="auto" w:fill="FFFFFF"/>
          <w:lang w:eastAsia="ru-RU"/>
        </w:rPr>
        <w:lastRenderedPageBreak/>
        <w:t xml:space="preserve">становится все менее монополизирован. Рынок банковских услуг функционирует по правилам рыночной конкуренции. </w:t>
      </w:r>
    </w:p>
    <w:p w:rsidR="00D255C1" w:rsidRPr="00D255C1" w:rsidRDefault="00D255C1" w:rsidP="00D255C1">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D255C1">
        <w:rPr>
          <w:rFonts w:ascii="Times New Roman" w:eastAsia="Times New Roman" w:hAnsi="Times New Roman" w:cs="Times New Roman"/>
          <w:b/>
          <w:sz w:val="28"/>
          <w:szCs w:val="28"/>
          <w:lang w:eastAsia="ru-RU"/>
        </w:rPr>
        <w:t>Выводы</w:t>
      </w:r>
      <w:r w:rsidRPr="00D255C1">
        <w:rPr>
          <w:rFonts w:ascii="Times New Roman" w:eastAsia="Times New Roman" w:hAnsi="Times New Roman" w:cs="Times New Roman"/>
          <w:sz w:val="28"/>
          <w:szCs w:val="28"/>
          <w:lang w:eastAsia="ru-RU"/>
        </w:rPr>
        <w:t>. Рост капитала и прибыльности Сбербанка  позволяет не только повышать доходность по его акциям, но и вкладываться в долгосрочные крупные инвестиционные проекты.</w:t>
      </w:r>
      <w:r w:rsidRPr="00D255C1">
        <w:rPr>
          <w:rFonts w:ascii="Times New Roman" w:eastAsia="Times New Roman" w:hAnsi="Times New Roman" w:cs="Times New Roman"/>
          <w:sz w:val="27"/>
          <w:szCs w:val="27"/>
          <w:shd w:val="clear" w:color="auto" w:fill="FFFFFF"/>
          <w:lang w:eastAsia="ru-RU"/>
        </w:rPr>
        <w:t xml:space="preserve"> При поддержке Сбербанка в России реализуется более 10 тыс. инвестиционных проектов, в том числе проекты в дотационных республиках Дагестан и Чечня. Долгосрочные р</w:t>
      </w:r>
      <w:r w:rsidRPr="00D255C1">
        <w:rPr>
          <w:rFonts w:ascii="Times New Roman" w:eastAsia="Times New Roman" w:hAnsi="Times New Roman" w:cs="Times New Roman"/>
          <w:sz w:val="28"/>
          <w:szCs w:val="28"/>
          <w:lang w:eastAsia="ru-RU"/>
        </w:rPr>
        <w:t>есурсы Сбербанка как собственные, так и привлеченные, позволяют ему осуществлять п</w:t>
      </w:r>
      <w:r w:rsidRPr="00D255C1">
        <w:rPr>
          <w:rFonts w:ascii="Times New Roman" w:eastAsia="Times New Roman" w:hAnsi="Times New Roman" w:cs="Times New Roman"/>
          <w:sz w:val="27"/>
          <w:szCs w:val="27"/>
          <w:shd w:val="clear" w:color="auto" w:fill="FFFFFF"/>
          <w:lang w:eastAsia="ru-RU"/>
        </w:rPr>
        <w:t xml:space="preserve">роектное финансирование на долгий срок и в крупном размере. Это сегмент, который  способен обслуживать именно </w:t>
      </w:r>
      <w:r w:rsidRPr="00D255C1">
        <w:rPr>
          <w:rFonts w:ascii="Times New Roman" w:eastAsia="Times New Roman" w:hAnsi="Times New Roman" w:cs="Times New Roman"/>
          <w:sz w:val="28"/>
          <w:szCs w:val="28"/>
          <w:lang w:eastAsia="ru-RU"/>
        </w:rPr>
        <w:t>Сбербанк, который, безусловно, является крупнейшим банком на рынке банковских услуг. Сбербанк находится в первой строке среди с</w:t>
      </w:r>
      <w:r w:rsidRPr="00D255C1">
        <w:rPr>
          <w:rFonts w:ascii="Times New Roman" w:eastAsia="Times New Roman" w:hAnsi="Times New Roman" w:cs="Times New Roman"/>
          <w:sz w:val="28"/>
          <w:szCs w:val="28"/>
          <w:shd w:val="clear" w:color="auto" w:fill="FFFFFF"/>
          <w:lang w:eastAsia="ru-RU"/>
        </w:rPr>
        <w:t>истемообразующих банков [5], таких как Газпромбанк, ВТБ, Россельхозбанк, Альфабанк. Большой запас ликвидности, а так же эффективная процентная политика дает Сбербанку возможности наращивать свой потенциал и прибыльность.</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D255C1" w:rsidRPr="00D255C1" w:rsidTr="00BB1D7C">
        <w:trPr>
          <w:jc w:val="center"/>
        </w:trPr>
        <w:tc>
          <w:tcPr>
            <w:tcW w:w="5000" w:type="pct"/>
            <w:gridSpan w:val="2"/>
          </w:tcPr>
          <w:p w:rsidR="00D255C1" w:rsidRPr="00D255C1" w:rsidRDefault="00D255C1" w:rsidP="00D255C1">
            <w:pPr>
              <w:contextualSpacing/>
              <w:jc w:val="both"/>
              <w:rPr>
                <w:rFonts w:ascii="Times New Roman" w:eastAsia="Calibri" w:hAnsi="Times New Roman"/>
                <w:sz w:val="24"/>
                <w:szCs w:val="24"/>
              </w:rPr>
            </w:pPr>
          </w:p>
        </w:tc>
      </w:tr>
      <w:tr w:rsidR="00D255C1" w:rsidRPr="00D255C1" w:rsidTr="00BB1D7C">
        <w:trPr>
          <w:jc w:val="center"/>
        </w:trPr>
        <w:tc>
          <w:tcPr>
            <w:tcW w:w="5000" w:type="pct"/>
            <w:gridSpan w:val="2"/>
          </w:tcPr>
          <w:p w:rsidR="00D255C1" w:rsidRPr="00D255C1" w:rsidRDefault="00D255C1" w:rsidP="00D255C1">
            <w:pPr>
              <w:ind w:firstLine="709"/>
              <w:jc w:val="center"/>
              <w:rPr>
                <w:rFonts w:ascii="Times New Roman" w:hAnsi="Times New Roman"/>
                <w:b/>
                <w:sz w:val="28"/>
                <w:szCs w:val="28"/>
              </w:rPr>
            </w:pPr>
            <w:r w:rsidRPr="00D255C1">
              <w:rPr>
                <w:rFonts w:ascii="Times New Roman" w:hAnsi="Times New Roman"/>
                <w:b/>
                <w:sz w:val="28"/>
                <w:szCs w:val="28"/>
              </w:rPr>
              <w:t>Список литературы</w:t>
            </w:r>
          </w:p>
        </w:tc>
      </w:tr>
      <w:tr w:rsidR="00D255C1" w:rsidRPr="00D255C1" w:rsidTr="00BB1D7C">
        <w:trPr>
          <w:trHeight w:val="1114"/>
          <w:jc w:val="center"/>
        </w:trPr>
        <w:tc>
          <w:tcPr>
            <w:tcW w:w="293" w:type="pct"/>
          </w:tcPr>
          <w:p w:rsidR="00D255C1" w:rsidRPr="00D255C1" w:rsidRDefault="00D255C1" w:rsidP="00D255C1">
            <w:pPr>
              <w:widowControl w:val="0"/>
              <w:numPr>
                <w:ilvl w:val="0"/>
                <w:numId w:val="1"/>
              </w:numPr>
              <w:contextualSpacing/>
              <w:jc w:val="both"/>
              <w:rPr>
                <w:rFonts w:ascii="Times New Roman" w:eastAsia="Calibri" w:hAnsi="Times New Roman"/>
                <w:sz w:val="24"/>
                <w:szCs w:val="24"/>
              </w:rPr>
            </w:pPr>
          </w:p>
        </w:tc>
        <w:tc>
          <w:tcPr>
            <w:tcW w:w="4707" w:type="pct"/>
          </w:tcPr>
          <w:p w:rsidR="00D255C1" w:rsidRPr="00D255C1" w:rsidRDefault="00D255C1" w:rsidP="00D255C1">
            <w:pPr>
              <w:jc w:val="both"/>
              <w:rPr>
                <w:rFonts w:ascii="Times New Roman" w:hAnsi="Times New Roman"/>
                <w:sz w:val="24"/>
                <w:szCs w:val="24"/>
                <w:shd w:val="clear" w:color="auto" w:fill="FFFFFF"/>
              </w:rPr>
            </w:pPr>
            <w:r w:rsidRPr="00D255C1">
              <w:rPr>
                <w:rFonts w:ascii="Times New Roman" w:hAnsi="Times New Roman"/>
                <w:sz w:val="24"/>
                <w:szCs w:val="24"/>
                <w:shd w:val="clear" w:color="auto" w:fill="FFFFFF"/>
              </w:rPr>
              <w:t>Кремлева В.В., Сологубов В.М. Нововведения в банковском законодательстве - новый шаг к стабильности банковкого сектора. В сборнике: Россия и мировое сообщество перед вызовами нестабильности экономических и правовых систем. Сборник статей Международной научно-практической конференции. 2017. С. 112-114.</w:t>
            </w:r>
          </w:p>
        </w:tc>
      </w:tr>
      <w:tr w:rsidR="00D255C1" w:rsidRPr="00D255C1" w:rsidTr="00BB1D7C">
        <w:trPr>
          <w:trHeight w:val="577"/>
          <w:jc w:val="center"/>
        </w:trPr>
        <w:tc>
          <w:tcPr>
            <w:tcW w:w="293" w:type="pct"/>
          </w:tcPr>
          <w:p w:rsidR="00D255C1" w:rsidRPr="00D255C1" w:rsidRDefault="00D255C1" w:rsidP="00D255C1">
            <w:pPr>
              <w:widowControl w:val="0"/>
              <w:numPr>
                <w:ilvl w:val="0"/>
                <w:numId w:val="1"/>
              </w:numPr>
              <w:contextualSpacing/>
              <w:jc w:val="both"/>
              <w:rPr>
                <w:rFonts w:ascii="Times New Roman" w:eastAsia="Calibri" w:hAnsi="Times New Roman"/>
                <w:sz w:val="24"/>
                <w:szCs w:val="24"/>
              </w:rPr>
            </w:pPr>
          </w:p>
        </w:tc>
        <w:tc>
          <w:tcPr>
            <w:tcW w:w="4707" w:type="pct"/>
          </w:tcPr>
          <w:p w:rsidR="00D255C1" w:rsidRPr="00D255C1" w:rsidRDefault="00D255C1" w:rsidP="00D255C1">
            <w:pPr>
              <w:jc w:val="both"/>
              <w:rPr>
                <w:rFonts w:ascii="Times New Roman" w:hAnsi="Times New Roman"/>
                <w:sz w:val="24"/>
                <w:szCs w:val="24"/>
                <w:shd w:val="clear" w:color="auto" w:fill="FFFFFF"/>
              </w:rPr>
            </w:pPr>
            <w:r w:rsidRPr="00D255C1">
              <w:rPr>
                <w:rFonts w:ascii="Times New Roman" w:hAnsi="Times New Roman"/>
                <w:sz w:val="24"/>
                <w:szCs w:val="24"/>
                <w:shd w:val="clear" w:color="auto" w:fill="FFFFFF"/>
              </w:rPr>
              <w:t xml:space="preserve">Годовой отчет ПАО «Сбербанк» за 2017 год. </w:t>
            </w:r>
            <w:r w:rsidRPr="00D255C1">
              <w:rPr>
                <w:rFonts w:ascii="Times New Roman" w:hAnsi="Times New Roman"/>
                <w:sz w:val="24"/>
                <w:szCs w:val="24"/>
              </w:rPr>
              <w:t xml:space="preserve">[Электронный ресурс]. Режим доступа: </w:t>
            </w:r>
            <w:hyperlink r:id="rId5" w:history="1">
              <w:r w:rsidRPr="00D255C1">
                <w:rPr>
                  <w:rFonts w:ascii="Times New Roman" w:hAnsi="Times New Roman"/>
                  <w:sz w:val="24"/>
                  <w:szCs w:val="24"/>
                  <w:u w:val="single"/>
                  <w:shd w:val="clear" w:color="auto" w:fill="FFFFFF"/>
                </w:rPr>
                <w:t>http://www.sberbank.com/ru/investor-relations/reports-and-publications/annual-reports</w:t>
              </w:r>
            </w:hyperlink>
          </w:p>
        </w:tc>
      </w:tr>
      <w:tr w:rsidR="00D255C1" w:rsidRPr="00D255C1" w:rsidTr="00BB1D7C">
        <w:trPr>
          <w:jc w:val="center"/>
        </w:trPr>
        <w:tc>
          <w:tcPr>
            <w:tcW w:w="293" w:type="pct"/>
          </w:tcPr>
          <w:p w:rsidR="00D255C1" w:rsidRPr="00D255C1" w:rsidRDefault="00D255C1" w:rsidP="00D255C1">
            <w:pPr>
              <w:widowControl w:val="0"/>
              <w:numPr>
                <w:ilvl w:val="0"/>
                <w:numId w:val="1"/>
              </w:numPr>
              <w:contextualSpacing/>
              <w:jc w:val="both"/>
              <w:rPr>
                <w:rFonts w:ascii="Times New Roman" w:eastAsia="Calibri" w:hAnsi="Times New Roman"/>
                <w:sz w:val="24"/>
                <w:szCs w:val="24"/>
              </w:rPr>
            </w:pPr>
          </w:p>
        </w:tc>
        <w:tc>
          <w:tcPr>
            <w:tcW w:w="4707" w:type="pct"/>
          </w:tcPr>
          <w:p w:rsidR="00D255C1" w:rsidRPr="00D255C1" w:rsidRDefault="00D255C1" w:rsidP="00D255C1">
            <w:pPr>
              <w:shd w:val="clear" w:color="auto" w:fill="FFFFFF"/>
              <w:jc w:val="both"/>
              <w:textAlignment w:val="baseline"/>
              <w:rPr>
                <w:rFonts w:ascii="Times New Roman" w:hAnsi="Times New Roman"/>
                <w:sz w:val="24"/>
                <w:szCs w:val="24"/>
                <w:shd w:val="clear" w:color="auto" w:fill="FFFFFF"/>
              </w:rPr>
            </w:pPr>
            <w:r w:rsidRPr="00D255C1">
              <w:rPr>
                <w:rFonts w:ascii="Times New Roman" w:hAnsi="Times New Roman"/>
                <w:sz w:val="24"/>
                <w:szCs w:val="24"/>
                <w:shd w:val="clear" w:color="auto" w:fill="FFFFFF"/>
              </w:rPr>
              <w:t xml:space="preserve">«Об обязательных нормативах банков» Инструкция ЦБ РФ 139-И от 03.12.2012 (ред. от 13.02.2017) </w:t>
            </w:r>
          </w:p>
        </w:tc>
      </w:tr>
      <w:tr w:rsidR="00D255C1" w:rsidRPr="00D255C1" w:rsidTr="00BB1D7C">
        <w:trPr>
          <w:jc w:val="center"/>
        </w:trPr>
        <w:tc>
          <w:tcPr>
            <w:tcW w:w="293" w:type="pct"/>
          </w:tcPr>
          <w:p w:rsidR="00D255C1" w:rsidRPr="00D255C1" w:rsidRDefault="00D255C1" w:rsidP="00D255C1">
            <w:pPr>
              <w:widowControl w:val="0"/>
              <w:numPr>
                <w:ilvl w:val="0"/>
                <w:numId w:val="1"/>
              </w:numPr>
              <w:contextualSpacing/>
              <w:jc w:val="both"/>
              <w:rPr>
                <w:rFonts w:ascii="Times New Roman" w:eastAsia="Calibri" w:hAnsi="Times New Roman"/>
                <w:sz w:val="24"/>
                <w:szCs w:val="24"/>
              </w:rPr>
            </w:pPr>
          </w:p>
        </w:tc>
        <w:tc>
          <w:tcPr>
            <w:tcW w:w="4707" w:type="pct"/>
          </w:tcPr>
          <w:p w:rsidR="00D255C1" w:rsidRPr="00D255C1" w:rsidRDefault="00D255C1" w:rsidP="00D255C1">
            <w:pPr>
              <w:shd w:val="clear" w:color="auto" w:fill="FFFFFF"/>
              <w:jc w:val="both"/>
              <w:textAlignment w:val="baseline"/>
              <w:rPr>
                <w:rFonts w:ascii="Times New Roman" w:hAnsi="Times New Roman"/>
                <w:sz w:val="24"/>
                <w:szCs w:val="24"/>
                <w:shd w:val="clear" w:color="auto" w:fill="FFFFFF"/>
              </w:rPr>
            </w:pPr>
            <w:r w:rsidRPr="00D255C1">
              <w:rPr>
                <w:rFonts w:ascii="Times New Roman" w:hAnsi="Times New Roman"/>
                <w:sz w:val="24"/>
                <w:szCs w:val="24"/>
              </w:rPr>
              <w:t xml:space="preserve">[Электронный ресурс]. Режим доступа: </w:t>
            </w:r>
            <w:r w:rsidRPr="00D255C1">
              <w:rPr>
                <w:rFonts w:ascii="Times New Roman" w:hAnsi="Times New Roman"/>
                <w:sz w:val="24"/>
                <w:szCs w:val="24"/>
                <w:shd w:val="clear" w:color="auto" w:fill="FFFFFF"/>
              </w:rPr>
              <w:t>http://www.sberbank.com/ru/investor-relations/reports-and-publications/ras</w:t>
            </w:r>
          </w:p>
        </w:tc>
      </w:tr>
      <w:tr w:rsidR="00D255C1" w:rsidRPr="00D255C1" w:rsidTr="00BB1D7C">
        <w:trPr>
          <w:jc w:val="center"/>
        </w:trPr>
        <w:tc>
          <w:tcPr>
            <w:tcW w:w="293" w:type="pct"/>
          </w:tcPr>
          <w:p w:rsidR="00D255C1" w:rsidRPr="00D255C1" w:rsidRDefault="00D255C1" w:rsidP="00D255C1">
            <w:pPr>
              <w:widowControl w:val="0"/>
              <w:numPr>
                <w:ilvl w:val="0"/>
                <w:numId w:val="1"/>
              </w:numPr>
              <w:contextualSpacing/>
              <w:jc w:val="both"/>
              <w:rPr>
                <w:rFonts w:ascii="Times New Roman" w:eastAsia="Calibri" w:hAnsi="Times New Roman"/>
                <w:sz w:val="24"/>
                <w:szCs w:val="24"/>
              </w:rPr>
            </w:pPr>
          </w:p>
        </w:tc>
        <w:tc>
          <w:tcPr>
            <w:tcW w:w="4707" w:type="pct"/>
          </w:tcPr>
          <w:p w:rsidR="00D255C1" w:rsidRPr="00D255C1" w:rsidRDefault="00D255C1" w:rsidP="00D255C1">
            <w:pPr>
              <w:shd w:val="clear" w:color="auto" w:fill="FFFFFF"/>
              <w:jc w:val="both"/>
              <w:textAlignment w:val="baseline"/>
              <w:rPr>
                <w:rFonts w:ascii="Times New Roman" w:hAnsi="Times New Roman"/>
                <w:sz w:val="24"/>
                <w:szCs w:val="24"/>
              </w:rPr>
            </w:pPr>
            <w:r w:rsidRPr="00D255C1">
              <w:rPr>
                <w:rFonts w:ascii="Times New Roman" w:hAnsi="Times New Roman"/>
                <w:sz w:val="24"/>
                <w:szCs w:val="24"/>
                <w:shd w:val="clear" w:color="auto" w:fill="FFFFFF"/>
              </w:rPr>
              <w:t xml:space="preserve">  </w:t>
            </w:r>
            <w:r w:rsidRPr="00D255C1">
              <w:rPr>
                <w:rFonts w:ascii="Times New Roman" w:hAnsi="Times New Roman"/>
                <w:sz w:val="24"/>
                <w:szCs w:val="24"/>
              </w:rPr>
              <w:t xml:space="preserve">Сбербанк раздал прогноз по прибыли. [Электронный ресурс]. Режим доступа: </w:t>
            </w:r>
            <w:hyperlink r:id="rId6" w:history="1">
              <w:r w:rsidRPr="00D255C1">
                <w:rPr>
                  <w:rFonts w:ascii="Times New Roman" w:hAnsi="Times New Roman"/>
                  <w:sz w:val="24"/>
                  <w:szCs w:val="24"/>
                  <w:u w:val="single"/>
                </w:rPr>
                <w:t>https://www.kommersant.ru/doc/3496264</w:t>
              </w:r>
            </w:hyperlink>
          </w:p>
        </w:tc>
      </w:tr>
      <w:tr w:rsidR="00D255C1" w:rsidRPr="00D255C1" w:rsidTr="00BB1D7C">
        <w:trPr>
          <w:jc w:val="center"/>
        </w:trPr>
        <w:tc>
          <w:tcPr>
            <w:tcW w:w="293" w:type="pct"/>
          </w:tcPr>
          <w:p w:rsidR="00D255C1" w:rsidRPr="00D255C1" w:rsidRDefault="00D255C1" w:rsidP="00D255C1">
            <w:pPr>
              <w:widowControl w:val="0"/>
              <w:numPr>
                <w:ilvl w:val="0"/>
                <w:numId w:val="1"/>
              </w:numPr>
              <w:contextualSpacing/>
              <w:jc w:val="both"/>
              <w:rPr>
                <w:rFonts w:ascii="Times New Roman" w:eastAsia="Calibri" w:hAnsi="Times New Roman"/>
                <w:sz w:val="24"/>
                <w:szCs w:val="24"/>
              </w:rPr>
            </w:pPr>
          </w:p>
        </w:tc>
        <w:tc>
          <w:tcPr>
            <w:tcW w:w="4707" w:type="pct"/>
          </w:tcPr>
          <w:p w:rsidR="00D255C1" w:rsidRPr="00D255C1" w:rsidRDefault="00D255C1" w:rsidP="00D255C1">
            <w:pPr>
              <w:shd w:val="clear" w:color="auto" w:fill="FFFFFF"/>
              <w:jc w:val="both"/>
              <w:textAlignment w:val="baseline"/>
              <w:rPr>
                <w:rFonts w:ascii="Times New Roman" w:hAnsi="Times New Roman"/>
                <w:sz w:val="24"/>
                <w:szCs w:val="24"/>
              </w:rPr>
            </w:pPr>
            <w:r w:rsidRPr="00D255C1">
              <w:rPr>
                <w:rFonts w:ascii="Times New Roman" w:hAnsi="Times New Roman"/>
                <w:sz w:val="24"/>
                <w:szCs w:val="24"/>
              </w:rPr>
              <w:t xml:space="preserve">[Электронный ресурс]. Режим доступа: </w:t>
            </w:r>
            <w:hyperlink r:id="rId7" w:history="1">
              <w:r w:rsidRPr="00D255C1">
                <w:rPr>
                  <w:rFonts w:ascii="Times New Roman" w:hAnsi="Times New Roman"/>
                  <w:sz w:val="24"/>
                  <w:szCs w:val="24"/>
                  <w:u w:val="single"/>
                  <w:shd w:val="clear" w:color="auto" w:fill="FFFFFF"/>
                </w:rPr>
                <w:t>http://riarating.ru/banks/20171227/630079927.html</w:t>
              </w:r>
            </w:hyperlink>
          </w:p>
        </w:tc>
      </w:tr>
      <w:tr w:rsidR="00D255C1" w:rsidRPr="00D255C1" w:rsidTr="00BB1D7C">
        <w:trPr>
          <w:jc w:val="center"/>
        </w:trPr>
        <w:tc>
          <w:tcPr>
            <w:tcW w:w="293" w:type="pct"/>
          </w:tcPr>
          <w:p w:rsidR="00D255C1" w:rsidRPr="00D255C1" w:rsidRDefault="00D255C1" w:rsidP="00D255C1">
            <w:pPr>
              <w:widowControl w:val="0"/>
              <w:numPr>
                <w:ilvl w:val="0"/>
                <w:numId w:val="1"/>
              </w:numPr>
              <w:contextualSpacing/>
              <w:jc w:val="both"/>
              <w:rPr>
                <w:rFonts w:ascii="Times New Roman" w:eastAsia="Calibri" w:hAnsi="Times New Roman"/>
                <w:sz w:val="24"/>
                <w:szCs w:val="24"/>
              </w:rPr>
            </w:pPr>
          </w:p>
        </w:tc>
        <w:tc>
          <w:tcPr>
            <w:tcW w:w="4707" w:type="pct"/>
          </w:tcPr>
          <w:p w:rsidR="00D255C1" w:rsidRPr="00D255C1" w:rsidRDefault="00D255C1" w:rsidP="00D255C1">
            <w:pPr>
              <w:shd w:val="clear" w:color="auto" w:fill="FFFFFF"/>
              <w:jc w:val="both"/>
              <w:textAlignment w:val="baseline"/>
              <w:rPr>
                <w:rFonts w:ascii="Times New Roman" w:hAnsi="Times New Roman"/>
                <w:sz w:val="24"/>
                <w:szCs w:val="24"/>
                <w:lang w:val="en-US"/>
              </w:rPr>
            </w:pPr>
            <w:r w:rsidRPr="00D255C1">
              <w:rPr>
                <w:rFonts w:ascii="Times New Roman" w:hAnsi="Times New Roman"/>
                <w:sz w:val="24"/>
                <w:szCs w:val="24"/>
              </w:rPr>
              <w:t>Стратегия развития Сбербанка 2020. [Электронный ресурс]. Режим</w:t>
            </w:r>
            <w:r w:rsidRPr="00D255C1">
              <w:rPr>
                <w:rFonts w:ascii="Times New Roman" w:hAnsi="Times New Roman"/>
                <w:sz w:val="24"/>
                <w:szCs w:val="24"/>
                <w:lang w:val="en-US"/>
              </w:rPr>
              <w:t xml:space="preserve"> </w:t>
            </w:r>
            <w:r w:rsidRPr="00D255C1">
              <w:rPr>
                <w:rFonts w:ascii="Times New Roman" w:hAnsi="Times New Roman"/>
                <w:sz w:val="24"/>
                <w:szCs w:val="24"/>
              </w:rPr>
              <w:t>доступа</w:t>
            </w:r>
            <w:r w:rsidRPr="00D255C1">
              <w:rPr>
                <w:rFonts w:ascii="Times New Roman" w:hAnsi="Times New Roman"/>
                <w:sz w:val="24"/>
                <w:szCs w:val="24"/>
                <w:lang w:val="en-US"/>
              </w:rPr>
              <w:t xml:space="preserve">: </w:t>
            </w:r>
            <w:hyperlink r:id="rId8" w:history="1">
              <w:r w:rsidRPr="00D255C1">
                <w:rPr>
                  <w:rFonts w:ascii="Times New Roman" w:hAnsi="Times New Roman"/>
                  <w:sz w:val="24"/>
                  <w:szCs w:val="24"/>
                  <w:u w:val="single"/>
                  <w:lang w:val="en-US"/>
                </w:rPr>
                <w:t>https://www.kommersant.ru/doc/3496264</w:t>
              </w:r>
            </w:hyperlink>
            <w:r w:rsidRPr="00D255C1">
              <w:rPr>
                <w:rFonts w:ascii="Times New Roman" w:hAnsi="Times New Roman"/>
                <w:sz w:val="24"/>
                <w:szCs w:val="24"/>
                <w:lang w:val="en-US"/>
              </w:rPr>
              <w:t xml:space="preserve"> </w:t>
            </w:r>
            <w:hyperlink w:history="1">
              <w:r w:rsidRPr="00D255C1">
                <w:rPr>
                  <w:rFonts w:ascii="Times New Roman" w:hAnsi="Times New Roman"/>
                  <w:sz w:val="24"/>
                  <w:szCs w:val="24"/>
                  <w:u w:val="single"/>
                  <w:lang w:val="en-US"/>
                </w:rPr>
                <w:t>https://www.sberbank.ru /ru</w:t>
              </w:r>
            </w:hyperlink>
            <w:r w:rsidRPr="00D255C1">
              <w:rPr>
                <w:rFonts w:ascii="Times New Roman" w:hAnsi="Times New Roman"/>
                <w:sz w:val="24"/>
                <w:szCs w:val="24"/>
                <w:lang w:val="en-US"/>
              </w:rPr>
              <w:t xml:space="preserve"> /about/today /strategy_2020</w:t>
            </w:r>
          </w:p>
        </w:tc>
      </w:tr>
      <w:tr w:rsidR="00D255C1" w:rsidRPr="00D255C1" w:rsidTr="00BB1D7C">
        <w:trPr>
          <w:jc w:val="center"/>
        </w:trPr>
        <w:tc>
          <w:tcPr>
            <w:tcW w:w="293" w:type="pct"/>
          </w:tcPr>
          <w:p w:rsidR="00D255C1" w:rsidRPr="00D255C1" w:rsidRDefault="00D255C1" w:rsidP="00D255C1">
            <w:pPr>
              <w:widowControl w:val="0"/>
              <w:numPr>
                <w:ilvl w:val="0"/>
                <w:numId w:val="1"/>
              </w:numPr>
              <w:contextualSpacing/>
              <w:jc w:val="both"/>
              <w:rPr>
                <w:rFonts w:ascii="Times New Roman" w:eastAsia="Calibri" w:hAnsi="Times New Roman"/>
                <w:sz w:val="24"/>
                <w:szCs w:val="24"/>
                <w:lang w:val="en-US"/>
              </w:rPr>
            </w:pPr>
          </w:p>
        </w:tc>
        <w:tc>
          <w:tcPr>
            <w:tcW w:w="4707" w:type="pct"/>
          </w:tcPr>
          <w:p w:rsidR="00D255C1" w:rsidRPr="00D255C1" w:rsidRDefault="00D255C1" w:rsidP="00D255C1">
            <w:pPr>
              <w:shd w:val="clear" w:color="auto" w:fill="FFFFFF"/>
              <w:jc w:val="both"/>
              <w:textAlignment w:val="baseline"/>
              <w:rPr>
                <w:rFonts w:ascii="Times New Roman" w:hAnsi="Times New Roman"/>
                <w:sz w:val="24"/>
                <w:szCs w:val="24"/>
                <w:lang w:val="en-US"/>
              </w:rPr>
            </w:pPr>
            <w:r w:rsidRPr="00D255C1">
              <w:rPr>
                <w:rFonts w:ascii="Times New Roman" w:hAnsi="Times New Roman"/>
                <w:sz w:val="24"/>
                <w:szCs w:val="24"/>
                <w:lang w:val="en-US"/>
              </w:rPr>
              <w:t>[</w:t>
            </w:r>
            <w:r w:rsidRPr="00D255C1">
              <w:rPr>
                <w:rFonts w:ascii="Times New Roman" w:hAnsi="Times New Roman"/>
                <w:sz w:val="24"/>
                <w:szCs w:val="24"/>
              </w:rPr>
              <w:t>Электронный</w:t>
            </w:r>
            <w:r w:rsidRPr="00D255C1">
              <w:rPr>
                <w:rFonts w:ascii="Times New Roman" w:hAnsi="Times New Roman"/>
                <w:sz w:val="24"/>
                <w:szCs w:val="24"/>
                <w:lang w:val="en-US"/>
              </w:rPr>
              <w:t xml:space="preserve"> </w:t>
            </w:r>
            <w:r w:rsidRPr="00D255C1">
              <w:rPr>
                <w:rFonts w:ascii="Times New Roman" w:hAnsi="Times New Roman"/>
                <w:sz w:val="24"/>
                <w:szCs w:val="24"/>
              </w:rPr>
              <w:t>ресурс</w:t>
            </w:r>
            <w:r w:rsidRPr="00D255C1">
              <w:rPr>
                <w:rFonts w:ascii="Times New Roman" w:hAnsi="Times New Roman"/>
                <w:sz w:val="24"/>
                <w:szCs w:val="24"/>
                <w:lang w:val="en-US"/>
              </w:rPr>
              <w:t xml:space="preserve">]. </w:t>
            </w:r>
            <w:r w:rsidRPr="00D255C1">
              <w:rPr>
                <w:rFonts w:ascii="Times New Roman" w:hAnsi="Times New Roman"/>
                <w:sz w:val="24"/>
                <w:szCs w:val="24"/>
              </w:rPr>
              <w:t>Режим</w:t>
            </w:r>
            <w:r w:rsidRPr="00D255C1">
              <w:rPr>
                <w:rFonts w:ascii="Times New Roman" w:hAnsi="Times New Roman"/>
                <w:sz w:val="24"/>
                <w:szCs w:val="24"/>
                <w:lang w:val="en-US"/>
              </w:rPr>
              <w:t xml:space="preserve"> </w:t>
            </w:r>
            <w:r w:rsidRPr="00D255C1">
              <w:rPr>
                <w:rFonts w:ascii="Times New Roman" w:hAnsi="Times New Roman"/>
                <w:sz w:val="24"/>
                <w:szCs w:val="24"/>
              </w:rPr>
              <w:t>доступа</w:t>
            </w:r>
            <w:r w:rsidRPr="00D255C1">
              <w:rPr>
                <w:rFonts w:ascii="Times New Roman" w:hAnsi="Times New Roman"/>
                <w:sz w:val="24"/>
                <w:szCs w:val="24"/>
                <w:lang w:val="en-US"/>
              </w:rPr>
              <w:t xml:space="preserve">: http: // </w:t>
            </w:r>
            <w:hyperlink r:id="rId9" w:history="1">
              <w:r w:rsidRPr="00D255C1">
                <w:rPr>
                  <w:rFonts w:ascii="Times New Roman" w:hAnsi="Times New Roman"/>
                  <w:sz w:val="24"/>
                  <w:szCs w:val="24"/>
                  <w:u w:val="single"/>
                  <w:lang w:val="en-US"/>
                </w:rPr>
                <w:t>www.profbanking.com</w:t>
              </w:r>
            </w:hyperlink>
            <w:r w:rsidRPr="00D255C1">
              <w:rPr>
                <w:rFonts w:ascii="Times New Roman" w:hAnsi="Times New Roman"/>
                <w:sz w:val="24"/>
                <w:szCs w:val="24"/>
                <w:lang w:val="en-US"/>
              </w:rPr>
              <w:t xml:space="preserve"> /articles/ banki -otzyv-litsenzij. html</w:t>
            </w:r>
          </w:p>
        </w:tc>
      </w:tr>
    </w:tbl>
    <w:p w:rsidR="00DA6D04" w:rsidRPr="00D255C1" w:rsidRDefault="00DA6D04">
      <w:pPr>
        <w:rPr>
          <w:lang w:val="en-US"/>
        </w:rPr>
      </w:pPr>
      <w:bookmarkStart w:id="3" w:name="_GoBack"/>
      <w:bookmarkEnd w:id="3"/>
    </w:p>
    <w:sectPr w:rsidR="00DA6D04" w:rsidRPr="00D25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E341B"/>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C1"/>
    <w:rsid w:val="00D255C1"/>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5F70F-F2B0-4F9F-8E9A-18145D8C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55C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3496264" TargetMode="External"/><Relationship Id="rId3" Type="http://schemas.openxmlformats.org/officeDocument/2006/relationships/settings" Target="settings.xml"/><Relationship Id="rId7" Type="http://schemas.openxmlformats.org/officeDocument/2006/relationships/hyperlink" Target="http://riarating.ru/banks/20171227/63007992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mmersant.ru/doc/3496264" TargetMode="External"/><Relationship Id="rId11" Type="http://schemas.openxmlformats.org/officeDocument/2006/relationships/theme" Target="theme/theme1.xml"/><Relationship Id="rId5" Type="http://schemas.openxmlformats.org/officeDocument/2006/relationships/hyperlink" Target="http://www.sberbank.com/ru/investor-relations/reports-and-publications/annual-repor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fbanking.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2018-09-22T06:47:00Z</dcterms:created>
  <dcterms:modified xsi:type="dcterms:W3CDTF">2018-09-22T06:47:00Z</dcterms:modified>
</cp:coreProperties>
</file>