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9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5060"/>
      </w:tblGrid>
      <w:tr w:rsidR="00C35DE6" w:rsidRPr="00C35DE6" w:rsidTr="002D53BD">
        <w:trPr>
          <w:jc w:val="center"/>
        </w:trPr>
        <w:tc>
          <w:tcPr>
            <w:tcW w:w="4320" w:type="dxa"/>
          </w:tcPr>
          <w:p w:rsidR="00C35DE6" w:rsidRPr="00C35DE6" w:rsidRDefault="00C35DE6" w:rsidP="00C35DE6">
            <w:pPr>
              <w:widowControl w:val="0"/>
              <w:rPr>
                <w:rFonts w:ascii="Times New Roman" w:hAnsi="Times New Roman"/>
                <w:sz w:val="28"/>
                <w:szCs w:val="28"/>
              </w:rPr>
            </w:pPr>
            <w:r w:rsidRPr="00C35DE6">
              <w:rPr>
                <w:rFonts w:ascii="Times New Roman" w:hAnsi="Times New Roman"/>
                <w:b/>
                <w:sz w:val="28"/>
                <w:szCs w:val="28"/>
              </w:rPr>
              <w:t>УДК 338.2</w:t>
            </w:r>
          </w:p>
        </w:tc>
        <w:tc>
          <w:tcPr>
            <w:tcW w:w="5246" w:type="dxa"/>
            <w:tcMar>
              <w:left w:w="0" w:type="dxa"/>
              <w:right w:w="0" w:type="dxa"/>
            </w:tcMar>
          </w:tcPr>
          <w:p w:rsidR="00C35DE6" w:rsidRPr="00C35DE6" w:rsidRDefault="00C35DE6" w:rsidP="00C35DE6">
            <w:pPr>
              <w:widowControl w:val="0"/>
              <w:shd w:val="clear" w:color="auto" w:fill="FFFFFF"/>
              <w:rPr>
                <w:rFonts w:ascii="Times New Roman" w:hAnsi="Times New Roman"/>
                <w:sz w:val="28"/>
                <w:szCs w:val="28"/>
              </w:rPr>
            </w:pPr>
          </w:p>
        </w:tc>
      </w:tr>
      <w:tr w:rsidR="00C35DE6" w:rsidRPr="00C35DE6" w:rsidTr="002D53BD">
        <w:trPr>
          <w:jc w:val="center"/>
        </w:trPr>
        <w:tc>
          <w:tcPr>
            <w:tcW w:w="4320" w:type="dxa"/>
          </w:tcPr>
          <w:p w:rsidR="00C35DE6" w:rsidRPr="00C35DE6" w:rsidRDefault="00C35DE6" w:rsidP="00C35DE6">
            <w:pPr>
              <w:widowControl w:val="0"/>
              <w:jc w:val="right"/>
              <w:rPr>
                <w:rFonts w:ascii="Times New Roman" w:hAnsi="Times New Roman"/>
                <w:sz w:val="28"/>
                <w:szCs w:val="28"/>
              </w:rPr>
            </w:pPr>
          </w:p>
        </w:tc>
        <w:tc>
          <w:tcPr>
            <w:tcW w:w="5246" w:type="dxa"/>
            <w:tcMar>
              <w:left w:w="0" w:type="dxa"/>
              <w:right w:w="0" w:type="dxa"/>
            </w:tcMar>
          </w:tcPr>
          <w:p w:rsidR="00C35DE6" w:rsidRPr="00C35DE6" w:rsidRDefault="00C35DE6" w:rsidP="00C35DE6">
            <w:pPr>
              <w:numPr>
                <w:ilvl w:val="1"/>
                <w:numId w:val="0"/>
              </w:numPr>
              <w:tabs>
                <w:tab w:val="left" w:pos="709"/>
              </w:tabs>
              <w:suppressAutoHyphens/>
              <w:ind w:firstLine="709"/>
              <w:outlineLvl w:val="1"/>
              <w:rPr>
                <w:rFonts w:ascii="Times New Roman" w:hAnsi="Times New Roman"/>
                <w:b/>
                <w:bCs/>
                <w:sz w:val="28"/>
                <w:szCs w:val="28"/>
              </w:rPr>
            </w:pPr>
            <w:bookmarkStart w:id="0" w:name="_Toc518846486"/>
            <w:r w:rsidRPr="00C35DE6">
              <w:rPr>
                <w:rFonts w:ascii="Times New Roman" w:hAnsi="Times New Roman"/>
                <w:b/>
                <w:bCs/>
                <w:sz w:val="28"/>
                <w:szCs w:val="28"/>
              </w:rPr>
              <w:t>Е.А. Плужникова</w:t>
            </w:r>
            <w:bookmarkEnd w:id="0"/>
            <w:r w:rsidRPr="00C35DE6">
              <w:rPr>
                <w:rFonts w:ascii="Times New Roman" w:hAnsi="Times New Roman"/>
                <w:b/>
                <w:bCs/>
                <w:sz w:val="28"/>
                <w:szCs w:val="28"/>
              </w:rPr>
              <w:t xml:space="preserve"> </w:t>
            </w:r>
          </w:p>
          <w:p w:rsidR="00C35DE6" w:rsidRPr="00C35DE6" w:rsidRDefault="00C35DE6" w:rsidP="00C35DE6">
            <w:pPr>
              <w:autoSpaceDE w:val="0"/>
              <w:autoSpaceDN w:val="0"/>
              <w:adjustRightInd w:val="0"/>
              <w:rPr>
                <w:rFonts w:ascii="Times New Roman" w:hAnsi="Times New Roman"/>
                <w:i/>
                <w:iCs/>
                <w:sz w:val="28"/>
                <w:szCs w:val="28"/>
              </w:rPr>
            </w:pPr>
            <w:r w:rsidRPr="00C35DE6">
              <w:rPr>
                <w:rFonts w:ascii="Times New Roman" w:hAnsi="Times New Roman"/>
                <w:i/>
                <w:iCs/>
                <w:sz w:val="28"/>
                <w:szCs w:val="28"/>
              </w:rPr>
              <w:t xml:space="preserve">ГУ «Институт экономических исследований», </w:t>
            </w:r>
          </w:p>
          <w:p w:rsidR="00C35DE6" w:rsidRPr="00C35DE6" w:rsidRDefault="00C35DE6" w:rsidP="00C35DE6">
            <w:pPr>
              <w:jc w:val="both"/>
              <w:rPr>
                <w:rFonts w:ascii="Times New Roman" w:hAnsi="Times New Roman"/>
                <w:i/>
                <w:sz w:val="28"/>
                <w:szCs w:val="24"/>
              </w:rPr>
            </w:pPr>
            <w:r w:rsidRPr="00C35DE6">
              <w:rPr>
                <w:rFonts w:ascii="Times New Roman" w:hAnsi="Times New Roman"/>
                <w:i/>
                <w:sz w:val="28"/>
                <w:szCs w:val="28"/>
              </w:rPr>
              <w:t>Донецк, Донецкая Народная Республика</w:t>
            </w:r>
          </w:p>
          <w:p w:rsidR="00C35DE6" w:rsidRPr="00C35DE6" w:rsidRDefault="00C35DE6" w:rsidP="00C35DE6">
            <w:pPr>
              <w:autoSpaceDE w:val="0"/>
              <w:autoSpaceDN w:val="0"/>
              <w:adjustRightInd w:val="0"/>
              <w:rPr>
                <w:rFonts w:ascii="Times New Roman" w:hAnsi="Times New Roman"/>
                <w:b/>
                <w:sz w:val="28"/>
                <w:szCs w:val="28"/>
              </w:rPr>
            </w:pPr>
            <w:r w:rsidRPr="00C35DE6">
              <w:rPr>
                <w:rFonts w:ascii="Times New Roman" w:hAnsi="Times New Roman"/>
                <w:b/>
                <w:i/>
                <w:iCs/>
                <w:sz w:val="28"/>
                <w:szCs w:val="28"/>
                <w:lang w:val="en-US"/>
              </w:rPr>
              <w:t>E</w:t>
            </w:r>
            <w:r w:rsidRPr="00C35DE6">
              <w:rPr>
                <w:rFonts w:ascii="Times New Roman" w:hAnsi="Times New Roman"/>
                <w:b/>
                <w:i/>
                <w:iCs/>
                <w:sz w:val="28"/>
                <w:szCs w:val="28"/>
              </w:rPr>
              <w:t>.</w:t>
            </w:r>
            <w:r w:rsidRPr="00C35DE6">
              <w:rPr>
                <w:rFonts w:ascii="Times New Roman" w:hAnsi="Times New Roman"/>
                <w:b/>
                <w:i/>
                <w:iCs/>
                <w:sz w:val="28"/>
                <w:szCs w:val="28"/>
                <w:lang w:val="en-US"/>
              </w:rPr>
              <w:t>A</w:t>
            </w:r>
            <w:r w:rsidRPr="00C35DE6">
              <w:rPr>
                <w:rFonts w:ascii="Times New Roman" w:hAnsi="Times New Roman"/>
                <w:b/>
                <w:i/>
                <w:iCs/>
                <w:sz w:val="28"/>
                <w:szCs w:val="28"/>
              </w:rPr>
              <w:t>.</w:t>
            </w:r>
            <w:r w:rsidRPr="00C35DE6">
              <w:rPr>
                <w:rFonts w:ascii="Times New Roman" w:hAnsi="Times New Roman"/>
                <w:b/>
                <w:i/>
                <w:iCs/>
                <w:sz w:val="28"/>
                <w:szCs w:val="28"/>
                <w:lang w:val="en-US"/>
              </w:rPr>
              <w:t>Pluzhnikova</w:t>
            </w:r>
            <w:r w:rsidRPr="00C35DE6">
              <w:rPr>
                <w:rFonts w:ascii="Times New Roman" w:hAnsi="Times New Roman"/>
                <w:b/>
                <w:i/>
                <w:iCs/>
                <w:sz w:val="28"/>
                <w:szCs w:val="28"/>
              </w:rPr>
              <w:t xml:space="preserve"> </w:t>
            </w:r>
          </w:p>
          <w:p w:rsidR="00C35DE6" w:rsidRPr="00C35DE6" w:rsidRDefault="00C35DE6" w:rsidP="00C35DE6">
            <w:pPr>
              <w:autoSpaceDE w:val="0"/>
              <w:autoSpaceDN w:val="0"/>
              <w:adjustRightInd w:val="0"/>
              <w:rPr>
                <w:rFonts w:ascii="Times New Roman" w:hAnsi="Times New Roman"/>
                <w:i/>
                <w:sz w:val="28"/>
                <w:szCs w:val="28"/>
                <w:lang w:val="en-US"/>
              </w:rPr>
            </w:pPr>
            <w:r w:rsidRPr="00C35DE6">
              <w:rPr>
                <w:rFonts w:ascii="Times New Roman" w:hAnsi="Times New Roman"/>
                <w:i/>
                <w:sz w:val="28"/>
                <w:szCs w:val="28"/>
                <w:lang w:val="en-US"/>
              </w:rPr>
              <w:t>State Institution «Institute of Economic Research»</w:t>
            </w:r>
          </w:p>
          <w:p w:rsidR="00C35DE6" w:rsidRPr="00C35DE6" w:rsidRDefault="00C35DE6" w:rsidP="00C35DE6">
            <w:pPr>
              <w:autoSpaceDE w:val="0"/>
              <w:autoSpaceDN w:val="0"/>
              <w:adjustRightInd w:val="0"/>
              <w:rPr>
                <w:rFonts w:ascii="Times New Roman" w:hAnsi="Times New Roman"/>
                <w:sz w:val="28"/>
                <w:szCs w:val="28"/>
              </w:rPr>
            </w:pPr>
            <w:r w:rsidRPr="00C35DE6">
              <w:rPr>
                <w:rFonts w:ascii="Times New Roman" w:hAnsi="Times New Roman"/>
                <w:i/>
                <w:iCs/>
                <w:sz w:val="28"/>
                <w:szCs w:val="28"/>
              </w:rPr>
              <w:t xml:space="preserve">Donetsk, </w:t>
            </w:r>
            <w:r w:rsidRPr="00C35DE6">
              <w:rPr>
                <w:rFonts w:ascii="Times New Roman" w:hAnsi="Times New Roman"/>
                <w:i/>
                <w:sz w:val="28"/>
                <w:szCs w:val="28"/>
              </w:rPr>
              <w:t>Donetsk People's Republic</w:t>
            </w:r>
          </w:p>
        </w:tc>
      </w:tr>
      <w:tr w:rsidR="00C35DE6" w:rsidRPr="00C35DE6" w:rsidTr="002D53BD">
        <w:trPr>
          <w:jc w:val="center"/>
        </w:trPr>
        <w:tc>
          <w:tcPr>
            <w:tcW w:w="4320" w:type="dxa"/>
          </w:tcPr>
          <w:p w:rsidR="00C35DE6" w:rsidRPr="00C35DE6" w:rsidRDefault="00C35DE6" w:rsidP="00C35DE6">
            <w:pPr>
              <w:keepNext/>
              <w:keepLines/>
              <w:ind w:hanging="28"/>
              <w:jc w:val="center"/>
              <w:outlineLvl w:val="0"/>
              <w:rPr>
                <w:rFonts w:ascii="Times New Roman" w:hAnsi="Times New Roman"/>
                <w:b/>
                <w:bCs/>
                <w:caps/>
                <w:sz w:val="28"/>
                <w:szCs w:val="28"/>
                <w:shd w:val="clear" w:color="auto" w:fill="FFFFFF"/>
              </w:rPr>
            </w:pPr>
          </w:p>
        </w:tc>
        <w:tc>
          <w:tcPr>
            <w:tcW w:w="5246" w:type="dxa"/>
          </w:tcPr>
          <w:p w:rsidR="00C35DE6" w:rsidRPr="00C35DE6" w:rsidRDefault="00C35DE6" w:rsidP="00C35DE6">
            <w:pPr>
              <w:widowControl w:val="0"/>
              <w:jc w:val="both"/>
              <w:rPr>
                <w:rFonts w:ascii="Times New Roman" w:hAnsi="Times New Roman"/>
                <w:sz w:val="28"/>
                <w:szCs w:val="28"/>
              </w:rPr>
            </w:pPr>
          </w:p>
        </w:tc>
      </w:tr>
      <w:tr w:rsidR="00C35DE6" w:rsidRPr="00C35DE6" w:rsidTr="002D53BD">
        <w:trPr>
          <w:jc w:val="center"/>
        </w:trPr>
        <w:tc>
          <w:tcPr>
            <w:tcW w:w="9566" w:type="dxa"/>
            <w:gridSpan w:val="2"/>
          </w:tcPr>
          <w:p w:rsidR="00C35DE6" w:rsidRPr="00C35DE6" w:rsidRDefault="00C35DE6" w:rsidP="00C35DE6">
            <w:pPr>
              <w:keepNext/>
              <w:keepLines/>
              <w:ind w:hanging="28"/>
              <w:jc w:val="center"/>
              <w:outlineLvl w:val="0"/>
              <w:rPr>
                <w:rFonts w:ascii="Times New Roman" w:hAnsi="Times New Roman"/>
                <w:b/>
                <w:bCs/>
                <w:caps/>
                <w:sz w:val="28"/>
                <w:szCs w:val="28"/>
                <w:shd w:val="clear" w:color="auto" w:fill="FFFFFF"/>
              </w:rPr>
            </w:pPr>
            <w:bookmarkStart w:id="1" w:name="_Toc518846487"/>
            <w:r w:rsidRPr="00C35DE6">
              <w:rPr>
                <w:rFonts w:ascii="Times New Roman" w:hAnsi="Times New Roman"/>
                <w:b/>
                <w:bCs/>
                <w:caps/>
                <w:sz w:val="28"/>
                <w:szCs w:val="28"/>
                <w:shd w:val="clear" w:color="auto" w:fill="FFFFFF"/>
              </w:rPr>
              <w:t>СУЩНОСТЬ И РОЛЬ ОЦЕНКИ РЕГУЛИРУЮЩЕГО ВОЗДЕЙСТВИЯ НОРМАТИВНО-ПРАВОВЫХ АКТОВ</w:t>
            </w:r>
            <w:bookmarkEnd w:id="1"/>
          </w:p>
        </w:tc>
      </w:tr>
      <w:tr w:rsidR="00C35DE6" w:rsidRPr="00C35DE6" w:rsidTr="002D53BD">
        <w:trPr>
          <w:jc w:val="center"/>
        </w:trPr>
        <w:tc>
          <w:tcPr>
            <w:tcW w:w="9566" w:type="dxa"/>
            <w:gridSpan w:val="2"/>
          </w:tcPr>
          <w:p w:rsidR="00C35DE6" w:rsidRPr="00C35DE6" w:rsidRDefault="00C35DE6" w:rsidP="00C35DE6">
            <w:pPr>
              <w:jc w:val="both"/>
              <w:rPr>
                <w:rFonts w:ascii="Times New Roman" w:hAnsi="Times New Roman"/>
                <w:sz w:val="28"/>
                <w:szCs w:val="28"/>
              </w:rPr>
            </w:pPr>
          </w:p>
        </w:tc>
      </w:tr>
      <w:tr w:rsidR="00C35DE6" w:rsidRPr="00C35DE6" w:rsidTr="002D53BD">
        <w:trPr>
          <w:jc w:val="center"/>
        </w:trPr>
        <w:tc>
          <w:tcPr>
            <w:tcW w:w="9566" w:type="dxa"/>
            <w:gridSpan w:val="2"/>
          </w:tcPr>
          <w:p w:rsidR="00C35DE6" w:rsidRPr="00C35DE6" w:rsidRDefault="00C35DE6" w:rsidP="00C35DE6">
            <w:pPr>
              <w:autoSpaceDE w:val="0"/>
              <w:autoSpaceDN w:val="0"/>
              <w:adjustRightInd w:val="0"/>
              <w:ind w:firstLine="709"/>
              <w:jc w:val="center"/>
              <w:rPr>
                <w:rFonts w:ascii="Times New Roman" w:hAnsi="Times New Roman"/>
                <w:b/>
                <w:sz w:val="28"/>
                <w:szCs w:val="28"/>
                <w:lang w:val="en-US"/>
              </w:rPr>
            </w:pPr>
            <w:r w:rsidRPr="00C35DE6">
              <w:rPr>
                <w:rFonts w:ascii="Times New Roman" w:hAnsi="Times New Roman"/>
                <w:b/>
                <w:bCs/>
                <w:sz w:val="28"/>
                <w:szCs w:val="28"/>
                <w:lang w:val="en-US"/>
              </w:rPr>
              <w:t>ESSENCE AND ROLE OF ASSESSMENT OF REGULATORY IMPACTS OF NORMATIVE LEGAL ACTS</w:t>
            </w:r>
          </w:p>
        </w:tc>
      </w:tr>
    </w:tbl>
    <w:p w:rsidR="00C35DE6" w:rsidRPr="00C35DE6" w:rsidRDefault="00C35DE6" w:rsidP="00C35DE6">
      <w:pPr>
        <w:autoSpaceDE w:val="0"/>
        <w:autoSpaceDN w:val="0"/>
        <w:adjustRightInd w:val="0"/>
        <w:spacing w:after="0" w:line="240" w:lineRule="auto"/>
        <w:ind w:firstLine="709"/>
        <w:jc w:val="center"/>
        <w:rPr>
          <w:rFonts w:ascii="Times New Roman" w:eastAsia="Times New Roman" w:hAnsi="Times New Roman" w:cs="Times New Roman"/>
          <w:sz w:val="28"/>
          <w:szCs w:val="28"/>
          <w:u w:val="single"/>
          <w:lang w:val="en-US" w:eastAsia="ru-RU"/>
        </w:rPr>
      </w:pPr>
    </w:p>
    <w:p w:rsidR="00C35DE6" w:rsidRPr="00C35DE6" w:rsidRDefault="00C35DE6" w:rsidP="00C35DE6">
      <w:pPr>
        <w:autoSpaceDE w:val="0"/>
        <w:autoSpaceDN w:val="0"/>
        <w:adjustRightInd w:val="0"/>
        <w:spacing w:after="0" w:line="240" w:lineRule="auto"/>
        <w:ind w:firstLine="709"/>
        <w:jc w:val="both"/>
        <w:rPr>
          <w:rFonts w:ascii="Times New Roman" w:eastAsia="Times New Roman" w:hAnsi="Times New Roman" w:cs="Times New Roman"/>
          <w:i/>
          <w:iCs/>
          <w:sz w:val="24"/>
          <w:szCs w:val="24"/>
          <w:u w:val="single"/>
          <w:lang w:eastAsia="ru-RU"/>
        </w:rPr>
      </w:pPr>
      <w:r w:rsidRPr="00C35DE6">
        <w:rPr>
          <w:rFonts w:ascii="Times New Roman" w:eastAsia="Times New Roman" w:hAnsi="Times New Roman" w:cs="Times New Roman"/>
          <w:i/>
          <w:iCs/>
          <w:sz w:val="24"/>
          <w:szCs w:val="24"/>
          <w:lang w:eastAsia="ru-RU"/>
        </w:rPr>
        <w:t xml:space="preserve">Аннотация. В работе уделено внимание </w:t>
      </w:r>
      <w:r w:rsidRPr="00C35DE6">
        <w:rPr>
          <w:rFonts w:ascii="Times New Roman" w:eastAsia="Times New Roman" w:hAnsi="Times New Roman" w:cs="Times New Roman"/>
          <w:i/>
          <w:sz w:val="24"/>
          <w:szCs w:val="24"/>
          <w:lang w:eastAsia="ru-RU"/>
        </w:rPr>
        <w:t>сущности оценки регулирующего воздействия нормативно-правовых актов, ее роли в социально-экономическом развитии государства, методике ее проведения, особенностям ОРВ в зарубежных странах</w:t>
      </w:r>
      <w:r w:rsidRPr="00C35DE6">
        <w:rPr>
          <w:rFonts w:ascii="Times New Roman" w:eastAsia="Times New Roman" w:hAnsi="Times New Roman" w:cs="Times New Roman"/>
          <w:i/>
          <w:iCs/>
          <w:sz w:val="24"/>
          <w:szCs w:val="24"/>
          <w:lang w:eastAsia="ru-RU"/>
        </w:rPr>
        <w:t>.</w:t>
      </w:r>
    </w:p>
    <w:p w:rsidR="00C35DE6" w:rsidRPr="00C35DE6" w:rsidRDefault="00C35DE6" w:rsidP="00C35DE6">
      <w:pPr>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eastAsia="ru-RU"/>
        </w:rPr>
      </w:pPr>
      <w:r w:rsidRPr="00C35DE6">
        <w:rPr>
          <w:rFonts w:ascii="Times New Roman" w:eastAsia="Times New Roman" w:hAnsi="Times New Roman" w:cs="Times New Roman"/>
          <w:i/>
          <w:sz w:val="24"/>
          <w:szCs w:val="24"/>
          <w:lang w:eastAsia="ru-RU"/>
        </w:rPr>
        <w:t xml:space="preserve">Ключевые слова: </w:t>
      </w:r>
      <w:r w:rsidRPr="00C35DE6">
        <w:rPr>
          <w:rFonts w:ascii="Times New Roman" w:eastAsia="Times New Roman" w:hAnsi="Times New Roman" w:cs="Times New Roman"/>
          <w:i/>
          <w:iCs/>
          <w:sz w:val="24"/>
          <w:szCs w:val="24"/>
          <w:lang w:eastAsia="ru-RU"/>
        </w:rPr>
        <w:t>оценка регулирующего воздействия, методика, НПА.</w:t>
      </w:r>
    </w:p>
    <w:p w:rsidR="00C35DE6" w:rsidRPr="00C35DE6" w:rsidRDefault="00C35DE6" w:rsidP="00C35DE6">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C35DE6" w:rsidRPr="00C35DE6" w:rsidRDefault="00C35DE6" w:rsidP="00C35DE6">
      <w:pPr>
        <w:autoSpaceDE w:val="0"/>
        <w:autoSpaceDN w:val="0"/>
        <w:adjustRightInd w:val="0"/>
        <w:spacing w:after="0" w:line="240" w:lineRule="auto"/>
        <w:ind w:firstLine="709"/>
        <w:jc w:val="both"/>
        <w:rPr>
          <w:rFonts w:ascii="Times New Roman" w:eastAsia="Times New Roman" w:hAnsi="Times New Roman" w:cs="Times New Roman"/>
          <w:i/>
          <w:sz w:val="24"/>
          <w:szCs w:val="24"/>
          <w:lang w:val="en-US" w:eastAsia="ru-RU"/>
        </w:rPr>
      </w:pPr>
      <w:r w:rsidRPr="00C35DE6">
        <w:rPr>
          <w:rFonts w:ascii="Times New Roman" w:eastAsia="Times New Roman" w:hAnsi="Times New Roman" w:cs="Times New Roman"/>
          <w:i/>
          <w:sz w:val="24"/>
          <w:szCs w:val="24"/>
          <w:lang w:val="en-US" w:eastAsia="ru-RU"/>
        </w:rPr>
        <w:t xml:space="preserve">Abstract. The work focuses on the essence of the assessment of the regulatory impact of regulatory legal acts, its role in the socio-economic development of the state, the methodology for conducting it, and the characteristics of ODS in foreign countries. </w:t>
      </w:r>
    </w:p>
    <w:p w:rsidR="00C35DE6" w:rsidRPr="00C35DE6" w:rsidRDefault="00C35DE6" w:rsidP="00C35DE6">
      <w:pPr>
        <w:autoSpaceDE w:val="0"/>
        <w:autoSpaceDN w:val="0"/>
        <w:adjustRightInd w:val="0"/>
        <w:spacing w:after="0" w:line="240" w:lineRule="auto"/>
        <w:ind w:firstLine="709"/>
        <w:jc w:val="both"/>
        <w:rPr>
          <w:rFonts w:ascii="Times New Roman" w:eastAsia="Times New Roman" w:hAnsi="Times New Roman" w:cs="Times New Roman"/>
          <w:i/>
          <w:sz w:val="24"/>
          <w:szCs w:val="24"/>
          <w:lang w:val="en-US" w:eastAsia="ru-RU"/>
        </w:rPr>
      </w:pPr>
      <w:r w:rsidRPr="00C35DE6">
        <w:rPr>
          <w:rFonts w:ascii="Times New Roman" w:eastAsia="Times New Roman" w:hAnsi="Times New Roman" w:cs="Times New Roman"/>
          <w:i/>
          <w:sz w:val="24"/>
          <w:szCs w:val="24"/>
          <w:lang w:val="en-US" w:eastAsia="ru-RU"/>
        </w:rPr>
        <w:t>Keywords: assessment of regulatory impact, methodology, legal act.</w:t>
      </w:r>
    </w:p>
    <w:p w:rsidR="00C35DE6" w:rsidRPr="00C35DE6" w:rsidRDefault="00C35DE6" w:rsidP="00C35DE6">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b/>
          <w:sz w:val="28"/>
          <w:szCs w:val="28"/>
        </w:rPr>
        <w:t xml:space="preserve">Постановка проблемы. </w:t>
      </w:r>
      <w:r w:rsidRPr="00C35DE6">
        <w:rPr>
          <w:rFonts w:ascii="Times New Roman" w:eastAsia="Calibri" w:hAnsi="Times New Roman" w:cs="Times New Roman"/>
          <w:sz w:val="28"/>
          <w:szCs w:val="28"/>
        </w:rPr>
        <w:t xml:space="preserve">Нормативно-правовое регулирование предпринимательской и инвестиционной деятельности является необходимым условием для развития экономики. С целью анализа последствий от введения того или иного НПА могут использоваться требования института оценки регулирующего воздействия (далее – ОРВ). Под ОРВ понимается комплекс процедур и методик, которые направлены на определение проблем и </w:t>
      </w:r>
      <w:r w:rsidRPr="00C35DE6">
        <w:rPr>
          <w:rFonts w:ascii="Times New Roman" w:eastAsia="Calibri" w:hAnsi="Times New Roman" w:cs="Times New Roman"/>
          <w:sz w:val="28"/>
          <w:szCs w:val="28"/>
          <w:shd w:val="clear" w:color="auto" w:fill="FFFFFF"/>
        </w:rPr>
        <w:t>оценку социально-экономических последствий государственного регулирования</w:t>
      </w:r>
      <w:r w:rsidRPr="00C35DE6">
        <w:rPr>
          <w:rFonts w:ascii="Times New Roman" w:eastAsia="Calibri" w:hAnsi="Times New Roman" w:cs="Times New Roman"/>
          <w:sz w:val="28"/>
          <w:szCs w:val="28"/>
        </w:rPr>
        <w:t>.</w:t>
      </w: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sz w:val="28"/>
          <w:szCs w:val="28"/>
        </w:rPr>
        <w:t>Использование оценки регулирующего воздействия необходимо для повышения качества и эффективности государственного управления, а также проведение ОРВ связано с качеством законотворческой и правоприменительной деятельности. ОРВ использует механизм, который позволяет не допускать появления новых административных барьеров для экономической деятельности.</w:t>
      </w:r>
    </w:p>
    <w:p w:rsidR="00C35DE6" w:rsidRPr="00C35DE6" w:rsidRDefault="00C35DE6" w:rsidP="00C35DE6">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35DE6">
        <w:rPr>
          <w:rFonts w:ascii="Times New Roman" w:eastAsia="Times New Roman" w:hAnsi="Times New Roman" w:cs="Times New Roman"/>
          <w:b/>
          <w:sz w:val="28"/>
          <w:szCs w:val="28"/>
          <w:lang w:eastAsia="ru-RU"/>
        </w:rPr>
        <w:t xml:space="preserve">Анализ предыдущих исследований и публикаций. </w:t>
      </w:r>
      <w:r w:rsidRPr="00C35DE6">
        <w:rPr>
          <w:rFonts w:ascii="Times New Roman" w:eastAsia="Times New Roman" w:hAnsi="Times New Roman" w:cs="Times New Roman"/>
          <w:sz w:val="28"/>
          <w:szCs w:val="28"/>
          <w:lang w:eastAsia="ru-RU"/>
        </w:rPr>
        <w:t>Свой вклад в необходимость проведения института оценки регулирующего воздействия внесли такие авторы как: Вакулюк Е.А., Колегов В. В., Кочеткова С.А., Моисеева И.В. [1-4] и ряд других специалистов.</w:t>
      </w: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b/>
          <w:sz w:val="28"/>
          <w:szCs w:val="28"/>
        </w:rPr>
        <w:t xml:space="preserve">Цель исследования. </w:t>
      </w:r>
      <w:r w:rsidRPr="00C35DE6">
        <w:rPr>
          <w:rFonts w:ascii="Times New Roman" w:eastAsia="Calibri" w:hAnsi="Times New Roman" w:cs="Times New Roman"/>
          <w:sz w:val="28"/>
          <w:szCs w:val="28"/>
        </w:rPr>
        <w:t>Целью исследования является определение сущности и роли оценки регулирующего воздействия нормативно-правовых актов.</w:t>
      </w: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b/>
          <w:sz w:val="28"/>
          <w:szCs w:val="28"/>
        </w:rPr>
        <w:lastRenderedPageBreak/>
        <w:t xml:space="preserve">Основные результаты исследования. </w:t>
      </w:r>
      <w:r w:rsidRPr="00C35DE6">
        <w:rPr>
          <w:rFonts w:ascii="Times New Roman" w:eastAsia="Calibri" w:hAnsi="Times New Roman" w:cs="Times New Roman"/>
          <w:sz w:val="28"/>
          <w:szCs w:val="28"/>
        </w:rPr>
        <w:t>Успешная практика применения оценки регулирующего воздействия имеется у стран Европейского Союза, США, Австралии, Новой Зеландии, Канады, Мексики [4, C. 52].</w:t>
      </w:r>
    </w:p>
    <w:p w:rsidR="00C35DE6" w:rsidRPr="00C35DE6" w:rsidRDefault="00C35DE6" w:rsidP="00C35DE6">
      <w:pPr>
        <w:autoSpaceDE w:val="0"/>
        <w:autoSpaceDN w:val="0"/>
        <w:adjustRightInd w:val="0"/>
        <w:spacing w:after="0" w:line="240" w:lineRule="auto"/>
        <w:ind w:firstLine="709"/>
        <w:jc w:val="both"/>
        <w:rPr>
          <w:rFonts w:ascii="Times New Roman" w:eastAsia="SimSun" w:hAnsi="Times New Roman" w:cs="Times New Roman"/>
          <w:sz w:val="28"/>
          <w:szCs w:val="24"/>
          <w:lang w:eastAsia="zh-CN"/>
        </w:rPr>
      </w:pPr>
      <w:r w:rsidRPr="00C35DE6">
        <w:rPr>
          <w:rFonts w:ascii="Times New Roman" w:eastAsia="SimSun" w:hAnsi="Times New Roman" w:cs="Times New Roman"/>
          <w:sz w:val="28"/>
          <w:szCs w:val="24"/>
          <w:lang w:eastAsia="zh-CN"/>
        </w:rPr>
        <w:t xml:space="preserve">По области применения и масштабам использования ОРВ, страны ЕС можно разделить на 3 группы: </w:t>
      </w:r>
    </w:p>
    <w:p w:rsidR="00C35DE6" w:rsidRPr="00C35DE6" w:rsidRDefault="00C35DE6" w:rsidP="00C35DE6">
      <w:pPr>
        <w:numPr>
          <w:ilvl w:val="0"/>
          <w:numId w:val="1"/>
        </w:numPr>
        <w:autoSpaceDE w:val="0"/>
        <w:autoSpaceDN w:val="0"/>
        <w:adjustRightInd w:val="0"/>
        <w:spacing w:after="0" w:line="240" w:lineRule="auto"/>
        <w:ind w:firstLine="709"/>
        <w:jc w:val="both"/>
        <w:rPr>
          <w:rFonts w:ascii="Times New Roman" w:eastAsia="SimSun" w:hAnsi="Times New Roman" w:cs="Times New Roman"/>
          <w:sz w:val="28"/>
          <w:szCs w:val="24"/>
          <w:lang w:eastAsia="zh-CN"/>
        </w:rPr>
      </w:pPr>
      <w:r w:rsidRPr="00C35DE6">
        <w:rPr>
          <w:rFonts w:ascii="Times New Roman" w:eastAsia="SimSun" w:hAnsi="Times New Roman" w:cs="Times New Roman"/>
          <w:sz w:val="28"/>
          <w:szCs w:val="24"/>
          <w:lang w:eastAsia="zh-CN"/>
        </w:rPr>
        <w:t>страны, где ОРВ является обязательной для всех видов регулирующих актов (Швеция, Великобритания, Дания);</w:t>
      </w:r>
    </w:p>
    <w:p w:rsidR="00C35DE6" w:rsidRPr="00C35DE6" w:rsidRDefault="00C35DE6" w:rsidP="00C35DE6">
      <w:pPr>
        <w:numPr>
          <w:ilvl w:val="0"/>
          <w:numId w:val="1"/>
        </w:numPr>
        <w:autoSpaceDE w:val="0"/>
        <w:autoSpaceDN w:val="0"/>
        <w:adjustRightInd w:val="0"/>
        <w:spacing w:after="0" w:line="240" w:lineRule="auto"/>
        <w:ind w:firstLine="709"/>
        <w:jc w:val="both"/>
        <w:rPr>
          <w:rFonts w:ascii="Times New Roman" w:eastAsia="SimSun" w:hAnsi="Times New Roman" w:cs="Times New Roman"/>
          <w:sz w:val="28"/>
          <w:szCs w:val="24"/>
          <w:lang w:eastAsia="zh-CN"/>
        </w:rPr>
      </w:pPr>
      <w:r w:rsidRPr="00C35DE6">
        <w:rPr>
          <w:rFonts w:ascii="Times New Roman" w:eastAsia="SimSun" w:hAnsi="Times New Roman" w:cs="Times New Roman"/>
          <w:sz w:val="28"/>
          <w:szCs w:val="24"/>
          <w:lang w:eastAsia="zh-CN"/>
        </w:rPr>
        <w:t>страны, где ОРВ рекомендуется для всех видов регулирующих актов (Польша, Австрия, Германия);</w:t>
      </w:r>
    </w:p>
    <w:p w:rsidR="00C35DE6" w:rsidRPr="00C35DE6" w:rsidRDefault="00C35DE6" w:rsidP="00C35DE6">
      <w:pPr>
        <w:numPr>
          <w:ilvl w:val="0"/>
          <w:numId w:val="1"/>
        </w:numPr>
        <w:autoSpaceDE w:val="0"/>
        <w:autoSpaceDN w:val="0"/>
        <w:adjustRightInd w:val="0"/>
        <w:spacing w:after="0" w:line="240" w:lineRule="auto"/>
        <w:ind w:firstLine="709"/>
        <w:jc w:val="both"/>
        <w:rPr>
          <w:rFonts w:ascii="Times New Roman" w:eastAsia="SimSun" w:hAnsi="Times New Roman" w:cs="Times New Roman"/>
          <w:sz w:val="28"/>
          <w:szCs w:val="24"/>
          <w:lang w:eastAsia="zh-CN"/>
        </w:rPr>
      </w:pPr>
      <w:r w:rsidRPr="00C35DE6">
        <w:rPr>
          <w:rFonts w:ascii="Times New Roman" w:eastAsia="SimSun" w:hAnsi="Times New Roman" w:cs="Times New Roman"/>
          <w:sz w:val="28"/>
          <w:szCs w:val="24"/>
          <w:lang w:eastAsia="zh-CN"/>
        </w:rPr>
        <w:t>страны, где ОРВ используется только для определенных видов НПА (Швейцария, Италия) [2].</w:t>
      </w: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sz w:val="28"/>
          <w:szCs w:val="28"/>
        </w:rPr>
        <w:t>В России существовала практика финансово-экономического обоснования</w:t>
      </w:r>
      <w:hyperlink r:id="rId5" w:tooltip="Финансово-экономическое обоснование" w:history="1"/>
      <w:r w:rsidRPr="00C35DE6">
        <w:rPr>
          <w:rFonts w:ascii="Times New Roman" w:eastAsia="Calibri" w:hAnsi="Times New Roman" w:cs="Times New Roman"/>
          <w:sz w:val="28"/>
          <w:szCs w:val="28"/>
        </w:rPr>
        <w:t xml:space="preserve"> и технико-экономического обоснования нормативно-правовых актов. С 2010 года в РФ на федеральном уровне была внедрена практика применения ОРВ и проведения оценки нормативно-правовых актов. В Украине используется практика анализа влияния регуляторного акта (АВРА).</w:t>
      </w: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sz w:val="28"/>
          <w:szCs w:val="28"/>
        </w:rPr>
        <w:t>Однако на сегодняшний день отсутствуют общепризнанные устоявшиеся универсальные методики и практики оценки регулирующего воздействия.</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8"/>
          <w:lang w:eastAsia="ru-RU"/>
        </w:rPr>
      </w:pPr>
      <w:r w:rsidRPr="00C35DE6">
        <w:rPr>
          <w:rFonts w:ascii="Times New Roman" w:eastAsia="Times New Roman" w:hAnsi="Times New Roman" w:cs="Times New Roman"/>
          <w:sz w:val="28"/>
          <w:szCs w:val="28"/>
          <w:lang w:eastAsia="ru-RU"/>
        </w:rPr>
        <w:t>Согласно Постановлению Правительства РФ «Об утверждении правил подготовки нормативных правовых актов федеральных органов исполнительной власти и их государственной регистрации»,</w:t>
      </w:r>
      <w:r w:rsidRPr="00C35DE6">
        <w:rPr>
          <w:rFonts w:ascii="Times New Roman" w:eastAsia="Times New Roman" w:hAnsi="Times New Roman" w:cs="Times New Roman"/>
          <w:b/>
          <w:bCs/>
          <w:sz w:val="28"/>
          <w:szCs w:val="28"/>
          <w:lang w:eastAsia="ru-RU"/>
        </w:rPr>
        <w:t xml:space="preserve"> </w:t>
      </w:r>
      <w:r w:rsidRPr="00C35DE6">
        <w:rPr>
          <w:rFonts w:ascii="Times New Roman" w:eastAsia="Times New Roman" w:hAnsi="Times New Roman" w:cs="Times New Roman"/>
          <w:bCs/>
          <w:sz w:val="28"/>
          <w:szCs w:val="28"/>
          <w:lang w:eastAsia="ru-RU"/>
        </w:rPr>
        <w:t>п</w:t>
      </w:r>
      <w:r w:rsidRPr="00C35DE6">
        <w:rPr>
          <w:rFonts w:ascii="Times New Roman" w:eastAsia="Times New Roman" w:hAnsi="Times New Roman" w:cs="Times New Roman"/>
          <w:sz w:val="28"/>
          <w:szCs w:val="28"/>
          <w:lang w:eastAsia="ru-RU"/>
        </w:rPr>
        <w:t>роекты нормативных правовых актов в сфере предпринимательской и иной экономической деятельности … подлежат оценке регулирующего воздействия [5]. ОРВ проводится федеральными органами исполнительной власти в порядке, который определяется Правительством РФ.</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8"/>
          <w:lang w:eastAsia="ru-RU"/>
        </w:rPr>
      </w:pPr>
      <w:r w:rsidRPr="00C35DE6">
        <w:rPr>
          <w:rFonts w:ascii="Times New Roman" w:eastAsia="Times New Roman" w:hAnsi="Times New Roman" w:cs="Times New Roman"/>
          <w:sz w:val="28"/>
          <w:szCs w:val="28"/>
          <w:lang w:eastAsia="ru-RU"/>
        </w:rPr>
        <w:t>Согласно Приказу Минэкономразвития России от 30 сентября 2011 г. № 534 [6] был образован Консультативный совет по оценке регулирующего воздействия при Минэкономразвития России (далее также – Консультативный совет). В него вошли представители федеральных органов исполнительной власти, деловая общественность, научно-исследовательские институты, общественные и другие организации.</w:t>
      </w: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sz w:val="28"/>
          <w:szCs w:val="28"/>
        </w:rPr>
        <w:t>Консультативный совет – это постоянно действующий совещательный орган, который готовит предложения и определяет основные направления совершенствования оценки регулирующего воздействия в Российской Федерации. Также Совет готовит предложения и рекомендации по проведению экспертизы нормативно-правовых актов для выявления в них положений, которые необоснованно затрудняют осуществление предпринимательской либо инвестиционной деятельности.</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Председателем Консультативного совета является Министр экономического развития РФ, а членами совета выступают представители исполнительной власти и федеральных органов, парламента, предпринимательского сообщества, научно-исследовательских учреждений.</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Процедура проведения экспертизы действующих нормативных актов отражена в Приказе Минэкономразвития России от 9 ноября 2011 г. № 634 [7].</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lastRenderedPageBreak/>
        <w:t>Данная процедура включает в себя 3 этапа:</w:t>
      </w:r>
    </w:p>
    <w:p w:rsidR="00C35DE6" w:rsidRPr="00C35DE6" w:rsidRDefault="00C35DE6" w:rsidP="00C35DE6">
      <w:pPr>
        <w:numPr>
          <w:ilvl w:val="0"/>
          <w:numId w:val="3"/>
        </w:numPr>
        <w:spacing w:after="0" w:line="240" w:lineRule="auto"/>
        <w:contextualSpacing/>
        <w:jc w:val="both"/>
        <w:rPr>
          <w:rFonts w:ascii="Times New Roman" w:eastAsia="Calibri" w:hAnsi="Times New Roman" w:cs="Times New Roman"/>
          <w:sz w:val="28"/>
          <w:szCs w:val="26"/>
          <w:shd w:val="clear" w:color="auto" w:fill="FFFFFF"/>
        </w:rPr>
      </w:pPr>
      <w:r w:rsidRPr="00C35DE6">
        <w:rPr>
          <w:rFonts w:ascii="Times New Roman" w:eastAsia="Calibri" w:hAnsi="Times New Roman" w:cs="Times New Roman"/>
          <w:sz w:val="28"/>
          <w:szCs w:val="26"/>
          <w:shd w:val="clear" w:color="auto" w:fill="FFFFFF"/>
        </w:rPr>
        <w:t>формирование плана экспертизы;</w:t>
      </w:r>
    </w:p>
    <w:p w:rsidR="00C35DE6" w:rsidRPr="00C35DE6" w:rsidRDefault="00C35DE6" w:rsidP="00C35DE6">
      <w:pPr>
        <w:numPr>
          <w:ilvl w:val="0"/>
          <w:numId w:val="3"/>
        </w:numPr>
        <w:spacing w:after="0" w:line="240" w:lineRule="auto"/>
        <w:contextualSpacing/>
        <w:jc w:val="both"/>
        <w:rPr>
          <w:rFonts w:ascii="Times New Roman" w:eastAsia="Calibri" w:hAnsi="Times New Roman" w:cs="Times New Roman"/>
          <w:sz w:val="28"/>
          <w:szCs w:val="26"/>
          <w:shd w:val="clear" w:color="auto" w:fill="FFFFFF"/>
        </w:rPr>
      </w:pPr>
      <w:r w:rsidRPr="00C35DE6">
        <w:rPr>
          <w:rFonts w:ascii="Times New Roman" w:eastAsia="Calibri" w:hAnsi="Times New Roman" w:cs="Times New Roman"/>
          <w:sz w:val="28"/>
          <w:szCs w:val="26"/>
          <w:shd w:val="clear" w:color="auto" w:fill="FFFFFF"/>
        </w:rPr>
        <w:t>проведение экспертизы (исследование проблемы и подготовка заключения);</w:t>
      </w:r>
    </w:p>
    <w:p w:rsidR="00C35DE6" w:rsidRPr="00C35DE6" w:rsidRDefault="00C35DE6" w:rsidP="00C35DE6">
      <w:pPr>
        <w:numPr>
          <w:ilvl w:val="0"/>
          <w:numId w:val="3"/>
        </w:numPr>
        <w:spacing w:after="0" w:line="240" w:lineRule="auto"/>
        <w:contextualSpacing/>
        <w:jc w:val="both"/>
        <w:rPr>
          <w:rFonts w:ascii="Times New Roman" w:eastAsia="Calibri" w:hAnsi="Times New Roman" w:cs="Times New Roman"/>
          <w:sz w:val="28"/>
          <w:szCs w:val="26"/>
          <w:shd w:val="clear" w:color="auto" w:fill="FFFFFF"/>
        </w:rPr>
      </w:pPr>
      <w:r w:rsidRPr="00C35DE6">
        <w:rPr>
          <w:rFonts w:ascii="Times New Roman" w:eastAsia="Calibri" w:hAnsi="Times New Roman" w:cs="Times New Roman"/>
          <w:sz w:val="28"/>
          <w:szCs w:val="26"/>
          <w:shd w:val="clear" w:color="auto" w:fill="FFFFFF"/>
        </w:rPr>
        <w:t>осуществление процедур по исполнению выводов, полученных в результате экспертизы.</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8"/>
          <w:lang w:eastAsia="ru-RU"/>
        </w:rPr>
      </w:pPr>
      <w:r w:rsidRPr="00C35DE6">
        <w:rPr>
          <w:rFonts w:ascii="Times New Roman" w:eastAsia="Times New Roman" w:hAnsi="Times New Roman" w:cs="Times New Roman"/>
          <w:sz w:val="28"/>
          <w:szCs w:val="26"/>
          <w:shd w:val="clear" w:color="auto" w:fill="FFFFFF"/>
          <w:lang w:eastAsia="ru-RU"/>
        </w:rPr>
        <w:t>Процедура проведения экспертизы</w:t>
      </w:r>
      <w:r w:rsidRPr="00C35DE6">
        <w:rPr>
          <w:rFonts w:ascii="Times New Roman" w:eastAsia="Times New Roman" w:hAnsi="Times New Roman" w:cs="Times New Roman"/>
          <w:sz w:val="28"/>
          <w:szCs w:val="24"/>
          <w:vertAlign w:val="superscript"/>
          <w:lang w:eastAsia="ru-RU"/>
        </w:rPr>
        <w:t xml:space="preserve"> </w:t>
      </w:r>
      <w:r w:rsidRPr="00C35DE6">
        <w:rPr>
          <w:rFonts w:ascii="Times New Roman" w:eastAsia="Times New Roman" w:hAnsi="Times New Roman" w:cs="Times New Roman"/>
          <w:sz w:val="28"/>
          <w:szCs w:val="24"/>
          <w:lang w:eastAsia="ru-RU"/>
        </w:rPr>
        <w:t xml:space="preserve"> </w:t>
      </w:r>
      <w:r w:rsidRPr="00C35DE6">
        <w:rPr>
          <w:rFonts w:ascii="Times New Roman" w:eastAsia="Times New Roman" w:hAnsi="Times New Roman" w:cs="Times New Roman"/>
          <w:sz w:val="28"/>
          <w:szCs w:val="28"/>
          <w:lang w:eastAsia="ru-RU"/>
        </w:rPr>
        <w:t>нормативных актов представлена на рис. 1.</w:t>
      </w:r>
    </w:p>
    <w:p w:rsidR="00C35DE6" w:rsidRPr="00C35DE6" w:rsidRDefault="00C35DE6" w:rsidP="00C35DE6">
      <w:pPr>
        <w:spacing w:after="0" w:line="240" w:lineRule="auto"/>
        <w:jc w:val="center"/>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noProof/>
          <w:sz w:val="26"/>
          <w:szCs w:val="26"/>
          <w:lang w:eastAsia="ru-RU"/>
        </w:rPr>
        <mc:AlternateContent>
          <mc:Choice Requires="wpc">
            <w:drawing>
              <wp:inline distT="0" distB="0" distL="0" distR="0" wp14:anchorId="4207720A" wp14:editId="32AEB78F">
                <wp:extent cx="5940425" cy="2792095"/>
                <wp:effectExtent l="9525" t="9525" r="12700" b="0"/>
                <wp:docPr id="361" name="Полотно 3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6" name="Text Box 363"/>
                        <wps:cNvSpPr txBox="1">
                          <a:spLocks noChangeArrowheads="1"/>
                        </wps:cNvSpPr>
                        <wps:spPr bwMode="auto">
                          <a:xfrm>
                            <a:off x="1603090" y="0"/>
                            <a:ext cx="2803551" cy="384491"/>
                          </a:xfrm>
                          <a:prstGeom prst="rect">
                            <a:avLst/>
                          </a:prstGeom>
                          <a:solidFill>
                            <a:srgbClr val="FFFFFF"/>
                          </a:solidFill>
                          <a:ln w="9525">
                            <a:solidFill>
                              <a:srgbClr val="000000"/>
                            </a:solidFill>
                            <a:miter lim="800000"/>
                            <a:headEnd/>
                            <a:tailEnd/>
                          </a:ln>
                        </wps:spPr>
                        <wps:txbx>
                          <w:txbxContent>
                            <w:p w:rsidR="00C35DE6" w:rsidRPr="009853BF" w:rsidRDefault="00C35DE6" w:rsidP="00C35DE6">
                              <w:pPr>
                                <w:jc w:val="center"/>
                                <w:rPr>
                                  <w:sz w:val="24"/>
                                </w:rPr>
                              </w:pPr>
                              <w:r>
                                <w:rPr>
                                  <w:sz w:val="24"/>
                                </w:rPr>
                                <w:t>Минэкономразвития России</w:t>
                              </w:r>
                            </w:p>
                          </w:txbxContent>
                        </wps:txbx>
                        <wps:bodyPr rot="0" vert="horz" wrap="square" lIns="91440" tIns="45720" rIns="91440" bIns="45720" anchor="t" anchorCtr="0" upright="1">
                          <a:noAutofit/>
                        </wps:bodyPr>
                      </wps:wsp>
                      <wps:wsp>
                        <wps:cNvPr id="317" name="Text Box 364"/>
                        <wps:cNvSpPr txBox="1">
                          <a:spLocks noChangeArrowheads="1"/>
                        </wps:cNvSpPr>
                        <wps:spPr bwMode="auto">
                          <a:xfrm>
                            <a:off x="0" y="2175755"/>
                            <a:ext cx="1401775" cy="542907"/>
                          </a:xfrm>
                          <a:prstGeom prst="rect">
                            <a:avLst/>
                          </a:prstGeom>
                          <a:solidFill>
                            <a:srgbClr val="FFFFFF"/>
                          </a:solidFill>
                          <a:ln w="9525">
                            <a:solidFill>
                              <a:srgbClr val="000000"/>
                            </a:solidFill>
                            <a:miter lim="800000"/>
                            <a:headEnd/>
                            <a:tailEnd/>
                          </a:ln>
                        </wps:spPr>
                        <wps:txbx>
                          <w:txbxContent>
                            <w:p w:rsidR="00C35DE6" w:rsidRDefault="00C35DE6" w:rsidP="00C35DE6">
                              <w:pPr>
                                <w:jc w:val="center"/>
                                <w:rPr>
                                  <w:sz w:val="24"/>
                                </w:rPr>
                              </w:pPr>
                              <w:r>
                                <w:rPr>
                                  <w:sz w:val="24"/>
                                </w:rPr>
                                <w:t xml:space="preserve">Проект </w:t>
                              </w:r>
                            </w:p>
                            <w:p w:rsidR="00C35DE6" w:rsidRPr="009853BF" w:rsidRDefault="00C35DE6" w:rsidP="00C35DE6">
                              <w:pPr>
                                <w:jc w:val="center"/>
                                <w:rPr>
                                  <w:sz w:val="24"/>
                                </w:rPr>
                              </w:pPr>
                              <w:r>
                                <w:rPr>
                                  <w:sz w:val="24"/>
                                </w:rPr>
                                <w:t>заключения</w:t>
                              </w:r>
                            </w:p>
                          </w:txbxContent>
                        </wps:txbx>
                        <wps:bodyPr rot="0" vert="horz" wrap="square" lIns="91440" tIns="45720" rIns="91440" bIns="45720" anchor="t" anchorCtr="0" upright="1">
                          <a:noAutofit/>
                        </wps:bodyPr>
                      </wps:wsp>
                      <wps:wsp>
                        <wps:cNvPr id="318" name="Text Box 365"/>
                        <wps:cNvSpPr txBox="1">
                          <a:spLocks noChangeArrowheads="1"/>
                        </wps:cNvSpPr>
                        <wps:spPr bwMode="auto">
                          <a:xfrm>
                            <a:off x="3136874" y="847365"/>
                            <a:ext cx="2803551" cy="831688"/>
                          </a:xfrm>
                          <a:prstGeom prst="rect">
                            <a:avLst/>
                          </a:prstGeom>
                          <a:solidFill>
                            <a:srgbClr val="FFFFFF"/>
                          </a:solidFill>
                          <a:ln w="9525">
                            <a:solidFill>
                              <a:srgbClr val="000000"/>
                            </a:solidFill>
                            <a:miter lim="800000"/>
                            <a:headEnd/>
                            <a:tailEnd/>
                          </a:ln>
                        </wps:spPr>
                        <wps:txbx>
                          <w:txbxContent>
                            <w:p w:rsidR="00C35DE6" w:rsidRPr="009853BF" w:rsidRDefault="00C35DE6" w:rsidP="00C35DE6">
                              <w:pPr>
                                <w:jc w:val="center"/>
                                <w:rPr>
                                  <w:sz w:val="24"/>
                                </w:rPr>
                              </w:pPr>
                              <w:r>
                                <w:rPr>
                                  <w:sz w:val="24"/>
                                </w:rPr>
                                <w:t>Запрос информационно-аналитических материалов от: ФОИВ-разработчика, бизнес-сообщества, заинтересованных лиц</w:t>
                              </w:r>
                            </w:p>
                          </w:txbxContent>
                        </wps:txbx>
                        <wps:bodyPr rot="0" vert="horz" wrap="square" lIns="91440" tIns="45720" rIns="91440" bIns="45720" anchor="t" anchorCtr="0" upright="1">
                          <a:noAutofit/>
                        </wps:bodyPr>
                      </wps:wsp>
                      <wps:wsp>
                        <wps:cNvPr id="319" name="Text Box 366"/>
                        <wps:cNvSpPr txBox="1">
                          <a:spLocks noChangeArrowheads="1"/>
                        </wps:cNvSpPr>
                        <wps:spPr bwMode="auto">
                          <a:xfrm>
                            <a:off x="0" y="1049511"/>
                            <a:ext cx="2803551" cy="629542"/>
                          </a:xfrm>
                          <a:prstGeom prst="rect">
                            <a:avLst/>
                          </a:prstGeom>
                          <a:solidFill>
                            <a:srgbClr val="FFFFFF"/>
                          </a:solidFill>
                          <a:ln w="9525">
                            <a:solidFill>
                              <a:srgbClr val="000000"/>
                            </a:solidFill>
                            <a:miter lim="800000"/>
                            <a:headEnd/>
                            <a:tailEnd/>
                          </a:ln>
                        </wps:spPr>
                        <wps:txbx>
                          <w:txbxContent>
                            <w:p w:rsidR="00C35DE6" w:rsidRPr="006F7787" w:rsidRDefault="00C35DE6" w:rsidP="00C35DE6">
                              <w:pPr>
                                <w:jc w:val="center"/>
                                <w:rPr>
                                  <w:sz w:val="24"/>
                                </w:rPr>
                              </w:pPr>
                              <w:r>
                                <w:rPr>
                                  <w:sz w:val="24"/>
                                </w:rPr>
                                <w:t xml:space="preserve">Уведомление о проведении экспертизы на </w:t>
                              </w:r>
                              <w:r>
                                <w:rPr>
                                  <w:sz w:val="24"/>
                                  <w:lang w:val="en-US"/>
                                </w:rPr>
                                <w:t>www</w:t>
                              </w:r>
                              <w:r w:rsidRPr="006F7787">
                                <w:rPr>
                                  <w:sz w:val="24"/>
                                </w:rPr>
                                <w:t>.</w:t>
                              </w:r>
                              <w:r>
                                <w:rPr>
                                  <w:sz w:val="24"/>
                                  <w:lang w:val="en-US"/>
                                </w:rPr>
                                <w:t>economy</w:t>
                              </w:r>
                              <w:r w:rsidRPr="006F7787">
                                <w:rPr>
                                  <w:sz w:val="24"/>
                                </w:rPr>
                                <w:t>.</w:t>
                              </w:r>
                              <w:r>
                                <w:rPr>
                                  <w:sz w:val="24"/>
                                  <w:lang w:val="en-US"/>
                                </w:rPr>
                                <w:t>gov</w:t>
                              </w:r>
                              <w:r w:rsidRPr="006F7787">
                                <w:rPr>
                                  <w:sz w:val="24"/>
                                </w:rPr>
                                <w:t>.</w:t>
                              </w:r>
                              <w:r>
                                <w:rPr>
                                  <w:sz w:val="24"/>
                                  <w:lang w:val="en-US"/>
                                </w:rPr>
                                <w:t>ru</w:t>
                              </w:r>
                              <w:r w:rsidRPr="006F7787">
                                <w:rPr>
                                  <w:sz w:val="24"/>
                                </w:rPr>
                                <w:t>/</w:t>
                              </w:r>
                            </w:p>
                            <w:p w:rsidR="00C35DE6" w:rsidRPr="006F7787" w:rsidRDefault="00C35DE6" w:rsidP="00C35DE6">
                              <w:pPr>
                                <w:jc w:val="center"/>
                                <w:rPr>
                                  <w:sz w:val="24"/>
                                  <w:lang w:val="en-US"/>
                                </w:rPr>
                              </w:pPr>
                              <w:r>
                                <w:rPr>
                                  <w:sz w:val="24"/>
                                </w:rPr>
                                <w:t>Публичные консультации</w:t>
                              </w:r>
                              <w:r>
                                <w:rPr>
                                  <w:sz w:val="24"/>
                                  <w:lang w:val="en-US"/>
                                </w:rPr>
                                <w:t xml:space="preserve"> (1 </w:t>
                              </w:r>
                              <w:r>
                                <w:rPr>
                                  <w:sz w:val="24"/>
                                </w:rPr>
                                <w:t>месяц</w:t>
                              </w:r>
                              <w:r>
                                <w:rPr>
                                  <w:sz w:val="24"/>
                                  <w:lang w:val="en-US"/>
                                </w:rPr>
                                <w:t xml:space="preserve">) </w:t>
                              </w:r>
                            </w:p>
                          </w:txbxContent>
                        </wps:txbx>
                        <wps:bodyPr rot="0" vert="horz" wrap="square" lIns="91440" tIns="45720" rIns="91440" bIns="45720" anchor="t" anchorCtr="0" upright="1">
                          <a:noAutofit/>
                        </wps:bodyPr>
                      </wps:wsp>
                      <wps:wsp>
                        <wps:cNvPr id="320" name="AutoShape 367"/>
                        <wps:cNvCnPr>
                          <a:cxnSpLocks noChangeShapeType="1"/>
                          <a:stCxn id="316" idx="2"/>
                          <a:endCxn id="319" idx="0"/>
                        </wps:cNvCnPr>
                        <wps:spPr bwMode="auto">
                          <a:xfrm flipH="1">
                            <a:off x="1401775" y="384491"/>
                            <a:ext cx="1603915" cy="665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AutoShape 368"/>
                        <wps:cNvCnPr>
                          <a:cxnSpLocks noChangeShapeType="1"/>
                          <a:stCxn id="316" idx="2"/>
                          <a:endCxn id="318" idx="0"/>
                        </wps:cNvCnPr>
                        <wps:spPr bwMode="auto">
                          <a:xfrm>
                            <a:off x="3005690" y="384491"/>
                            <a:ext cx="1532960" cy="4628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2" name="AutoShape 369"/>
                        <wps:cNvSpPr>
                          <a:spLocks/>
                        </wps:cNvSpPr>
                        <wps:spPr bwMode="auto">
                          <a:xfrm rot="5400000">
                            <a:off x="2381112" y="-381937"/>
                            <a:ext cx="496702" cy="4618680"/>
                          </a:xfrm>
                          <a:prstGeom prst="rightBrace">
                            <a:avLst>
                              <a:gd name="adj1" fmla="val 77492"/>
                              <a:gd name="adj2" fmla="val 81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Text Box 370"/>
                        <wps:cNvSpPr txBox="1">
                          <a:spLocks noChangeArrowheads="1"/>
                        </wps:cNvSpPr>
                        <wps:spPr bwMode="auto">
                          <a:xfrm>
                            <a:off x="2088224" y="2175755"/>
                            <a:ext cx="1401775" cy="542907"/>
                          </a:xfrm>
                          <a:prstGeom prst="rect">
                            <a:avLst/>
                          </a:prstGeom>
                          <a:solidFill>
                            <a:srgbClr val="FFFFFF"/>
                          </a:solidFill>
                          <a:ln w="9525">
                            <a:solidFill>
                              <a:srgbClr val="000000"/>
                            </a:solidFill>
                            <a:miter lim="800000"/>
                            <a:headEnd/>
                            <a:tailEnd/>
                          </a:ln>
                        </wps:spPr>
                        <wps:txbx>
                          <w:txbxContent>
                            <w:p w:rsidR="00C35DE6" w:rsidRDefault="00C35DE6" w:rsidP="00C35DE6">
                              <w:pPr>
                                <w:jc w:val="center"/>
                                <w:rPr>
                                  <w:sz w:val="24"/>
                                </w:rPr>
                              </w:pPr>
                              <w:r>
                                <w:rPr>
                                  <w:sz w:val="24"/>
                                </w:rPr>
                                <w:t xml:space="preserve">Публичные </w:t>
                              </w:r>
                            </w:p>
                            <w:p w:rsidR="00C35DE6" w:rsidRPr="009853BF" w:rsidRDefault="00C35DE6" w:rsidP="00C35DE6">
                              <w:pPr>
                                <w:jc w:val="center"/>
                                <w:rPr>
                                  <w:sz w:val="24"/>
                                </w:rPr>
                              </w:pPr>
                              <w:r>
                                <w:rPr>
                                  <w:sz w:val="24"/>
                                </w:rPr>
                                <w:t>консультации</w:t>
                              </w:r>
                            </w:p>
                          </w:txbxContent>
                        </wps:txbx>
                        <wps:bodyPr rot="0" vert="horz" wrap="square" lIns="91440" tIns="45720" rIns="91440" bIns="45720" anchor="t" anchorCtr="0" upright="1">
                          <a:noAutofit/>
                        </wps:bodyPr>
                      </wps:wsp>
                      <wps:wsp>
                        <wps:cNvPr id="324" name="Text Box 371"/>
                        <wps:cNvSpPr txBox="1">
                          <a:spLocks noChangeArrowheads="1"/>
                        </wps:cNvSpPr>
                        <wps:spPr bwMode="auto">
                          <a:xfrm>
                            <a:off x="4246579" y="2175755"/>
                            <a:ext cx="1403425" cy="542907"/>
                          </a:xfrm>
                          <a:prstGeom prst="rect">
                            <a:avLst/>
                          </a:prstGeom>
                          <a:solidFill>
                            <a:srgbClr val="FFFFFF"/>
                          </a:solidFill>
                          <a:ln w="9525">
                            <a:solidFill>
                              <a:srgbClr val="000000"/>
                            </a:solidFill>
                            <a:miter lim="800000"/>
                            <a:headEnd/>
                            <a:tailEnd/>
                          </a:ln>
                        </wps:spPr>
                        <wps:txbx>
                          <w:txbxContent>
                            <w:p w:rsidR="00C35DE6" w:rsidRPr="009853BF" w:rsidRDefault="00C35DE6" w:rsidP="00C35DE6">
                              <w:pPr>
                                <w:jc w:val="center"/>
                                <w:rPr>
                                  <w:sz w:val="24"/>
                                </w:rPr>
                              </w:pPr>
                              <w:r>
                                <w:rPr>
                                  <w:sz w:val="24"/>
                                </w:rPr>
                                <w:t>ЗАКЛЮЧЕНИЕ</w:t>
                              </w:r>
                            </w:p>
                          </w:txbxContent>
                        </wps:txbx>
                        <wps:bodyPr rot="0" vert="horz" wrap="square" lIns="91440" tIns="45720" rIns="91440" bIns="45720" anchor="t" anchorCtr="0" upright="1">
                          <a:noAutofit/>
                        </wps:bodyPr>
                      </wps:wsp>
                      <wps:wsp>
                        <wps:cNvPr id="325" name="AutoShape 372"/>
                        <wps:cNvSpPr>
                          <a:spLocks noChangeArrowheads="1"/>
                        </wps:cNvSpPr>
                        <wps:spPr bwMode="auto">
                          <a:xfrm>
                            <a:off x="1401775" y="2362225"/>
                            <a:ext cx="686449" cy="178219"/>
                          </a:xfrm>
                          <a:prstGeom prst="rightArrow">
                            <a:avLst>
                              <a:gd name="adj1" fmla="val 50000"/>
                              <a:gd name="adj2" fmla="val 962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6" name="AutoShape 373"/>
                        <wps:cNvSpPr>
                          <a:spLocks noChangeArrowheads="1"/>
                        </wps:cNvSpPr>
                        <wps:spPr bwMode="auto">
                          <a:xfrm>
                            <a:off x="3490000" y="2335822"/>
                            <a:ext cx="756579" cy="179044"/>
                          </a:xfrm>
                          <a:prstGeom prst="rightArrow">
                            <a:avLst>
                              <a:gd name="adj1" fmla="val 50000"/>
                              <a:gd name="adj2" fmla="val 10564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207720A" id="Полотно 361" o:spid="_x0000_s1026" editas="canvas" style="width:467.75pt;height:219.85pt;mso-position-horizontal-relative:char;mso-position-vertical-relative:line" coordsize="59404,2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27920;visibility:visible;mso-wrap-style:square">
                  <v:fill o:detectmouseclick="t"/>
                  <v:path o:connecttype="none"/>
                </v:shape>
                <v:shapetype id="_x0000_t202" coordsize="21600,21600" o:spt="202" path="m,l,21600r21600,l21600,xe">
                  <v:stroke joinstyle="miter"/>
                  <v:path gradientshapeok="t" o:connecttype="rect"/>
                </v:shapetype>
                <v:shape id="Text Box 363" o:spid="_x0000_s1028" type="#_x0000_t202" style="position:absolute;left:16030;width:28036;height:3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">
                  <v:textbox>
                    <w:txbxContent>
                      <w:p w:rsidR="00C35DE6" w:rsidRPr="009853BF" w:rsidRDefault="00C35DE6" w:rsidP="00C35DE6">
                        <w:pPr>
                          <w:jc w:val="center"/>
                          <w:rPr>
                            <w:sz w:val="24"/>
                          </w:rPr>
                        </w:pPr>
                        <w:r>
                          <w:rPr>
                            <w:sz w:val="24"/>
                          </w:rPr>
                          <w:t>Минэкономразвития России</w:t>
                        </w:r>
                      </w:p>
                    </w:txbxContent>
                  </v:textbox>
                </v:shape>
                <v:shape id="Text Box 364" o:spid="_x0000_s1029" type="#_x0000_t202" style="position:absolute;top:21757;width:1401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">
                  <v:textbox>
                    <w:txbxContent>
                      <w:p w:rsidR="00C35DE6" w:rsidRDefault="00C35DE6" w:rsidP="00C35DE6">
                        <w:pPr>
                          <w:jc w:val="center"/>
                          <w:rPr>
                            <w:sz w:val="24"/>
                          </w:rPr>
                        </w:pPr>
                        <w:r>
                          <w:rPr>
                            <w:sz w:val="24"/>
                          </w:rPr>
                          <w:t xml:space="preserve">Проект </w:t>
                        </w:r>
                      </w:p>
                      <w:p w:rsidR="00C35DE6" w:rsidRPr="009853BF" w:rsidRDefault="00C35DE6" w:rsidP="00C35DE6">
                        <w:pPr>
                          <w:jc w:val="center"/>
                          <w:rPr>
                            <w:sz w:val="24"/>
                          </w:rPr>
                        </w:pPr>
                        <w:r>
                          <w:rPr>
                            <w:sz w:val="24"/>
                          </w:rPr>
                          <w:t>заключения</w:t>
                        </w:r>
                      </w:p>
                    </w:txbxContent>
                  </v:textbox>
                </v:shape>
                <v:shape id="Text Box 365" o:spid="_x0000_s1030" type="#_x0000_t202" style="position:absolute;left:31368;top:8473;width:28036;height:8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">
                  <v:textbox>
                    <w:txbxContent>
                      <w:p w:rsidR="00C35DE6" w:rsidRPr="009853BF" w:rsidRDefault="00C35DE6" w:rsidP="00C35DE6">
                        <w:pPr>
                          <w:jc w:val="center"/>
                          <w:rPr>
                            <w:sz w:val="24"/>
                          </w:rPr>
                        </w:pPr>
                        <w:r>
                          <w:rPr>
                            <w:sz w:val="24"/>
                          </w:rPr>
                          <w:t>Запрос информационно-аналитических материалов от: ФОИВ-разработчика, бизнес-сообщества, заинтересованных лиц</w:t>
                        </w:r>
                      </w:p>
                    </w:txbxContent>
                  </v:textbox>
                </v:shape>
                <v:shape id="Text Box 366" o:spid="_x0000_s1031" type="#_x0000_t202" style="position:absolute;top:10495;width:28035;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">
                  <v:textbox>
                    <w:txbxContent>
                      <w:p w:rsidR="00C35DE6" w:rsidRPr="006F7787" w:rsidRDefault="00C35DE6" w:rsidP="00C35DE6">
                        <w:pPr>
                          <w:jc w:val="center"/>
                          <w:rPr>
                            <w:sz w:val="24"/>
                          </w:rPr>
                        </w:pPr>
                        <w:r>
                          <w:rPr>
                            <w:sz w:val="24"/>
                          </w:rPr>
                          <w:t xml:space="preserve">Уведомление о проведении экспертизы на </w:t>
                        </w:r>
                        <w:r>
                          <w:rPr>
                            <w:sz w:val="24"/>
                            <w:lang w:val="en-US"/>
                          </w:rPr>
                          <w:t>www</w:t>
                        </w:r>
                        <w:r w:rsidRPr="006F7787">
                          <w:rPr>
                            <w:sz w:val="24"/>
                          </w:rPr>
                          <w:t>.</w:t>
                        </w:r>
                        <w:r>
                          <w:rPr>
                            <w:sz w:val="24"/>
                            <w:lang w:val="en-US"/>
                          </w:rPr>
                          <w:t>economy</w:t>
                        </w:r>
                        <w:r w:rsidRPr="006F7787">
                          <w:rPr>
                            <w:sz w:val="24"/>
                          </w:rPr>
                          <w:t>.</w:t>
                        </w:r>
                        <w:r>
                          <w:rPr>
                            <w:sz w:val="24"/>
                            <w:lang w:val="en-US"/>
                          </w:rPr>
                          <w:t>gov</w:t>
                        </w:r>
                        <w:r w:rsidRPr="006F7787">
                          <w:rPr>
                            <w:sz w:val="24"/>
                          </w:rPr>
                          <w:t>.</w:t>
                        </w:r>
                        <w:r>
                          <w:rPr>
                            <w:sz w:val="24"/>
                            <w:lang w:val="en-US"/>
                          </w:rPr>
                          <w:t>ru</w:t>
                        </w:r>
                        <w:r w:rsidRPr="006F7787">
                          <w:rPr>
                            <w:sz w:val="24"/>
                          </w:rPr>
                          <w:t>/</w:t>
                        </w:r>
                      </w:p>
                      <w:p w:rsidR="00C35DE6" w:rsidRPr="006F7787" w:rsidRDefault="00C35DE6" w:rsidP="00C35DE6">
                        <w:pPr>
                          <w:jc w:val="center"/>
                          <w:rPr>
                            <w:sz w:val="24"/>
                            <w:lang w:val="en-US"/>
                          </w:rPr>
                        </w:pPr>
                        <w:r>
                          <w:rPr>
                            <w:sz w:val="24"/>
                          </w:rPr>
                          <w:t>Публичные консультации</w:t>
                        </w:r>
                        <w:r>
                          <w:rPr>
                            <w:sz w:val="24"/>
                            <w:lang w:val="en-US"/>
                          </w:rPr>
                          <w:t xml:space="preserve"> (1 </w:t>
                        </w:r>
                        <w:r>
                          <w:rPr>
                            <w:sz w:val="24"/>
                          </w:rPr>
                          <w:t>месяц</w:t>
                        </w:r>
                        <w:r>
                          <w:rPr>
                            <w:sz w:val="24"/>
                            <w:lang w:val="en-US"/>
                          </w:rPr>
                          <w:t xml:space="preserve">) </w:t>
                        </w:r>
                      </w:p>
                    </w:txbxContent>
                  </v:textbox>
                </v:shape>
                <v:shapetype id="_x0000_t32" coordsize="21600,21600" o:spt="32" o:oned="t" path="m,l21600,21600e" filled="f">
                  <v:path arrowok="t" fillok="f" o:connecttype="none"/>
                  <o:lock v:ext="edit" shapetype="t"/>
                </v:shapetype>
                <v:shape id="AutoShape 367" o:spid="_x0000_s1032" type="#_x0000_t32" style="position:absolute;left:14017;top:3844;width:16039;height:66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">
                  <v:stroke endarrow="block"/>
                </v:shape>
                <v:shape id="AutoShape 368" o:spid="_x0000_s1033" type="#_x0000_t32" style="position:absolute;left:30056;top:3844;width:15330;height:4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">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9" o:spid="_x0000_s1034" type="#_x0000_t88" style="position:absolute;left:23811;top:-3820;width:4967;height:461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" adj=",17686"/>
                <v:shape id="Text Box 370" o:spid="_x0000_s1035" type="#_x0000_t202" style="position:absolute;left:20882;top:21757;width:1401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">
                  <v:textbox>
                    <w:txbxContent>
                      <w:p w:rsidR="00C35DE6" w:rsidRDefault="00C35DE6" w:rsidP="00C35DE6">
                        <w:pPr>
                          <w:jc w:val="center"/>
                          <w:rPr>
                            <w:sz w:val="24"/>
                          </w:rPr>
                        </w:pPr>
                        <w:r>
                          <w:rPr>
                            <w:sz w:val="24"/>
                          </w:rPr>
                          <w:t xml:space="preserve">Публичные </w:t>
                        </w:r>
                      </w:p>
                      <w:p w:rsidR="00C35DE6" w:rsidRPr="009853BF" w:rsidRDefault="00C35DE6" w:rsidP="00C35DE6">
                        <w:pPr>
                          <w:jc w:val="center"/>
                          <w:rPr>
                            <w:sz w:val="24"/>
                          </w:rPr>
                        </w:pPr>
                        <w:r>
                          <w:rPr>
                            <w:sz w:val="24"/>
                          </w:rPr>
                          <w:t>консультации</w:t>
                        </w:r>
                      </w:p>
                    </w:txbxContent>
                  </v:textbox>
                </v:shape>
                <v:shape id="Text Box 371" o:spid="_x0000_s1036" type="#_x0000_t202" style="position:absolute;left:42465;top:21757;width:14035;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">
                  <v:textbox>
                    <w:txbxContent>
                      <w:p w:rsidR="00C35DE6" w:rsidRPr="009853BF" w:rsidRDefault="00C35DE6" w:rsidP="00C35DE6">
                        <w:pPr>
                          <w:jc w:val="center"/>
                          <w:rPr>
                            <w:sz w:val="24"/>
                          </w:rPr>
                        </w:pPr>
                        <w:r>
                          <w:rPr>
                            <w:sz w:val="24"/>
                          </w:rPr>
                          <w:t>ЗАКЛЮЧЕНИЕ</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72" o:spid="_x0000_s1037" type="#_x0000_t13" style="position:absolute;left:14017;top:23622;width:6865;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"/>
                <v:shape id="AutoShape 373" o:spid="_x0000_s1038" type="#_x0000_t13" style="position:absolute;left:34900;top:23358;width:7565;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"/>
                <w10:anchorlock/>
              </v:group>
            </w:pict>
          </mc:Fallback>
        </mc:AlternateContent>
      </w:r>
      <w:r w:rsidRPr="00C35DE6">
        <w:rPr>
          <w:rFonts w:ascii="Times New Roman" w:eastAsia="Times New Roman" w:hAnsi="Times New Roman" w:cs="Times New Roman"/>
          <w:sz w:val="28"/>
          <w:szCs w:val="26"/>
          <w:shd w:val="clear" w:color="auto" w:fill="FFFFFF"/>
          <w:lang w:eastAsia="ru-RU"/>
        </w:rPr>
        <w:t>Рис. 1. Процедура проведения экспертизы [8]</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При подготовке проекта заключения Минэкономразвития РФ обращается с запросом о предоставлении необходимых информационно-аналитических материалов к разработчику акта и к другим заинтересованным сторонам (включая заявителей, которые обратились с просьбой о проведении экспертизы).</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Также Минэкономразвития РФ осуществляет методическое обеспечение проведения оценки регулирующего воздействия и экспертизы нормативно-правовых актов (приказ Минэкономразвития России от 26 марта 2014 г. № 159) [9]. Согласно данному Приказу, субъектам РФ рекомендуется несколько моделей проведения ОРВ – децентрализованная, централизованная и смешанная.</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Децентрализованная модель подразумевает, что процедуру ОРВ проводит  орган-разработчик, а уполномоченный орган готовит заключение. При этом и орган-разработчик и уполномоченный орган могут проводить публичные консультации с заинтересованными лицами.</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Централизованная модель подразумевает, что орган-разработчик осуществляет процедуру ОРВ без проведения публичных консультаций, их проводит уполномоченный орган, который также готовит заключение ОРВ.</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При смешанной модели проведения ОРВ используются элементы как первой, так и второй модели проведения ОРВ.</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lastRenderedPageBreak/>
        <w:t>В перечень вопросов для участников публичных консультаций рекомендуется включать вопросы следующего содержания:</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1. Предлагаемое регулирование является ли оптимальным способом решения проблемы?</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2. Какие риски могут возникнуть при принятии предлагаемого НПА?</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3. Какие преимущества и выгоды могут возникнуть при принятии НПА?</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4. Каково ваше общее мнение по предлагаемому регулированию?</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 и другие.</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Публичные консультации являются важнейшим элементом ОРВ. На них обсуждается проект НПА с заинтересованными лицами, включая предпринимательское сообщество, экспертов из разных областей экономики, представителями научных организаций. Их проведение регулируется Приказом Минэкономразвития России от 07.07.2015 N 454 "Об утверждении методики проведения публичных (общественных) консультаций (обсуждений)".</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Замечания, предложения, рекомендации, поступившие в ходе публичных консультаций, подлежат дальнейшему рассмотрению.</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Приказ Минэкономразвития России № 669 в сентябре 2015 г. утвердил также Методику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(федеральная методика оценки) [10]. Согласно данной методике при проведении процедуры ОРВ должны быть установлены положения, которые приводят к возникновению у субъектов предпринимательской деятельности расходов, которые связаны с необходимостью соблюдения установленных требований регулирования. При проведении количественной (монетарной) оценки таких расходов используется модель стандартных издержек.</w:t>
      </w: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sz w:val="28"/>
          <w:szCs w:val="28"/>
        </w:rPr>
        <w:t>Стандартные издержки состоят из содержательных и информационных издержек субъектов предпринимательской деятельности. Стандартные издержки рассчитываются как произведение затрачиваемого рабочего времени на действия по выполнению установленных государством требований и ставок заработной платы персонала, который занят реализацией требований НПА, а также они включают затраты на приобретение необходимых в соответствии с предлагаемым проектом НПА товаров, работ, услуг.</w:t>
      </w: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sz w:val="28"/>
          <w:szCs w:val="28"/>
        </w:rPr>
        <w:t>В информационные издержки включаются затраты по сбору, подготовке и представлению органам публичной власти документов по требованиям проекта НПА. В содержательные издержки включаются затраты по реализации положений проекта акта, не связанных с выполнением информационных требований.</w:t>
      </w: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sz w:val="28"/>
          <w:szCs w:val="28"/>
        </w:rPr>
        <w:t>В настоящее время многие субъекты РФ систематически проводят ОРВ – за 2017 г. регионами России подготовлено более 5000 заключений об ОРВ, 15% из которых – отрицательные [11].</w:t>
      </w:r>
    </w:p>
    <w:p w:rsidR="00C35DE6" w:rsidRPr="00C35DE6" w:rsidRDefault="00C35DE6" w:rsidP="00C35D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35DE6">
        <w:rPr>
          <w:rFonts w:ascii="Times New Roman" w:eastAsia="Calibri" w:hAnsi="Times New Roman" w:cs="Times New Roman"/>
          <w:sz w:val="28"/>
          <w:szCs w:val="28"/>
        </w:rPr>
        <w:t xml:space="preserve">Минэкономразвития составляет рейтинги регионов по выполнению ОРВ. В зависимости от количества набранных баллов, регионы делятся на 4 </w:t>
      </w:r>
      <w:r w:rsidRPr="00C35DE6">
        <w:rPr>
          <w:rFonts w:ascii="Times New Roman" w:eastAsia="Calibri" w:hAnsi="Times New Roman" w:cs="Times New Roman"/>
          <w:sz w:val="28"/>
          <w:szCs w:val="28"/>
        </w:rPr>
        <w:lastRenderedPageBreak/>
        <w:t>группы: «высший уровень» (от 80 до 100 баллов), «хороший уровень» (от 60 до 79 баллов), «удовлетворительный уровень» (от 40 до 59 баллов) и «неудовлетворительный уровень» (от 0 до 39 баллов). Рейтинги основаны на анализе правового закрепления и практическом опыте регионов РФ сфере ОРВ, его методическом и организационном сопровождении, внедрении ОРВ в органах местного самоуправления, а также на независимой оценке со стороны представителей бизнес-сообщества.</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b/>
          <w:sz w:val="28"/>
          <w:szCs w:val="28"/>
          <w:lang w:eastAsia="ru-RU"/>
        </w:rPr>
        <w:t>Выводы.</w:t>
      </w:r>
      <w:r w:rsidRPr="00C35DE6">
        <w:rPr>
          <w:rFonts w:ascii="Times New Roman" w:eastAsia="Times New Roman" w:hAnsi="Times New Roman" w:cs="Times New Roman"/>
          <w:b/>
          <w:sz w:val="28"/>
          <w:szCs w:val="26"/>
          <w:shd w:val="clear" w:color="auto" w:fill="FFFFFF"/>
          <w:lang w:eastAsia="ru-RU"/>
        </w:rPr>
        <w:t xml:space="preserve"> </w:t>
      </w:r>
      <w:r w:rsidRPr="00C35DE6">
        <w:rPr>
          <w:rFonts w:ascii="Times New Roman" w:eastAsia="Times New Roman" w:hAnsi="Times New Roman" w:cs="Times New Roman"/>
          <w:sz w:val="28"/>
          <w:szCs w:val="26"/>
          <w:shd w:val="clear" w:color="auto" w:fill="FFFFFF"/>
          <w:lang w:eastAsia="ru-RU"/>
        </w:rPr>
        <w:t>Институт оценки регулирующего воздействия является действенным инструментом донесения до органов власти позиции самых широких заинтересованных групп по вопросам осуществления предпринимательской деятельности. Процедура ОРВ рассматривается как один из ключевых элементов системы мер по улучшению качества правотворчества в целом.</w:t>
      </w:r>
    </w:p>
    <w:p w:rsidR="00C35DE6" w:rsidRPr="00C35DE6" w:rsidRDefault="00C35DE6" w:rsidP="00C35DE6">
      <w:pPr>
        <w:spacing w:after="0" w:line="240" w:lineRule="auto"/>
        <w:ind w:firstLine="709"/>
        <w:jc w:val="both"/>
        <w:rPr>
          <w:rFonts w:ascii="Times New Roman" w:eastAsia="Times New Roman" w:hAnsi="Times New Roman" w:cs="Times New Roman"/>
          <w:sz w:val="28"/>
          <w:szCs w:val="26"/>
          <w:shd w:val="clear" w:color="auto" w:fill="FFFFFF"/>
          <w:lang w:eastAsia="ru-RU"/>
        </w:rPr>
      </w:pPr>
      <w:r w:rsidRPr="00C35DE6">
        <w:rPr>
          <w:rFonts w:ascii="Times New Roman" w:eastAsia="Times New Roman" w:hAnsi="Times New Roman" w:cs="Times New Roman"/>
          <w:sz w:val="28"/>
          <w:szCs w:val="26"/>
          <w:shd w:val="clear" w:color="auto" w:fill="FFFFFF"/>
          <w:lang w:eastAsia="ru-RU"/>
        </w:rPr>
        <w:t>Оценка регулирующего воздействия является одним из реальных путей улучшения качества деловой инфраструктуры, повышения инвестиционной привлекательности и поднятия экономики регионов и государства.</w:t>
      </w:r>
    </w:p>
    <w:tbl>
      <w:tblPr>
        <w:tblStyle w:val="a3"/>
        <w:tblW w:w="488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
        <w:gridCol w:w="8618"/>
      </w:tblGrid>
      <w:tr w:rsidR="00C35DE6" w:rsidRPr="00C35DE6" w:rsidTr="002D53BD">
        <w:trPr>
          <w:jc w:val="center"/>
        </w:trPr>
        <w:tc>
          <w:tcPr>
            <w:tcW w:w="9621" w:type="dxa"/>
            <w:gridSpan w:val="2"/>
          </w:tcPr>
          <w:p w:rsidR="00C35DE6" w:rsidRPr="00C35DE6" w:rsidRDefault="00C35DE6" w:rsidP="00C35DE6">
            <w:pPr>
              <w:contextualSpacing/>
              <w:jc w:val="both"/>
              <w:rPr>
                <w:rFonts w:ascii="Times New Roman" w:eastAsia="Calibri" w:hAnsi="Times New Roman"/>
                <w:sz w:val="24"/>
                <w:szCs w:val="24"/>
              </w:rPr>
            </w:pPr>
          </w:p>
        </w:tc>
      </w:tr>
      <w:tr w:rsidR="00C35DE6" w:rsidRPr="00C35DE6" w:rsidTr="002D53BD">
        <w:trPr>
          <w:jc w:val="center"/>
        </w:trPr>
        <w:tc>
          <w:tcPr>
            <w:tcW w:w="9621" w:type="dxa"/>
            <w:gridSpan w:val="2"/>
          </w:tcPr>
          <w:p w:rsidR="00C35DE6" w:rsidRPr="00C35DE6" w:rsidRDefault="00C35DE6" w:rsidP="00C35DE6">
            <w:pPr>
              <w:ind w:firstLine="709"/>
              <w:jc w:val="center"/>
              <w:rPr>
                <w:rFonts w:ascii="Times New Roman" w:hAnsi="Times New Roman"/>
                <w:b/>
                <w:sz w:val="28"/>
                <w:szCs w:val="28"/>
              </w:rPr>
            </w:pPr>
            <w:r w:rsidRPr="00C35DE6">
              <w:rPr>
                <w:rFonts w:ascii="Times New Roman" w:hAnsi="Times New Roman"/>
                <w:b/>
                <w:sz w:val="28"/>
                <w:szCs w:val="28"/>
              </w:rPr>
              <w:t>Список литературы</w:t>
            </w:r>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Вакулюк Е.А. Методы оценки целесообразности введения нового регулирования в рамках института оценки регулирующего воздействия // Власть и управление на Востоке России. – 2017. - № 1. – С. 163-170.</w:t>
            </w:r>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p w:rsidR="00C35DE6" w:rsidRPr="00C35DE6" w:rsidRDefault="00C35DE6" w:rsidP="00C35DE6">
            <w:pPr>
              <w:ind w:firstLine="709"/>
              <w:jc w:val="both"/>
              <w:rPr>
                <w:rFonts w:ascii="Times New Roman" w:hAnsi="Times New Roman"/>
                <w:sz w:val="28"/>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Колегов В. В. Оценка регулирующего воздействия: опыт внедрения на региональном уровне  / В. В. Колегов // Государственное управлении. Электронный вестник. – 2013. – № 39. – Режим доступа: http://e-journal.spa.msu.ru/uploads/vestnik/2013/vipusk__39._avgust_2013_g./ gosudarstvennoe_regionalnoe_i_munizipalnoe_upravlenie/kolegov.pdf</w:t>
            </w:r>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Кочеткова С.А. Методологические подходы к оценке регулирующего воздействия / С.А. Кочеткова // Контентус. – 2016. - № 11. – С. 30-40.</w:t>
            </w:r>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Моисеева И.В. Внедрение системы оценки регулирующего воздействия: опыт стран европейского союза / И.В. Моисеева // Контентус. – 2016. - № 10. – С. 52-62.</w:t>
            </w:r>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 xml:space="preserve">Постановление Правительства РФ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 Консультант Плюс. – Режим доступа: </w:t>
            </w:r>
            <w:hyperlink r:id="rId6" w:history="1">
              <w:r w:rsidRPr="00C35DE6">
                <w:rPr>
                  <w:rFonts w:ascii="Times New Roman" w:eastAsia="Calibri" w:hAnsi="Times New Roman"/>
                  <w:sz w:val="24"/>
                  <w:szCs w:val="24"/>
                  <w:u w:val="single"/>
                </w:rPr>
                <w:t>http://www.consultant.ru/document/cons_doc_LAW_15490/</w:t>
              </w:r>
            </w:hyperlink>
            <w:r w:rsidRPr="00C35DE6">
              <w:rPr>
                <w:rFonts w:ascii="Times New Roman" w:eastAsia="Calibri" w:hAnsi="Times New Roman"/>
                <w:sz w:val="24"/>
                <w:szCs w:val="24"/>
              </w:rPr>
              <w:t xml:space="preserve"> </w:t>
            </w:r>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Приказ Минэкономразвития России № 534 от 30.09.2011 г. «Об образовании Консультативного совета по оценке регулирующего воздействия при Министерстве экономического развития Российской Федерации» // http://economy.gov.ru/minec/about/structure/depregulatinginfluence/doc20110930_016?presentationtemplate=m_activityFormDoc&amp;presentationtemplateid=239492004b74db87bf98bf77bb90350d</w:t>
            </w:r>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 xml:space="preserve">Приказ Минэкономразвития России от 9 ноября 2011 г. № 634 «Об утверждении порядка проведения экспертизы нормативных правовых актов федеральных органов исполнительной власти в целях выявления в них положений, необоснованно затрудняющих ведение предпринимательской и инвестиционной деятельности» // </w:t>
            </w:r>
            <w:r w:rsidRPr="00C35DE6">
              <w:rPr>
                <w:rFonts w:ascii="Times New Roman" w:eastAsia="Calibri" w:hAnsi="Times New Roman"/>
                <w:sz w:val="24"/>
                <w:szCs w:val="24"/>
                <w:shd w:val="clear" w:color="auto" w:fill="FFFFFF"/>
              </w:rPr>
              <w:t xml:space="preserve">economy.gov.ru/minec/resources/.../23579_301012.doc </w:t>
            </w:r>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 xml:space="preserve">Министерство экономического развития Российской Федерации: Оценка регулирующего воздействия  // </w:t>
            </w:r>
            <w:hyperlink r:id="rId7" w:history="1">
              <w:r w:rsidRPr="00C35DE6">
                <w:rPr>
                  <w:rFonts w:ascii="Times New Roman" w:eastAsia="Calibri" w:hAnsi="Times New Roman"/>
                  <w:sz w:val="24"/>
                  <w:szCs w:val="24"/>
                  <w:u w:val="single"/>
                </w:rPr>
                <w:t>http://orv.gov.ru/</w:t>
              </w:r>
            </w:hyperlink>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 xml:space="preserve">Приказ Минэкономразвития России от 26 марта 2014 г. № 159 «Методические рекомендации по организации и проведению процедуры оценки регулирующего </w:t>
            </w:r>
            <w:r w:rsidRPr="00C35DE6">
              <w:rPr>
                <w:rFonts w:ascii="Times New Roman" w:eastAsia="Calibri" w:hAnsi="Times New Roman"/>
                <w:sz w:val="24"/>
                <w:szCs w:val="24"/>
              </w:rPr>
              <w:lastRenderedPageBreak/>
              <w:t xml:space="preserve">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 // Консультант Плюс. – Режим доступа: </w:t>
            </w:r>
            <w:hyperlink r:id="rId8" w:history="1">
              <w:r w:rsidRPr="00C35DE6">
                <w:rPr>
                  <w:rFonts w:ascii="Times New Roman" w:hAnsi="Times New Roman"/>
                  <w:color w:val="0000FF"/>
                  <w:sz w:val="24"/>
                  <w:szCs w:val="24"/>
                  <w:u w:val="single"/>
                </w:rPr>
                <w:t>www.consultant.ru/document/</w:t>
              </w:r>
            </w:hyperlink>
            <w:r w:rsidRPr="00C35DE6">
              <w:rPr>
                <w:rFonts w:ascii="Times New Roman" w:hAnsi="Times New Roman"/>
                <w:sz w:val="24"/>
                <w:szCs w:val="24"/>
              </w:rPr>
              <w:t xml:space="preserve"> cons_doc_LAW_162537/</w:t>
            </w:r>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Приказ Минэкономразвития России от 22.09.2015 № 669 «Об утверждении методики оценки стандартных издержек субъектов предпринимательской и иной экономиче</w:t>
            </w:r>
            <w:r w:rsidRPr="00C35DE6">
              <w:rPr>
                <w:rFonts w:ascii="Times New Roman" w:eastAsia="Calibri" w:hAnsi="Times New Roman"/>
                <w:sz w:val="24"/>
                <w:szCs w:val="24"/>
              </w:rPr>
              <w:softHyphen/>
              <w:t xml:space="preserve">ской деятельности, возникающих в связи с исполнением требований регулирования» // Консультант Плюс. – Режим доступа:  </w:t>
            </w:r>
            <w:hyperlink r:id="rId9" w:history="1">
              <w:r w:rsidRPr="00C35DE6">
                <w:rPr>
                  <w:rFonts w:ascii="Times New Roman" w:eastAsia="Calibri" w:hAnsi="Times New Roman"/>
                  <w:sz w:val="24"/>
                  <w:szCs w:val="24"/>
                  <w:u w:val="single"/>
                  <w:shd w:val="clear" w:color="auto" w:fill="FFFFFF"/>
                </w:rPr>
                <w:t>www.consultant.ru/document/ cons_ doc_LAW_189207/</w:t>
              </w:r>
            </w:hyperlink>
            <w:r w:rsidRPr="00C35DE6">
              <w:rPr>
                <w:rFonts w:ascii="Times New Roman" w:eastAsia="Calibri" w:hAnsi="Times New Roman"/>
                <w:sz w:val="24"/>
                <w:szCs w:val="24"/>
                <w:shd w:val="clear" w:color="auto" w:fill="FFFFFF"/>
              </w:rPr>
              <w:t xml:space="preserve"> </w:t>
            </w:r>
          </w:p>
        </w:tc>
      </w:tr>
      <w:tr w:rsidR="00C35DE6" w:rsidRPr="00C35DE6" w:rsidTr="002D53BD">
        <w:trPr>
          <w:jc w:val="center"/>
        </w:trPr>
        <w:tc>
          <w:tcPr>
            <w:tcW w:w="532" w:type="dxa"/>
          </w:tcPr>
          <w:p w:rsidR="00C35DE6" w:rsidRPr="00C35DE6" w:rsidRDefault="00C35DE6" w:rsidP="00C35DE6">
            <w:pPr>
              <w:widowControl w:val="0"/>
              <w:numPr>
                <w:ilvl w:val="0"/>
                <w:numId w:val="2"/>
              </w:numPr>
              <w:contextualSpacing/>
              <w:jc w:val="both"/>
              <w:rPr>
                <w:rFonts w:ascii="Times New Roman" w:eastAsia="Calibri" w:hAnsi="Times New Roman"/>
                <w:sz w:val="24"/>
                <w:szCs w:val="24"/>
              </w:rPr>
            </w:pPr>
          </w:p>
        </w:tc>
        <w:tc>
          <w:tcPr>
            <w:tcW w:w="9089" w:type="dxa"/>
          </w:tcPr>
          <w:p w:rsidR="00C35DE6" w:rsidRPr="00C35DE6" w:rsidRDefault="00C35DE6" w:rsidP="00C35DE6">
            <w:pPr>
              <w:jc w:val="both"/>
              <w:rPr>
                <w:rFonts w:ascii="Times New Roman" w:eastAsia="Calibri" w:hAnsi="Times New Roman"/>
                <w:sz w:val="24"/>
                <w:szCs w:val="24"/>
              </w:rPr>
            </w:pPr>
            <w:r w:rsidRPr="00C35DE6">
              <w:rPr>
                <w:rFonts w:ascii="Times New Roman" w:eastAsia="Calibri" w:hAnsi="Times New Roman"/>
                <w:sz w:val="24"/>
                <w:szCs w:val="24"/>
              </w:rPr>
              <w:t xml:space="preserve">Доклад о развитии института оценки регулирующего воздействия в субъектах РФ в 2017 году // </w:t>
            </w:r>
            <w:hyperlink r:id="rId10" w:history="1">
              <w:r w:rsidRPr="00C35DE6">
                <w:rPr>
                  <w:rFonts w:ascii="Times New Roman" w:eastAsia="Calibri" w:hAnsi="Times New Roman"/>
                  <w:sz w:val="24"/>
                  <w:szCs w:val="24"/>
                </w:rPr>
                <w:t>http://orv.gov.ru/Files/GetFile?fileid=879aa464-a0c8-4ade-9a99-ec62fe07cec0</w:t>
              </w:r>
            </w:hyperlink>
          </w:p>
        </w:tc>
      </w:tr>
    </w:tbl>
    <w:p w:rsidR="00410842" w:rsidRDefault="00410842">
      <w:bookmarkStart w:id="2" w:name="_GoBack"/>
      <w:bookmarkEnd w:id="2"/>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17FCE"/>
    <w:multiLevelType w:val="hybridMultilevel"/>
    <w:tmpl w:val="509A9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1417F"/>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DB7D00"/>
    <w:multiLevelType w:val="hybridMultilevel"/>
    <w:tmpl w:val="69BE1B80"/>
    <w:lvl w:ilvl="0" w:tplc="04190011">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E6"/>
    <w:rsid w:val="00410842"/>
    <w:rsid w:val="00C35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41A4D-F7D7-477F-A1D8-843B89E0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DE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 TargetMode="External"/><Relationship Id="rId3" Type="http://schemas.openxmlformats.org/officeDocument/2006/relationships/settings" Target="settings.xml"/><Relationship Id="rId7" Type="http://schemas.openxmlformats.org/officeDocument/2006/relationships/hyperlink" Target="http://orv.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5490/" TargetMode="External"/><Relationship Id="rId11" Type="http://schemas.openxmlformats.org/officeDocument/2006/relationships/fontTable" Target="fontTable.xml"/><Relationship Id="rId5" Type="http://schemas.openxmlformats.org/officeDocument/2006/relationships/hyperlink" Target="https://ru.wikipedia.org/wiki/%D0%A4%D0%B8%D0%BD%D0%B0%D0%BD%D1%81%D0%BE%D0%B2%D0%BE-%D1%8D%D0%BA%D0%BE%D0%BD%D0%BE%D0%BC%D0%B8%D1%87%D0%B5%D1%81%D0%BA%D0%BE%D0%B5_%D0%BE%D0%B1%D0%BE%D1%81%D0%BD%D0%BE%D0%B2%D0%B0%D0%BD%D0%B8%D0%B5" TargetMode="External"/><Relationship Id="rId10" Type="http://schemas.openxmlformats.org/officeDocument/2006/relationships/hyperlink" Target="http://orv.gov.ru/Files/GetFile?fileid=879aa464-a0c8-4ade-9a99-ec62fe07cec0" TargetMode="External"/><Relationship Id="rId4" Type="http://schemas.openxmlformats.org/officeDocument/2006/relationships/webSettings" Target="webSettings.xml"/><Relationship Id="rId9" Type="http://schemas.openxmlformats.org/officeDocument/2006/relationships/hyperlink" Target="http://www.consultant.ru/document/cons_doc_LAW_189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2011</Words>
  <Characters>11464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2018-09-22T07:12:00Z</dcterms:created>
  <dcterms:modified xsi:type="dcterms:W3CDTF">2018-09-22T07:13:00Z</dcterms:modified>
</cp:coreProperties>
</file>