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4"/>
        <w:gridCol w:w="4988"/>
      </w:tblGrid>
      <w:tr w:rsidR="0029667B" w:rsidRPr="0029667B" w:rsidTr="002D53BD">
        <w:trPr>
          <w:jc w:val="center"/>
        </w:trPr>
        <w:tc>
          <w:tcPr>
            <w:tcW w:w="4192" w:type="dxa"/>
          </w:tcPr>
          <w:p w:rsidR="0029667B" w:rsidRPr="0029667B" w:rsidRDefault="0029667B" w:rsidP="0029667B">
            <w:pPr>
              <w:rPr>
                <w:rFonts w:ascii="Times New Roman" w:hAnsi="Times New Roman"/>
                <w:sz w:val="28"/>
                <w:szCs w:val="28"/>
              </w:rPr>
            </w:pPr>
            <w:r w:rsidRPr="0029667B">
              <w:rPr>
                <w:rFonts w:ascii="Times New Roman" w:hAnsi="Times New Roman"/>
                <w:b/>
                <w:sz w:val="28"/>
                <w:szCs w:val="28"/>
              </w:rPr>
              <w:t>УДК 338.242.2</w:t>
            </w:r>
          </w:p>
        </w:tc>
        <w:tc>
          <w:tcPr>
            <w:tcW w:w="5100" w:type="dxa"/>
            <w:tcMar>
              <w:left w:w="0" w:type="dxa"/>
              <w:right w:w="0" w:type="dxa"/>
            </w:tcMar>
          </w:tcPr>
          <w:p w:rsidR="0029667B" w:rsidRPr="0029667B" w:rsidRDefault="0029667B" w:rsidP="0029667B">
            <w:pPr>
              <w:widowControl w:val="0"/>
              <w:shd w:val="clear" w:color="auto" w:fill="FFFFFF"/>
              <w:rPr>
                <w:rFonts w:ascii="Times New Roman" w:hAnsi="Times New Roman"/>
                <w:sz w:val="28"/>
                <w:szCs w:val="28"/>
              </w:rPr>
            </w:pPr>
          </w:p>
        </w:tc>
      </w:tr>
      <w:tr w:rsidR="0029667B" w:rsidRPr="0029667B" w:rsidTr="002D53BD">
        <w:trPr>
          <w:jc w:val="center"/>
        </w:trPr>
        <w:tc>
          <w:tcPr>
            <w:tcW w:w="4192" w:type="dxa"/>
          </w:tcPr>
          <w:p w:rsidR="0029667B" w:rsidRPr="0029667B" w:rsidRDefault="0029667B" w:rsidP="0029667B">
            <w:pPr>
              <w:widowControl w:val="0"/>
              <w:jc w:val="right"/>
              <w:rPr>
                <w:rFonts w:ascii="Times New Roman" w:hAnsi="Times New Roman"/>
                <w:sz w:val="28"/>
                <w:szCs w:val="28"/>
              </w:rPr>
            </w:pPr>
          </w:p>
        </w:tc>
        <w:tc>
          <w:tcPr>
            <w:tcW w:w="5100" w:type="dxa"/>
            <w:tcMar>
              <w:left w:w="0" w:type="dxa"/>
              <w:right w:w="0" w:type="dxa"/>
            </w:tcMar>
          </w:tcPr>
          <w:p w:rsidR="0029667B" w:rsidRPr="0029667B" w:rsidRDefault="0029667B" w:rsidP="0029667B">
            <w:pPr>
              <w:jc w:val="both"/>
              <w:rPr>
                <w:rFonts w:ascii="Times New Roman" w:hAnsi="Times New Roman"/>
                <w:sz w:val="28"/>
                <w:szCs w:val="24"/>
              </w:rPr>
            </w:pPr>
            <w:bookmarkStart w:id="0" w:name="_Toc518846502"/>
            <w:r w:rsidRPr="0029667B">
              <w:rPr>
                <w:rFonts w:ascii="Times New Roman" w:hAnsi="Times New Roman"/>
                <w:b/>
                <w:bCs/>
                <w:sz w:val="28"/>
                <w:szCs w:val="28"/>
              </w:rPr>
              <w:t>Н.В. Романюк,</w:t>
            </w:r>
            <w:bookmarkEnd w:id="0"/>
            <w:r w:rsidRPr="0029667B">
              <w:rPr>
                <w:rFonts w:ascii="Times New Roman" w:hAnsi="Times New Roman"/>
                <w:sz w:val="28"/>
                <w:szCs w:val="24"/>
              </w:rPr>
              <w:t xml:space="preserve"> </w:t>
            </w:r>
            <w:r w:rsidRPr="0029667B">
              <w:rPr>
                <w:rFonts w:ascii="Times New Roman" w:hAnsi="Times New Roman"/>
                <w:i/>
                <w:sz w:val="28"/>
                <w:szCs w:val="24"/>
              </w:rPr>
              <w:t>к.э.н., доц.,</w:t>
            </w:r>
            <w:r w:rsidRPr="0029667B">
              <w:rPr>
                <w:rFonts w:ascii="Times New Roman" w:hAnsi="Times New Roman"/>
                <w:b/>
                <w:i/>
                <w:sz w:val="28"/>
                <w:szCs w:val="24"/>
              </w:rPr>
              <w:t xml:space="preserve"> </w:t>
            </w:r>
          </w:p>
          <w:p w:rsidR="0029667B" w:rsidRPr="0029667B" w:rsidRDefault="0029667B" w:rsidP="0029667B">
            <w:pPr>
              <w:numPr>
                <w:ilvl w:val="1"/>
                <w:numId w:val="0"/>
              </w:numPr>
              <w:tabs>
                <w:tab w:val="left" w:pos="709"/>
              </w:tabs>
              <w:suppressAutoHyphens/>
              <w:ind w:firstLine="709"/>
              <w:outlineLvl w:val="1"/>
              <w:rPr>
                <w:rFonts w:ascii="Times New Roman" w:hAnsi="Times New Roman"/>
                <w:b/>
                <w:bCs/>
                <w:sz w:val="28"/>
                <w:szCs w:val="28"/>
              </w:rPr>
            </w:pPr>
            <w:bookmarkStart w:id="1" w:name="_Toc518846503"/>
            <w:r w:rsidRPr="0029667B">
              <w:rPr>
                <w:rFonts w:ascii="Times New Roman" w:hAnsi="Times New Roman"/>
                <w:b/>
                <w:bCs/>
                <w:sz w:val="28"/>
                <w:szCs w:val="28"/>
              </w:rPr>
              <w:t>Н.Н. Сичко,</w:t>
            </w:r>
            <w:bookmarkEnd w:id="1"/>
            <w:r w:rsidRPr="0029667B">
              <w:rPr>
                <w:rFonts w:ascii="Times New Roman" w:hAnsi="Times New Roman"/>
                <w:b/>
                <w:bCs/>
                <w:sz w:val="28"/>
                <w:szCs w:val="28"/>
              </w:rPr>
              <w:t xml:space="preserve"> </w:t>
            </w:r>
          </w:p>
          <w:p w:rsidR="0029667B" w:rsidRPr="0029667B" w:rsidRDefault="0029667B" w:rsidP="0029667B">
            <w:pPr>
              <w:rPr>
                <w:rFonts w:ascii="Times New Roman" w:hAnsi="Times New Roman"/>
                <w:i/>
                <w:sz w:val="28"/>
                <w:szCs w:val="28"/>
              </w:rPr>
            </w:pPr>
            <w:r w:rsidRPr="0029667B">
              <w:rPr>
                <w:rFonts w:ascii="Times New Roman" w:hAnsi="Times New Roman"/>
                <w:i/>
                <w:sz w:val="28"/>
                <w:szCs w:val="28"/>
              </w:rPr>
              <w:t>ГОУ ВПО «Донецкий национальный технический университет»,</w:t>
            </w:r>
          </w:p>
          <w:p w:rsidR="0029667B" w:rsidRPr="0029667B" w:rsidRDefault="0029667B" w:rsidP="0029667B">
            <w:pPr>
              <w:jc w:val="both"/>
              <w:rPr>
                <w:rFonts w:ascii="Times New Roman" w:hAnsi="Times New Roman"/>
                <w:i/>
                <w:sz w:val="28"/>
                <w:szCs w:val="24"/>
              </w:rPr>
            </w:pPr>
            <w:r w:rsidRPr="0029667B">
              <w:rPr>
                <w:rFonts w:ascii="Times New Roman" w:hAnsi="Times New Roman"/>
                <w:i/>
                <w:sz w:val="28"/>
                <w:szCs w:val="28"/>
              </w:rPr>
              <w:t>г. Донецк, Донецкая Народная Республика</w:t>
            </w:r>
          </w:p>
          <w:p w:rsidR="0029667B" w:rsidRPr="0029667B" w:rsidRDefault="0029667B" w:rsidP="0029667B">
            <w:pPr>
              <w:numPr>
                <w:ilvl w:val="1"/>
                <w:numId w:val="0"/>
              </w:numPr>
              <w:tabs>
                <w:tab w:val="left" w:pos="709"/>
              </w:tabs>
              <w:suppressAutoHyphens/>
              <w:ind w:firstLine="709"/>
              <w:outlineLvl w:val="1"/>
              <w:rPr>
                <w:rFonts w:ascii="Times New Roman" w:hAnsi="Times New Roman"/>
                <w:b/>
                <w:bCs/>
                <w:sz w:val="28"/>
                <w:szCs w:val="28"/>
              </w:rPr>
            </w:pPr>
            <w:bookmarkStart w:id="2" w:name="_Toc518846504"/>
            <w:r w:rsidRPr="0029667B">
              <w:rPr>
                <w:rFonts w:ascii="Times New Roman" w:hAnsi="Times New Roman"/>
                <w:b/>
                <w:bCs/>
                <w:sz w:val="28"/>
                <w:szCs w:val="28"/>
              </w:rPr>
              <w:t>Е.А. Устинова</w:t>
            </w:r>
            <w:bookmarkEnd w:id="2"/>
            <w:r w:rsidRPr="0029667B">
              <w:rPr>
                <w:rFonts w:ascii="Times New Roman" w:hAnsi="Times New Roman"/>
                <w:b/>
                <w:bCs/>
                <w:sz w:val="28"/>
                <w:szCs w:val="28"/>
              </w:rPr>
              <w:t xml:space="preserve"> </w:t>
            </w:r>
          </w:p>
          <w:p w:rsidR="0029667B" w:rsidRPr="0029667B" w:rsidRDefault="0029667B" w:rsidP="0029667B">
            <w:pPr>
              <w:rPr>
                <w:rFonts w:ascii="Times New Roman" w:hAnsi="Times New Roman"/>
                <w:i/>
                <w:sz w:val="28"/>
                <w:szCs w:val="28"/>
                <w:shd w:val="clear" w:color="auto" w:fill="FFFFFF"/>
              </w:rPr>
            </w:pPr>
            <w:r w:rsidRPr="0029667B">
              <w:rPr>
                <w:rFonts w:ascii="Times New Roman" w:hAnsi="Times New Roman"/>
                <w:i/>
                <w:sz w:val="28"/>
                <w:szCs w:val="28"/>
                <w:shd w:val="clear" w:color="auto" w:fill="FFFFFF"/>
              </w:rPr>
              <w:t>«Санкт-Петербургский университет </w:t>
            </w:r>
            <w:r w:rsidRPr="0029667B">
              <w:rPr>
                <w:rFonts w:ascii="Times New Roman" w:hAnsi="Times New Roman"/>
                <w:i/>
                <w:sz w:val="28"/>
                <w:szCs w:val="28"/>
              </w:rPr>
              <w:br/>
            </w:r>
            <w:r w:rsidRPr="0029667B">
              <w:rPr>
                <w:rFonts w:ascii="Times New Roman" w:hAnsi="Times New Roman"/>
                <w:i/>
                <w:sz w:val="28"/>
                <w:szCs w:val="28"/>
                <w:shd w:val="clear" w:color="auto" w:fill="FFFFFF"/>
              </w:rPr>
              <w:t>технологий управления и экономики»,</w:t>
            </w:r>
          </w:p>
          <w:p w:rsidR="0029667B" w:rsidRPr="0029667B" w:rsidRDefault="0029667B" w:rsidP="0029667B">
            <w:pPr>
              <w:rPr>
                <w:rFonts w:ascii="Times New Roman" w:hAnsi="Times New Roman"/>
                <w:i/>
                <w:sz w:val="28"/>
                <w:szCs w:val="28"/>
              </w:rPr>
            </w:pPr>
            <w:r w:rsidRPr="0029667B">
              <w:rPr>
                <w:rFonts w:ascii="Times New Roman" w:hAnsi="Times New Roman"/>
                <w:i/>
                <w:sz w:val="28"/>
                <w:szCs w:val="28"/>
                <w:shd w:val="clear" w:color="auto" w:fill="FFFFFF"/>
              </w:rPr>
              <w:t>Санкт-Петербург, Россия</w:t>
            </w:r>
          </w:p>
          <w:p w:rsidR="0029667B" w:rsidRPr="0029667B" w:rsidRDefault="0029667B" w:rsidP="0029667B">
            <w:pPr>
              <w:rPr>
                <w:rFonts w:ascii="Times New Roman" w:hAnsi="Times New Roman"/>
                <w:i/>
                <w:sz w:val="28"/>
                <w:szCs w:val="28"/>
              </w:rPr>
            </w:pPr>
            <w:r w:rsidRPr="0029667B">
              <w:rPr>
                <w:rFonts w:ascii="Times New Roman" w:hAnsi="Times New Roman"/>
                <w:b/>
                <w:i/>
                <w:sz w:val="28"/>
                <w:szCs w:val="28"/>
                <w:lang w:val="en-US"/>
              </w:rPr>
              <w:t>N</w:t>
            </w:r>
            <w:r w:rsidRPr="0029667B">
              <w:rPr>
                <w:rFonts w:ascii="Times New Roman" w:hAnsi="Times New Roman"/>
                <w:b/>
                <w:i/>
                <w:sz w:val="28"/>
                <w:szCs w:val="28"/>
              </w:rPr>
              <w:t xml:space="preserve">. </w:t>
            </w:r>
            <w:r w:rsidRPr="0029667B">
              <w:rPr>
                <w:rFonts w:ascii="Times New Roman" w:hAnsi="Times New Roman"/>
                <w:b/>
                <w:i/>
                <w:sz w:val="28"/>
                <w:szCs w:val="28"/>
                <w:lang w:val="en-US"/>
              </w:rPr>
              <w:t>V</w:t>
            </w:r>
            <w:r w:rsidRPr="0029667B">
              <w:rPr>
                <w:rFonts w:ascii="Times New Roman" w:hAnsi="Times New Roman"/>
                <w:b/>
                <w:i/>
                <w:sz w:val="28"/>
                <w:szCs w:val="28"/>
              </w:rPr>
              <w:t xml:space="preserve">. </w:t>
            </w:r>
            <w:r w:rsidRPr="0029667B">
              <w:rPr>
                <w:rFonts w:ascii="Times New Roman" w:hAnsi="Times New Roman"/>
                <w:b/>
                <w:i/>
                <w:sz w:val="28"/>
                <w:szCs w:val="28"/>
                <w:lang w:val="en-US"/>
              </w:rPr>
              <w:t>Romanyuk</w:t>
            </w:r>
            <w:r w:rsidRPr="0029667B">
              <w:rPr>
                <w:rFonts w:ascii="Times New Roman" w:hAnsi="Times New Roman"/>
                <w:b/>
                <w:i/>
                <w:sz w:val="28"/>
                <w:szCs w:val="28"/>
              </w:rPr>
              <w:t>,</w:t>
            </w:r>
            <w:r w:rsidRPr="0029667B">
              <w:rPr>
                <w:rFonts w:ascii="Times New Roman" w:hAnsi="Times New Roman"/>
                <w:i/>
                <w:sz w:val="28"/>
                <w:szCs w:val="28"/>
              </w:rPr>
              <w:t xml:space="preserve"> </w:t>
            </w:r>
            <w:r w:rsidRPr="0029667B">
              <w:rPr>
                <w:rFonts w:ascii="Times New Roman" w:hAnsi="Times New Roman"/>
                <w:i/>
                <w:sz w:val="28"/>
                <w:szCs w:val="28"/>
                <w:lang w:val="en-US"/>
              </w:rPr>
              <w:t>assoc</w:t>
            </w:r>
            <w:r w:rsidRPr="0029667B">
              <w:rPr>
                <w:rFonts w:ascii="Times New Roman" w:hAnsi="Times New Roman"/>
                <w:i/>
                <w:sz w:val="28"/>
                <w:szCs w:val="28"/>
              </w:rPr>
              <w:t xml:space="preserve">., </w:t>
            </w:r>
            <w:r w:rsidRPr="0029667B">
              <w:rPr>
                <w:rFonts w:ascii="Times New Roman" w:hAnsi="Times New Roman"/>
                <w:i/>
                <w:sz w:val="28"/>
                <w:szCs w:val="28"/>
                <w:lang w:val="en-US"/>
              </w:rPr>
              <w:t>Ph</w:t>
            </w:r>
            <w:r w:rsidRPr="0029667B">
              <w:rPr>
                <w:rFonts w:ascii="Times New Roman" w:hAnsi="Times New Roman"/>
                <w:i/>
                <w:sz w:val="28"/>
                <w:szCs w:val="28"/>
              </w:rPr>
              <w:t xml:space="preserve">. </w:t>
            </w:r>
            <w:r w:rsidRPr="0029667B">
              <w:rPr>
                <w:rFonts w:ascii="Times New Roman" w:hAnsi="Times New Roman"/>
                <w:i/>
                <w:sz w:val="28"/>
                <w:szCs w:val="28"/>
                <w:lang w:val="en-US"/>
              </w:rPr>
              <w:t>D</w:t>
            </w:r>
            <w:r w:rsidRPr="0029667B">
              <w:rPr>
                <w:rFonts w:ascii="Times New Roman" w:hAnsi="Times New Roman"/>
                <w:i/>
                <w:sz w:val="28"/>
                <w:szCs w:val="28"/>
              </w:rPr>
              <w:t xml:space="preserve">., </w:t>
            </w:r>
          </w:p>
          <w:p w:rsidR="0029667B" w:rsidRPr="0029667B" w:rsidRDefault="0029667B" w:rsidP="0029667B">
            <w:pPr>
              <w:rPr>
                <w:rFonts w:ascii="Times New Roman" w:hAnsi="Times New Roman"/>
                <w:b/>
                <w:i/>
                <w:sz w:val="28"/>
                <w:szCs w:val="28"/>
                <w:lang w:val="en-US"/>
              </w:rPr>
            </w:pPr>
            <w:r w:rsidRPr="0029667B">
              <w:rPr>
                <w:rFonts w:ascii="Times New Roman" w:hAnsi="Times New Roman"/>
                <w:b/>
                <w:i/>
                <w:sz w:val="28"/>
                <w:szCs w:val="28"/>
                <w:lang w:val="en-US"/>
              </w:rPr>
              <w:t xml:space="preserve">N. N. Sichko </w:t>
            </w:r>
          </w:p>
          <w:p w:rsidR="0029667B" w:rsidRPr="0029667B" w:rsidRDefault="0029667B" w:rsidP="0029667B">
            <w:pPr>
              <w:rPr>
                <w:rFonts w:ascii="Times New Roman" w:hAnsi="Times New Roman"/>
                <w:i/>
                <w:sz w:val="28"/>
                <w:szCs w:val="28"/>
                <w:lang w:val="en-US"/>
              </w:rPr>
            </w:pPr>
            <w:r w:rsidRPr="0029667B">
              <w:rPr>
                <w:rFonts w:ascii="Times New Roman" w:hAnsi="Times New Roman"/>
                <w:i/>
                <w:sz w:val="28"/>
                <w:szCs w:val="28"/>
                <w:lang w:val="en-US"/>
              </w:rPr>
              <w:t>GOU VPO «Donetsk national Technical University»,</w:t>
            </w:r>
          </w:p>
          <w:p w:rsidR="0029667B" w:rsidRPr="0029667B" w:rsidRDefault="0029667B" w:rsidP="0029667B">
            <w:pPr>
              <w:jc w:val="both"/>
              <w:rPr>
                <w:rFonts w:ascii="Times New Roman" w:hAnsi="Times New Roman"/>
                <w:i/>
                <w:sz w:val="28"/>
                <w:szCs w:val="28"/>
                <w:lang w:val="en-US"/>
              </w:rPr>
            </w:pPr>
            <w:r w:rsidRPr="0029667B">
              <w:rPr>
                <w:rFonts w:ascii="Times New Roman" w:hAnsi="Times New Roman"/>
                <w:i/>
                <w:sz w:val="28"/>
                <w:szCs w:val="28"/>
                <w:lang w:val="en-US"/>
              </w:rPr>
              <w:t>Donetsk, Donetsk People's Republic</w:t>
            </w:r>
          </w:p>
          <w:p w:rsidR="0029667B" w:rsidRPr="0029667B" w:rsidRDefault="0029667B" w:rsidP="0029667B">
            <w:pPr>
              <w:rPr>
                <w:rFonts w:ascii="Times New Roman" w:hAnsi="Times New Roman"/>
                <w:b/>
                <w:i/>
                <w:sz w:val="28"/>
                <w:szCs w:val="28"/>
                <w:lang w:val="en-US"/>
              </w:rPr>
            </w:pPr>
            <w:r w:rsidRPr="0029667B">
              <w:rPr>
                <w:rFonts w:ascii="Times New Roman" w:hAnsi="Times New Roman"/>
                <w:b/>
                <w:i/>
                <w:sz w:val="28"/>
                <w:szCs w:val="28"/>
                <w:lang w:val="en-US"/>
              </w:rPr>
              <w:t>E.A. Ustinova</w:t>
            </w:r>
          </w:p>
          <w:p w:rsidR="0029667B" w:rsidRPr="0029667B" w:rsidRDefault="0029667B" w:rsidP="0029667B">
            <w:pPr>
              <w:rPr>
                <w:rFonts w:ascii="Times New Roman" w:hAnsi="Times New Roman"/>
                <w:i/>
                <w:sz w:val="28"/>
                <w:szCs w:val="28"/>
                <w:lang w:val="en-US"/>
              </w:rPr>
            </w:pPr>
            <w:r w:rsidRPr="0029667B">
              <w:rPr>
                <w:rFonts w:ascii="Times New Roman" w:hAnsi="Times New Roman"/>
                <w:i/>
                <w:sz w:val="28"/>
                <w:szCs w:val="28"/>
                <w:lang w:val="en-US"/>
              </w:rPr>
              <w:t>«St. Petersburg University technologies of management and economy»,</w:t>
            </w:r>
          </w:p>
          <w:p w:rsidR="0029667B" w:rsidRPr="0029667B" w:rsidRDefault="0029667B" w:rsidP="0029667B">
            <w:pPr>
              <w:rPr>
                <w:rFonts w:ascii="Times New Roman" w:hAnsi="Times New Roman"/>
                <w:sz w:val="28"/>
                <w:szCs w:val="28"/>
                <w:lang w:val="en-US"/>
              </w:rPr>
            </w:pPr>
            <w:r w:rsidRPr="0029667B">
              <w:rPr>
                <w:rFonts w:ascii="Times New Roman" w:hAnsi="Times New Roman"/>
                <w:i/>
                <w:sz w:val="28"/>
                <w:szCs w:val="28"/>
                <w:lang w:val="en-US"/>
              </w:rPr>
              <w:t>Saint Petersburg, Russia</w:t>
            </w:r>
          </w:p>
        </w:tc>
      </w:tr>
      <w:tr w:rsidR="0029667B" w:rsidRPr="0029667B" w:rsidTr="002D53BD">
        <w:trPr>
          <w:jc w:val="center"/>
        </w:trPr>
        <w:tc>
          <w:tcPr>
            <w:tcW w:w="4192" w:type="dxa"/>
          </w:tcPr>
          <w:p w:rsidR="0029667B" w:rsidRPr="0029667B" w:rsidRDefault="0029667B" w:rsidP="0029667B">
            <w:pPr>
              <w:keepNext/>
              <w:keepLines/>
              <w:ind w:hanging="28"/>
              <w:jc w:val="center"/>
              <w:outlineLvl w:val="0"/>
              <w:rPr>
                <w:rFonts w:ascii="Times New Roman" w:hAnsi="Times New Roman"/>
                <w:b/>
                <w:bCs/>
                <w:caps/>
                <w:sz w:val="28"/>
                <w:szCs w:val="28"/>
                <w:shd w:val="clear" w:color="auto" w:fill="FFFFFF"/>
              </w:rPr>
            </w:pPr>
          </w:p>
        </w:tc>
        <w:tc>
          <w:tcPr>
            <w:tcW w:w="5100" w:type="dxa"/>
          </w:tcPr>
          <w:p w:rsidR="0029667B" w:rsidRPr="0029667B" w:rsidRDefault="0029667B" w:rsidP="0029667B">
            <w:pPr>
              <w:widowControl w:val="0"/>
              <w:jc w:val="both"/>
              <w:rPr>
                <w:rFonts w:ascii="Times New Roman" w:hAnsi="Times New Roman"/>
                <w:sz w:val="28"/>
                <w:szCs w:val="24"/>
              </w:rPr>
            </w:pPr>
          </w:p>
        </w:tc>
      </w:tr>
      <w:tr w:rsidR="0029667B" w:rsidRPr="0029667B" w:rsidTr="002D53BD">
        <w:trPr>
          <w:jc w:val="center"/>
        </w:trPr>
        <w:tc>
          <w:tcPr>
            <w:tcW w:w="9292" w:type="dxa"/>
            <w:gridSpan w:val="2"/>
          </w:tcPr>
          <w:p w:rsidR="0029667B" w:rsidRPr="0029667B" w:rsidRDefault="0029667B" w:rsidP="0029667B">
            <w:pPr>
              <w:keepNext/>
              <w:keepLines/>
              <w:ind w:hanging="28"/>
              <w:jc w:val="center"/>
              <w:outlineLvl w:val="0"/>
              <w:rPr>
                <w:rFonts w:ascii="Times New Roman" w:hAnsi="Times New Roman"/>
                <w:b/>
                <w:bCs/>
                <w:caps/>
                <w:sz w:val="28"/>
                <w:szCs w:val="28"/>
                <w:shd w:val="clear" w:color="auto" w:fill="FFFFFF"/>
              </w:rPr>
            </w:pPr>
            <w:bookmarkStart w:id="3" w:name="_Toc518846505"/>
            <w:r w:rsidRPr="0029667B">
              <w:rPr>
                <w:rFonts w:ascii="Times New Roman" w:hAnsi="Times New Roman"/>
                <w:b/>
                <w:bCs/>
                <w:caps/>
                <w:sz w:val="28"/>
                <w:szCs w:val="28"/>
                <w:shd w:val="clear" w:color="auto" w:fill="FFFFFF"/>
              </w:rPr>
              <w:t>АНТИКРИЗИСНОЕ УПРАВЛЕНИЕ В СОВРЕМЕННЫХ УСЛОВИЯХ: ПРОБЛЕМЫ, НАПРАВЛЕНИЯ, РЕШЕНИЯ</w:t>
            </w:r>
            <w:bookmarkEnd w:id="3"/>
          </w:p>
        </w:tc>
      </w:tr>
      <w:tr w:rsidR="0029667B" w:rsidRPr="0029667B" w:rsidTr="002D53BD">
        <w:trPr>
          <w:jc w:val="center"/>
        </w:trPr>
        <w:tc>
          <w:tcPr>
            <w:tcW w:w="9292" w:type="dxa"/>
            <w:gridSpan w:val="2"/>
          </w:tcPr>
          <w:p w:rsidR="0029667B" w:rsidRPr="0029667B" w:rsidRDefault="0029667B" w:rsidP="0029667B">
            <w:pPr>
              <w:jc w:val="both"/>
              <w:rPr>
                <w:rFonts w:ascii="Times New Roman" w:hAnsi="Times New Roman"/>
                <w:sz w:val="28"/>
                <w:szCs w:val="24"/>
              </w:rPr>
            </w:pPr>
          </w:p>
        </w:tc>
      </w:tr>
      <w:tr w:rsidR="0029667B" w:rsidRPr="0029667B" w:rsidTr="002D53BD">
        <w:trPr>
          <w:jc w:val="center"/>
        </w:trPr>
        <w:tc>
          <w:tcPr>
            <w:tcW w:w="9292" w:type="dxa"/>
            <w:gridSpan w:val="2"/>
          </w:tcPr>
          <w:p w:rsidR="0029667B" w:rsidRPr="0029667B" w:rsidRDefault="0029667B" w:rsidP="0029667B">
            <w:pPr>
              <w:ind w:firstLine="41"/>
              <w:jc w:val="center"/>
              <w:rPr>
                <w:rFonts w:ascii="Times New Roman" w:hAnsi="Times New Roman"/>
                <w:b/>
                <w:sz w:val="28"/>
                <w:szCs w:val="28"/>
                <w:lang w:val="en-US"/>
              </w:rPr>
            </w:pPr>
            <w:r w:rsidRPr="0029667B">
              <w:rPr>
                <w:rFonts w:ascii="Times New Roman" w:hAnsi="Times New Roman"/>
                <w:b/>
                <w:sz w:val="28"/>
                <w:szCs w:val="28"/>
                <w:lang w:val="en-US"/>
              </w:rPr>
              <w:t>ANTI-RECESSIONARY MANAGEMENT IN MODERN CONDITIONS: PROBLEMS, TRENDS, SOLUTIONS</w:t>
            </w:r>
          </w:p>
        </w:tc>
      </w:tr>
    </w:tbl>
    <w:p w:rsidR="0029667B" w:rsidRPr="0029667B" w:rsidRDefault="0029667B" w:rsidP="0029667B">
      <w:pPr>
        <w:spacing w:after="0" w:line="240" w:lineRule="auto"/>
        <w:ind w:firstLine="709"/>
        <w:jc w:val="center"/>
        <w:rPr>
          <w:rFonts w:ascii="Times New Roman" w:eastAsia="Times New Roman" w:hAnsi="Times New Roman" w:cs="Times New Roman"/>
          <w:b/>
          <w:sz w:val="28"/>
          <w:szCs w:val="28"/>
          <w:lang w:val="en-US" w:eastAsia="ru-RU"/>
        </w:rPr>
      </w:pPr>
    </w:p>
    <w:p w:rsidR="0029667B" w:rsidRPr="0029667B" w:rsidRDefault="0029667B" w:rsidP="0029667B">
      <w:pPr>
        <w:spacing w:after="0" w:line="240" w:lineRule="auto"/>
        <w:ind w:firstLine="709"/>
        <w:jc w:val="both"/>
        <w:rPr>
          <w:rFonts w:ascii="Times New Roman" w:eastAsia="Times New Roman" w:hAnsi="Times New Roman" w:cs="Times New Roman"/>
          <w:i/>
          <w:sz w:val="24"/>
          <w:szCs w:val="24"/>
          <w:lang w:eastAsia="ru-RU"/>
        </w:rPr>
      </w:pPr>
      <w:r w:rsidRPr="0029667B">
        <w:rPr>
          <w:rFonts w:ascii="Times New Roman" w:eastAsia="Times New Roman" w:hAnsi="Times New Roman" w:cs="Times New Roman"/>
          <w:i/>
          <w:sz w:val="24"/>
          <w:szCs w:val="24"/>
          <w:lang w:eastAsia="ru-RU"/>
        </w:rPr>
        <w:t>Аннотация. В статье исследована основная проблема возникновения кризисных ситуаций на предприятии.  Выявлено актуальное для современных условий направление, оказывающее влияние на развитие кризисов. Для предотвращения кризисных ситуаций в системе управления предлагается учитывать причинно-следственные связи, формировать четкие задачи, применять адекватные управленческие инструменты.</w:t>
      </w:r>
    </w:p>
    <w:p w:rsidR="0029667B" w:rsidRPr="0029667B" w:rsidRDefault="0029667B" w:rsidP="0029667B">
      <w:pPr>
        <w:spacing w:after="0" w:line="240" w:lineRule="auto"/>
        <w:ind w:firstLine="709"/>
        <w:jc w:val="both"/>
        <w:rPr>
          <w:rFonts w:ascii="Times New Roman" w:eastAsia="Times New Roman" w:hAnsi="Times New Roman" w:cs="Times New Roman"/>
          <w:i/>
          <w:sz w:val="24"/>
          <w:szCs w:val="24"/>
          <w:lang w:eastAsia="ru-RU"/>
        </w:rPr>
      </w:pPr>
      <w:r w:rsidRPr="0029667B">
        <w:rPr>
          <w:rFonts w:ascii="Times New Roman" w:eastAsia="Times New Roman" w:hAnsi="Times New Roman" w:cs="Times New Roman"/>
          <w:i/>
          <w:sz w:val="24"/>
          <w:szCs w:val="24"/>
          <w:lang w:eastAsia="ru-RU"/>
        </w:rPr>
        <w:t>Ключевые слова: антикризисное управление; банкротство; кризис предприятия; институт банкротства; стратегия управления.</w:t>
      </w:r>
    </w:p>
    <w:p w:rsidR="0029667B" w:rsidRPr="0029667B" w:rsidRDefault="0029667B" w:rsidP="0029667B">
      <w:pPr>
        <w:spacing w:after="0" w:line="240" w:lineRule="auto"/>
        <w:ind w:firstLine="709"/>
        <w:jc w:val="both"/>
        <w:rPr>
          <w:rFonts w:ascii="Times New Roman" w:eastAsia="Times New Roman" w:hAnsi="Times New Roman" w:cs="Times New Roman"/>
          <w:i/>
          <w:sz w:val="28"/>
          <w:szCs w:val="24"/>
          <w:lang w:eastAsia="ru-RU"/>
        </w:rPr>
      </w:pPr>
    </w:p>
    <w:p w:rsidR="0029667B" w:rsidRPr="0029667B" w:rsidRDefault="0029667B" w:rsidP="0029667B">
      <w:pPr>
        <w:spacing w:after="0" w:line="240" w:lineRule="auto"/>
        <w:ind w:firstLine="709"/>
        <w:jc w:val="both"/>
        <w:rPr>
          <w:rFonts w:ascii="Times New Roman" w:eastAsia="Times New Roman" w:hAnsi="Times New Roman" w:cs="Times New Roman"/>
          <w:i/>
          <w:sz w:val="24"/>
          <w:szCs w:val="24"/>
          <w:lang w:val="en-US" w:eastAsia="ru-RU"/>
        </w:rPr>
      </w:pPr>
      <w:r w:rsidRPr="0029667B">
        <w:rPr>
          <w:rFonts w:ascii="Times New Roman" w:eastAsia="Times New Roman" w:hAnsi="Times New Roman" w:cs="Times New Roman"/>
          <w:i/>
          <w:sz w:val="24"/>
          <w:szCs w:val="24"/>
          <w:lang w:val="en-US" w:eastAsia="ru-RU"/>
        </w:rPr>
        <w:t>Abstract. The article studies the main problem of crisis situations at the enterprise.  The article reveals the current direction for modern conditions that influences the development of crises. To prevent crisis situations in the management system it is proposed to take into account the cause-and-effect relationships, to form clear objectives to use adequate management tools.</w:t>
      </w:r>
    </w:p>
    <w:p w:rsidR="0029667B" w:rsidRPr="0029667B" w:rsidRDefault="0029667B" w:rsidP="0029667B">
      <w:pPr>
        <w:spacing w:after="0" w:line="240" w:lineRule="auto"/>
        <w:ind w:firstLine="709"/>
        <w:jc w:val="both"/>
        <w:rPr>
          <w:rFonts w:ascii="Times New Roman" w:eastAsia="Times New Roman" w:hAnsi="Times New Roman" w:cs="Times New Roman"/>
          <w:i/>
          <w:sz w:val="24"/>
          <w:szCs w:val="24"/>
          <w:lang w:val="en-US" w:eastAsia="ru-RU"/>
        </w:rPr>
      </w:pPr>
      <w:r w:rsidRPr="0029667B">
        <w:rPr>
          <w:rFonts w:ascii="Times New Roman" w:eastAsia="Times New Roman" w:hAnsi="Times New Roman" w:cs="Times New Roman"/>
          <w:i/>
          <w:sz w:val="24"/>
          <w:szCs w:val="24"/>
          <w:lang w:val="en-US" w:eastAsia="ru-RU"/>
        </w:rPr>
        <w:t>Keywords: anti-crisis management; bankruptcy; enterprise crisis; institution of bankruptcy; management strategy.</w:t>
      </w:r>
    </w:p>
    <w:p w:rsidR="0029667B" w:rsidRPr="0029667B" w:rsidRDefault="0029667B" w:rsidP="0029667B">
      <w:pPr>
        <w:spacing w:after="0" w:line="240" w:lineRule="auto"/>
        <w:ind w:firstLine="709"/>
        <w:jc w:val="both"/>
        <w:rPr>
          <w:rFonts w:ascii="Times New Roman" w:eastAsia="Times New Roman" w:hAnsi="Times New Roman" w:cs="Times New Roman"/>
          <w:b/>
          <w:sz w:val="28"/>
          <w:szCs w:val="28"/>
          <w:lang w:val="en-US" w:eastAsia="ru-RU"/>
        </w:rPr>
      </w:pP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r w:rsidRPr="0029667B">
        <w:rPr>
          <w:rFonts w:ascii="Times New Roman" w:eastAsia="Times New Roman" w:hAnsi="Times New Roman" w:cs="Times New Roman"/>
          <w:b/>
          <w:sz w:val="28"/>
          <w:szCs w:val="28"/>
          <w:lang w:eastAsia="ru-RU"/>
        </w:rPr>
        <w:t>Постановка проблемы.</w:t>
      </w:r>
      <w:r w:rsidRPr="0029667B">
        <w:rPr>
          <w:rFonts w:ascii="Times New Roman" w:eastAsia="Times New Roman" w:hAnsi="Times New Roman" w:cs="Times New Roman"/>
          <w:sz w:val="28"/>
          <w:szCs w:val="28"/>
          <w:lang w:eastAsia="ru-RU"/>
        </w:rPr>
        <w:t xml:space="preserve"> Современная экономика характеризуется высокой степенью неопределенности, быстро изменяющейся внешней средой, колебаниями рыночной конъюнктуры, величиной издержек и прибыли. В сложной ситуации находится большое количество предприятий, когда расходы превышают доходы, предприятия становятся финансово неустойчивыми и неплатежеспособными, нарушается их деловая активность </w:t>
      </w:r>
      <w:r w:rsidRPr="0029667B">
        <w:rPr>
          <w:rFonts w:ascii="Times New Roman" w:eastAsia="Times New Roman" w:hAnsi="Times New Roman" w:cs="Times New Roman"/>
          <w:sz w:val="28"/>
          <w:szCs w:val="28"/>
          <w:lang w:eastAsia="ru-RU"/>
        </w:rPr>
        <w:lastRenderedPageBreak/>
        <w:t xml:space="preserve">и, как следствие, возникает кризисная ситуация, которая завершается их несостоятельностью и банкротством. Неотъемлемой частью рыночной экономики является институт банкротства. Он служит мощным стимулом эффективной работы предпринимательских структур, гарантируя одновременно экономические интересы кредиторов, а также государства как общего регулятора рынка. Основной задачей института банкротства выступает обеспечение устойчивого развития экономики, как государства, так и регионов за счет решения проблем платежеспособности в рамках проведения судебных разбирательств. Для решения таких проблем законодательством государств Российской Федерации и Донецкой Народной Республики предусмотрены процедуры банкротства. К ним относятся: финансовое оздоровление и внешнее управление, в том числе предусмотрены возможности переходов из ликвидационной процедуры в реабилитационную, зачастую данный процесс называют «периодом санации», что является чрезвычайно важным. </w:t>
      </w: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r w:rsidRPr="0029667B">
        <w:rPr>
          <w:rFonts w:ascii="Times New Roman" w:eastAsia="Times New Roman" w:hAnsi="Times New Roman" w:cs="Times New Roman"/>
          <w:b/>
          <w:sz w:val="28"/>
          <w:szCs w:val="28"/>
          <w:lang w:eastAsia="ru-RU"/>
        </w:rPr>
        <w:t xml:space="preserve">Анализ предыдущих исследований и публикаций. </w:t>
      </w:r>
      <w:r w:rsidRPr="0029667B">
        <w:rPr>
          <w:rFonts w:ascii="Times New Roman" w:eastAsia="Times New Roman" w:hAnsi="Times New Roman" w:cs="Times New Roman"/>
          <w:sz w:val="28"/>
          <w:szCs w:val="28"/>
          <w:lang w:eastAsia="ru-RU"/>
        </w:rPr>
        <w:t>Исследованием вопросов антикризисного управления посвящены работы как зарубежных, так и отечественных ученых, а именно В.И. Шарий отмечает, что основой социально-философских подходов в отношении конфликтных ситуаций и явлений, в том числе социальной напряженности является анализ социального противоречия [6]. С точки зрения структурно-функционального подхода данную тематику рассматривали зарубежные авторы П. Самуэльсон [9], Л. Козер [6], У. Ростоу [7], Кукуруз О. В. [10]</w:t>
      </w:r>
      <w:r w:rsidRPr="0029667B">
        <w:rPr>
          <w:rFonts w:ascii="Times New Roman" w:eastAsia="Times New Roman" w:hAnsi="Times New Roman" w:cs="Times New Roman"/>
          <w:sz w:val="24"/>
          <w:szCs w:val="24"/>
          <w:lang w:eastAsia="ru-RU"/>
        </w:rPr>
        <w:t xml:space="preserve"> </w:t>
      </w:r>
      <w:r w:rsidRPr="0029667B">
        <w:rPr>
          <w:rFonts w:ascii="Times New Roman" w:eastAsia="Times New Roman" w:hAnsi="Times New Roman" w:cs="Times New Roman"/>
          <w:sz w:val="28"/>
          <w:szCs w:val="28"/>
          <w:lang w:eastAsia="ru-RU"/>
        </w:rPr>
        <w:t xml:space="preserve">и многие другие. Вопросы преодоления кризисных явлений и их предотвращение в государственном управлении рассматривались в работах авторов А. А. Богданова[6], Е. Дюркгайма [8] и других. </w:t>
      </w: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r w:rsidRPr="0029667B">
        <w:rPr>
          <w:rFonts w:ascii="Times New Roman" w:eastAsia="Times New Roman" w:hAnsi="Times New Roman" w:cs="Times New Roman"/>
          <w:b/>
          <w:sz w:val="28"/>
          <w:szCs w:val="28"/>
          <w:lang w:eastAsia="ru-RU"/>
        </w:rPr>
        <w:t xml:space="preserve">Целью исследования </w:t>
      </w:r>
      <w:r w:rsidRPr="0029667B">
        <w:rPr>
          <w:rFonts w:ascii="Times New Roman" w:eastAsia="Times New Roman" w:hAnsi="Times New Roman" w:cs="Times New Roman"/>
          <w:sz w:val="28"/>
          <w:szCs w:val="28"/>
          <w:lang w:eastAsia="ru-RU"/>
        </w:rPr>
        <w:t xml:space="preserve">выступает исследование проблем, направления  антикризисного управления в современных условиях и формирование методов предотвращения выявленных проблем.  </w:t>
      </w: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r w:rsidRPr="0029667B">
        <w:rPr>
          <w:rFonts w:ascii="Times New Roman" w:eastAsia="Times New Roman" w:hAnsi="Times New Roman" w:cs="Times New Roman"/>
          <w:b/>
          <w:sz w:val="28"/>
          <w:szCs w:val="28"/>
          <w:lang w:eastAsia="ru-RU"/>
        </w:rPr>
        <w:t>Основные результаты исследования.</w:t>
      </w:r>
      <w:r w:rsidRPr="0029667B">
        <w:rPr>
          <w:rFonts w:ascii="Times New Roman" w:eastAsia="Times New Roman" w:hAnsi="Times New Roman" w:cs="Times New Roman"/>
          <w:sz w:val="28"/>
          <w:szCs w:val="28"/>
          <w:lang w:eastAsia="ru-RU"/>
        </w:rPr>
        <w:t xml:space="preserve"> Сложность современного управления экономическими процессами заключается в отсутствии понимания законодательных актов со стороны собственников предприятий, а именно: низкой юридической и социальной ответственностью, также неэффективного менеджмента. Результатом таких действий выступает возникновение финансовой неустойчивости, нарушения деловой активности и, как следствие, – банкротство. Данная проблема не только оказывает негативное влияние на развитие экономики, но и вносит искажения в работу государства на всех уровнях (-микро, -макро). </w:t>
      </w: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r w:rsidRPr="0029667B">
        <w:rPr>
          <w:rFonts w:ascii="Times New Roman" w:eastAsia="Times New Roman" w:hAnsi="Times New Roman" w:cs="Times New Roman"/>
          <w:sz w:val="28"/>
          <w:szCs w:val="28"/>
          <w:lang w:eastAsia="ru-RU"/>
        </w:rPr>
        <w:t xml:space="preserve">На основе анализа двадцатилетнего периода функционирования института банкротства, можно утверждать, что российская экономика искоренила десятки тысяч ликвидационных предприятий. </w:t>
      </w: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r w:rsidRPr="0029667B">
        <w:rPr>
          <w:rFonts w:ascii="Times New Roman" w:eastAsia="Times New Roman" w:hAnsi="Times New Roman" w:cs="Times New Roman"/>
          <w:sz w:val="28"/>
          <w:szCs w:val="28"/>
          <w:lang w:eastAsia="ru-RU"/>
        </w:rPr>
        <w:t xml:space="preserve">Причин, способствующих широкому распространению ликвидационной направленности института банкротства множество, было бы некорректно вменять данную вину исключительно арбитражным управляющим, они также несут ответственность за последствия для российской экономики, как и </w:t>
      </w:r>
      <w:r w:rsidRPr="0029667B">
        <w:rPr>
          <w:rFonts w:ascii="Times New Roman" w:eastAsia="Times New Roman" w:hAnsi="Times New Roman" w:cs="Times New Roman"/>
          <w:sz w:val="28"/>
          <w:szCs w:val="28"/>
          <w:lang w:eastAsia="ru-RU"/>
        </w:rPr>
        <w:lastRenderedPageBreak/>
        <w:t xml:space="preserve">экономики любых других государств. Арбитражные управляющие, в том числе, обеспокоены результатами своей деятельности и регламентируют, что разумным решением является предупреждение банкротства. </w:t>
      </w: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r w:rsidRPr="0029667B">
        <w:rPr>
          <w:rFonts w:ascii="Times New Roman" w:eastAsia="Times New Roman" w:hAnsi="Times New Roman" w:cs="Times New Roman"/>
          <w:sz w:val="28"/>
          <w:szCs w:val="28"/>
          <w:lang w:eastAsia="ru-RU"/>
        </w:rPr>
        <w:t>Анализ возникновения кризисных ситуаций и их причин свидетельствует о том, что их достаточное множество, однако в рамках данной статьи рассматриваются две их них – низкая юридическая и социальная ответственность собственников предприятий, а также неэффективный менеджмент, рис. 1.</w:t>
      </w: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r w:rsidRPr="0029667B">
        <w:rPr>
          <w:rFonts w:ascii="Times New Roman" w:eastAsia="Times New Roman" w:hAnsi="Times New Roman" w:cs="Times New Roman"/>
          <w:noProof/>
          <w:sz w:val="28"/>
          <w:szCs w:val="24"/>
          <w:lang w:eastAsia="ru-RU"/>
        </w:rPr>
        <mc:AlternateContent>
          <mc:Choice Requires="wpg">
            <w:drawing>
              <wp:anchor distT="0" distB="0" distL="114300" distR="114300" simplePos="0" relativeHeight="251659264" behindDoc="0" locked="0" layoutInCell="1" allowOverlap="1" wp14:anchorId="5F78ED34" wp14:editId="3D30D243">
                <wp:simplePos x="0" y="0"/>
                <wp:positionH relativeFrom="column">
                  <wp:posOffset>88265</wp:posOffset>
                </wp:positionH>
                <wp:positionV relativeFrom="paragraph">
                  <wp:posOffset>127635</wp:posOffset>
                </wp:positionV>
                <wp:extent cx="5870741" cy="4048117"/>
                <wp:effectExtent l="0" t="0" r="15875" b="10160"/>
                <wp:wrapNone/>
                <wp:docPr id="19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0741" cy="4048117"/>
                          <a:chOff x="2077" y="747"/>
                          <a:chExt cx="8532" cy="8479"/>
                        </a:xfrm>
                      </wpg:grpSpPr>
                      <wps:wsp>
                        <wps:cNvPr id="200" name="Rectangle 18"/>
                        <wps:cNvSpPr>
                          <a:spLocks noChangeArrowheads="1"/>
                        </wps:cNvSpPr>
                        <wps:spPr bwMode="auto">
                          <a:xfrm>
                            <a:off x="3646" y="747"/>
                            <a:ext cx="6111" cy="942"/>
                          </a:xfrm>
                          <a:prstGeom prst="rect">
                            <a:avLst/>
                          </a:prstGeom>
                          <a:solidFill>
                            <a:srgbClr val="FFFFFF"/>
                          </a:solidFill>
                          <a:ln w="9525">
                            <a:solidFill>
                              <a:srgbClr val="000000"/>
                            </a:solidFill>
                            <a:miter lim="800000"/>
                            <a:headEnd/>
                            <a:tailEnd/>
                          </a:ln>
                        </wps:spPr>
                        <wps:txbx>
                          <w:txbxContent>
                            <w:p w:rsidR="0029667B" w:rsidRPr="00C83FFE" w:rsidRDefault="0029667B" w:rsidP="0029667B">
                              <w:pPr>
                                <w:jc w:val="center"/>
                                <w:rPr>
                                  <w:sz w:val="24"/>
                                </w:rPr>
                              </w:pPr>
                              <w:r w:rsidRPr="00C83FFE">
                                <w:rPr>
                                  <w:sz w:val="24"/>
                                </w:rPr>
                                <w:t>НИЗКАЯ ЮРИДИЧЕСКАЯ И</w:t>
                              </w:r>
                            </w:p>
                            <w:p w:rsidR="0029667B" w:rsidRPr="00C83FFE" w:rsidRDefault="0029667B" w:rsidP="0029667B">
                              <w:pPr>
                                <w:jc w:val="center"/>
                                <w:rPr>
                                  <w:sz w:val="24"/>
                                </w:rPr>
                              </w:pPr>
                              <w:r w:rsidRPr="00C83FFE">
                                <w:rPr>
                                  <w:sz w:val="24"/>
                                </w:rPr>
                                <w:t>СОЦИАЛЬНАЯ ОТВЕТСТВЕННОСТЬ РУКОВОДИТЕЛЕЙ</w:t>
                              </w:r>
                            </w:p>
                            <w:p w:rsidR="0029667B" w:rsidRPr="00C83FFE" w:rsidRDefault="0029667B" w:rsidP="0029667B">
                              <w:pPr>
                                <w:jc w:val="center"/>
                                <w:rPr>
                                  <w:sz w:val="24"/>
                                </w:rPr>
                              </w:pPr>
                            </w:p>
                            <w:p w:rsidR="0029667B" w:rsidRPr="00C83FFE" w:rsidRDefault="0029667B" w:rsidP="0029667B">
                              <w:pPr>
                                <w:jc w:val="center"/>
                                <w:rPr>
                                  <w:sz w:val="24"/>
                                </w:rPr>
                              </w:pPr>
                            </w:p>
                          </w:txbxContent>
                        </wps:txbx>
                        <wps:bodyPr rot="0" vert="horz" wrap="square" lIns="91440" tIns="45720" rIns="91440" bIns="45720" anchor="t" anchorCtr="0" upright="1">
                          <a:noAutofit/>
                        </wps:bodyPr>
                      </wps:wsp>
                      <wps:wsp>
                        <wps:cNvPr id="201" name="Rectangle 19"/>
                        <wps:cNvSpPr>
                          <a:spLocks noChangeArrowheads="1"/>
                        </wps:cNvSpPr>
                        <wps:spPr bwMode="auto">
                          <a:xfrm>
                            <a:off x="2100" y="2407"/>
                            <a:ext cx="3299" cy="929"/>
                          </a:xfrm>
                          <a:prstGeom prst="rect">
                            <a:avLst/>
                          </a:prstGeom>
                          <a:solidFill>
                            <a:srgbClr val="FFFFFF"/>
                          </a:solidFill>
                          <a:ln w="9525">
                            <a:solidFill>
                              <a:srgbClr val="000000"/>
                            </a:solidFill>
                            <a:miter lim="800000"/>
                            <a:headEnd/>
                            <a:tailEnd/>
                          </a:ln>
                        </wps:spPr>
                        <wps:txbx>
                          <w:txbxContent>
                            <w:p w:rsidR="0029667B" w:rsidRPr="00C83FFE" w:rsidRDefault="0029667B" w:rsidP="0029667B">
                              <w:pPr>
                                <w:jc w:val="center"/>
                                <w:rPr>
                                  <w:sz w:val="24"/>
                                </w:rPr>
                              </w:pPr>
                              <w:r w:rsidRPr="00C83FFE">
                                <w:rPr>
                                  <w:sz w:val="24"/>
                                </w:rPr>
                                <w:t>Отсутствие эффективной стратегии управления</w:t>
                              </w:r>
                            </w:p>
                            <w:p w:rsidR="0029667B" w:rsidRPr="00C83FFE" w:rsidRDefault="0029667B" w:rsidP="0029667B">
                              <w:pPr>
                                <w:rPr>
                                  <w:sz w:val="24"/>
                                </w:rPr>
                              </w:pPr>
                            </w:p>
                          </w:txbxContent>
                        </wps:txbx>
                        <wps:bodyPr rot="0" vert="horz" wrap="square" lIns="91440" tIns="45720" rIns="91440" bIns="45720" anchor="t" anchorCtr="0" upright="1">
                          <a:noAutofit/>
                        </wps:bodyPr>
                      </wps:wsp>
                      <wps:wsp>
                        <wps:cNvPr id="202" name="Rectangle 20"/>
                        <wps:cNvSpPr>
                          <a:spLocks noChangeArrowheads="1"/>
                        </wps:cNvSpPr>
                        <wps:spPr bwMode="auto">
                          <a:xfrm>
                            <a:off x="6398" y="2407"/>
                            <a:ext cx="3445" cy="929"/>
                          </a:xfrm>
                          <a:prstGeom prst="rect">
                            <a:avLst/>
                          </a:prstGeom>
                          <a:solidFill>
                            <a:srgbClr val="FFFFFF"/>
                          </a:solidFill>
                          <a:ln w="9525">
                            <a:solidFill>
                              <a:srgbClr val="000000"/>
                            </a:solidFill>
                            <a:miter lim="800000"/>
                            <a:headEnd/>
                            <a:tailEnd/>
                          </a:ln>
                        </wps:spPr>
                        <wps:txbx>
                          <w:txbxContent>
                            <w:p w:rsidR="0029667B" w:rsidRPr="00C83FFE" w:rsidRDefault="0029667B" w:rsidP="0029667B">
                              <w:pPr>
                                <w:jc w:val="center"/>
                                <w:rPr>
                                  <w:b/>
                                  <w:sz w:val="24"/>
                                </w:rPr>
                              </w:pPr>
                              <w:r w:rsidRPr="00C83FFE">
                                <w:rPr>
                                  <w:sz w:val="24"/>
                                </w:rPr>
                                <w:t>Отсутствие мониторинга финансовой</w:t>
                              </w:r>
                              <w:r w:rsidRPr="00C83FFE">
                                <w:rPr>
                                  <w:b/>
                                  <w:sz w:val="24"/>
                                </w:rPr>
                                <w:t xml:space="preserve"> </w:t>
                              </w:r>
                              <w:r w:rsidRPr="00C83FFE">
                                <w:rPr>
                                  <w:sz w:val="24"/>
                                </w:rPr>
                                <w:t>устойчивости</w:t>
                              </w:r>
                            </w:p>
                            <w:p w:rsidR="0029667B" w:rsidRPr="00C83FFE" w:rsidRDefault="0029667B" w:rsidP="0029667B">
                              <w:pPr>
                                <w:rPr>
                                  <w:sz w:val="24"/>
                                </w:rPr>
                              </w:pPr>
                            </w:p>
                          </w:txbxContent>
                        </wps:txbx>
                        <wps:bodyPr rot="0" vert="horz" wrap="square" lIns="91440" tIns="45720" rIns="91440" bIns="45720" anchor="t" anchorCtr="0" upright="1">
                          <a:noAutofit/>
                        </wps:bodyPr>
                      </wps:wsp>
                      <wps:wsp>
                        <wps:cNvPr id="203" name="Rectangle 21"/>
                        <wps:cNvSpPr>
                          <a:spLocks noChangeArrowheads="1"/>
                        </wps:cNvSpPr>
                        <wps:spPr bwMode="auto">
                          <a:xfrm>
                            <a:off x="2077" y="4272"/>
                            <a:ext cx="3443" cy="2880"/>
                          </a:xfrm>
                          <a:prstGeom prst="rect">
                            <a:avLst/>
                          </a:prstGeom>
                          <a:solidFill>
                            <a:srgbClr val="FFFFFF"/>
                          </a:solidFill>
                          <a:ln w="9525">
                            <a:solidFill>
                              <a:srgbClr val="000000"/>
                            </a:solidFill>
                            <a:miter lim="800000"/>
                            <a:headEnd/>
                            <a:tailEnd/>
                          </a:ln>
                        </wps:spPr>
                        <wps:txbx>
                          <w:txbxContent>
                            <w:p w:rsidR="0029667B" w:rsidRPr="00C83FFE" w:rsidRDefault="0029667B" w:rsidP="0029667B">
                              <w:pPr>
                                <w:tabs>
                                  <w:tab w:val="left" w:pos="709"/>
                                </w:tabs>
                                <w:rPr>
                                  <w:sz w:val="24"/>
                                </w:rPr>
                              </w:pPr>
                              <w:r w:rsidRPr="00C83FFE">
                                <w:rPr>
                                  <w:sz w:val="24"/>
                                </w:rPr>
                                <w:t>- отсутствие применения антикризисных мер финансового оздоровления;</w:t>
                              </w:r>
                              <w:r w:rsidRPr="00C83FFE">
                                <w:rPr>
                                  <w:sz w:val="24"/>
                                </w:rPr>
                                <w:br/>
                                <w:t>- недооценка рисков развития компании;</w:t>
                              </w:r>
                            </w:p>
                            <w:p w:rsidR="0029667B" w:rsidRPr="00C83FFE" w:rsidRDefault="0029667B" w:rsidP="0029667B">
                              <w:pPr>
                                <w:rPr>
                                  <w:sz w:val="24"/>
                                </w:rPr>
                              </w:pPr>
                              <w:r w:rsidRPr="00C83FFE">
                                <w:rPr>
                                  <w:sz w:val="24"/>
                                </w:rPr>
                                <w:t>- несвоевременное профилактических мер.</w:t>
                              </w:r>
                            </w:p>
                            <w:p w:rsidR="0029667B" w:rsidRPr="00C83FFE" w:rsidRDefault="0029667B" w:rsidP="0029667B">
                              <w:pPr>
                                <w:rPr>
                                  <w:sz w:val="24"/>
                                </w:rPr>
                              </w:pPr>
                            </w:p>
                          </w:txbxContent>
                        </wps:txbx>
                        <wps:bodyPr rot="0" vert="horz" wrap="square" lIns="91440" tIns="45720" rIns="91440" bIns="45720" anchor="t" anchorCtr="0" upright="1">
                          <a:noAutofit/>
                        </wps:bodyPr>
                      </wps:wsp>
                      <wps:wsp>
                        <wps:cNvPr id="204" name="Rectangle 22"/>
                        <wps:cNvSpPr>
                          <a:spLocks noChangeArrowheads="1"/>
                        </wps:cNvSpPr>
                        <wps:spPr bwMode="auto">
                          <a:xfrm>
                            <a:off x="6398" y="4272"/>
                            <a:ext cx="4211" cy="4954"/>
                          </a:xfrm>
                          <a:prstGeom prst="rect">
                            <a:avLst/>
                          </a:prstGeom>
                          <a:solidFill>
                            <a:srgbClr val="FFFFFF"/>
                          </a:solidFill>
                          <a:ln w="9525">
                            <a:solidFill>
                              <a:srgbClr val="000000"/>
                            </a:solidFill>
                            <a:miter lim="800000"/>
                            <a:headEnd/>
                            <a:tailEnd/>
                          </a:ln>
                        </wps:spPr>
                        <wps:txbx>
                          <w:txbxContent>
                            <w:p w:rsidR="0029667B" w:rsidRPr="00C83FFE" w:rsidRDefault="0029667B" w:rsidP="0029667B">
                              <w:pPr>
                                <w:rPr>
                                  <w:sz w:val="24"/>
                                </w:rPr>
                              </w:pPr>
                              <w:r w:rsidRPr="00C83FFE">
                                <w:rPr>
                                  <w:sz w:val="24"/>
                                </w:rPr>
                                <w:t>- зависимость от отраслевых рынков;</w:t>
                              </w:r>
                            </w:p>
                            <w:p w:rsidR="0029667B" w:rsidRPr="00C83FFE" w:rsidRDefault="0029667B" w:rsidP="0029667B">
                              <w:pPr>
                                <w:rPr>
                                  <w:sz w:val="24"/>
                                </w:rPr>
                              </w:pPr>
                              <w:r w:rsidRPr="00C83FFE">
                                <w:rPr>
                                  <w:sz w:val="24"/>
                                </w:rPr>
                                <w:t>- слабые позиции на соответствующих сегментах рынка;</w:t>
                              </w:r>
                            </w:p>
                            <w:p w:rsidR="0029667B" w:rsidRPr="00C83FFE" w:rsidRDefault="0029667B" w:rsidP="0029667B">
                              <w:pPr>
                                <w:rPr>
                                  <w:sz w:val="24"/>
                                </w:rPr>
                              </w:pPr>
                              <w:r w:rsidRPr="00C83FFE">
                                <w:rPr>
                                  <w:sz w:val="24"/>
                                </w:rPr>
                                <w:t>- высокая зависимость от заемных источников финансирования;</w:t>
                              </w:r>
                            </w:p>
                            <w:p w:rsidR="0029667B" w:rsidRPr="00C83FFE" w:rsidRDefault="0029667B" w:rsidP="0029667B">
                              <w:pPr>
                                <w:rPr>
                                  <w:sz w:val="24"/>
                                </w:rPr>
                              </w:pPr>
                              <w:r w:rsidRPr="00C83FFE">
                                <w:rPr>
                                  <w:sz w:val="24"/>
                                </w:rPr>
                                <w:t>- экстенсивная стратегия развития;</w:t>
                              </w:r>
                            </w:p>
                            <w:p w:rsidR="0029667B" w:rsidRPr="00C83FFE" w:rsidRDefault="0029667B" w:rsidP="0029667B">
                              <w:pPr>
                                <w:rPr>
                                  <w:sz w:val="24"/>
                                </w:rPr>
                              </w:pPr>
                              <w:r w:rsidRPr="00C83FFE">
                                <w:rPr>
                                  <w:sz w:val="24"/>
                                </w:rPr>
                                <w:t>- низкая эффективность производства;</w:t>
                              </w:r>
                            </w:p>
                            <w:p w:rsidR="0029667B" w:rsidRPr="00C83FFE" w:rsidRDefault="0029667B" w:rsidP="0029667B">
                              <w:pPr>
                                <w:rPr>
                                  <w:sz w:val="24"/>
                                </w:rPr>
                              </w:pPr>
                              <w:r w:rsidRPr="00C83FFE">
                                <w:rPr>
                                  <w:sz w:val="24"/>
                                </w:rPr>
                                <w:t xml:space="preserve">- несбалансированность и зависимость от экспорта; </w:t>
                              </w:r>
                            </w:p>
                            <w:p w:rsidR="0029667B" w:rsidRPr="00C83FFE" w:rsidRDefault="0029667B" w:rsidP="0029667B">
                              <w:pPr>
                                <w:rPr>
                                  <w:sz w:val="24"/>
                                </w:rPr>
                              </w:pPr>
                              <w:r w:rsidRPr="00C83FFE">
                                <w:rPr>
                                  <w:sz w:val="24"/>
                                </w:rPr>
                                <w:t>- устаревшие технологии, физический и моральный износы</w:t>
                              </w:r>
                            </w:p>
                            <w:p w:rsidR="0029667B" w:rsidRPr="00C83FFE" w:rsidRDefault="0029667B" w:rsidP="0029667B">
                              <w:pPr>
                                <w:rPr>
                                  <w:sz w:val="24"/>
                                </w:rPr>
                              </w:pPr>
                              <w:r w:rsidRPr="00C83FFE">
                                <w:rPr>
                                  <w:sz w:val="24"/>
                                </w:rPr>
                                <w:t>- высокая себестоимость и низкая конкурентоспособность продукции.</w:t>
                              </w:r>
                            </w:p>
                          </w:txbxContent>
                        </wps:txbx>
                        <wps:bodyPr rot="0" vert="horz" wrap="square" lIns="91440" tIns="18000" rIns="91440" bIns="0" anchor="t" anchorCtr="0" upright="1">
                          <a:noAutofit/>
                        </wps:bodyPr>
                      </wps:wsp>
                      <wps:wsp>
                        <wps:cNvPr id="206" name="AutoShape 24"/>
                        <wps:cNvCnPr>
                          <a:cxnSpLocks noChangeShapeType="1"/>
                        </wps:cNvCnPr>
                        <wps:spPr bwMode="auto">
                          <a:xfrm rot="5400000">
                            <a:off x="7209" y="2062"/>
                            <a:ext cx="67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AutoShape 25"/>
                        <wps:cNvCnPr>
                          <a:cxnSpLocks noChangeShapeType="1"/>
                        </wps:cNvCnPr>
                        <wps:spPr bwMode="auto">
                          <a:xfrm rot="5400000">
                            <a:off x="2407" y="1167"/>
                            <a:ext cx="1440" cy="1039"/>
                          </a:xfrm>
                          <a:prstGeom prst="bentConnector3">
                            <a:avLst>
                              <a:gd name="adj1" fmla="val 1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8" name="AutoShape 27"/>
                        <wps:cNvCnPr>
                          <a:cxnSpLocks noChangeShapeType="1"/>
                        </wps:cNvCnPr>
                        <wps:spPr bwMode="auto">
                          <a:xfrm>
                            <a:off x="8458" y="3316"/>
                            <a:ext cx="0" cy="87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9" name="AutoShape 28"/>
                        <wps:cNvCnPr>
                          <a:cxnSpLocks noChangeShapeType="1"/>
                        </wps:cNvCnPr>
                        <wps:spPr bwMode="auto">
                          <a:xfrm>
                            <a:off x="3427" y="3317"/>
                            <a:ext cx="0" cy="8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78ED34" id="Group 29" o:spid="_x0000_s1026" style="position:absolute;left:0;text-align:left;margin-left:6.95pt;margin-top:10.05pt;width:462.25pt;height:318.75pt;z-index:251659264" coordorigin="2077,747" coordsize="8532,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">
                <v:rect id="Rectangle 18" o:spid="_x0000_s1027" style="position:absolute;left:3646;top:747;width:6111;height: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">
                  <v:textbox>
                    <w:txbxContent>
                      <w:p w:rsidR="0029667B" w:rsidRPr="00C83FFE" w:rsidRDefault="0029667B" w:rsidP="0029667B">
                        <w:pPr>
                          <w:jc w:val="center"/>
                          <w:rPr>
                            <w:sz w:val="24"/>
                          </w:rPr>
                        </w:pPr>
                        <w:r w:rsidRPr="00C83FFE">
                          <w:rPr>
                            <w:sz w:val="24"/>
                          </w:rPr>
                          <w:t>НИЗКАЯ ЮРИДИЧЕСКАЯ И</w:t>
                        </w:r>
                      </w:p>
                      <w:p w:rsidR="0029667B" w:rsidRPr="00C83FFE" w:rsidRDefault="0029667B" w:rsidP="0029667B">
                        <w:pPr>
                          <w:jc w:val="center"/>
                          <w:rPr>
                            <w:sz w:val="24"/>
                          </w:rPr>
                        </w:pPr>
                        <w:r w:rsidRPr="00C83FFE">
                          <w:rPr>
                            <w:sz w:val="24"/>
                          </w:rPr>
                          <w:t>СОЦИАЛЬНАЯ ОТВЕТСТВЕННОСТЬ РУКОВОДИТЕЛЕЙ</w:t>
                        </w:r>
                      </w:p>
                      <w:p w:rsidR="0029667B" w:rsidRPr="00C83FFE" w:rsidRDefault="0029667B" w:rsidP="0029667B">
                        <w:pPr>
                          <w:jc w:val="center"/>
                          <w:rPr>
                            <w:sz w:val="24"/>
                          </w:rPr>
                        </w:pPr>
                      </w:p>
                      <w:p w:rsidR="0029667B" w:rsidRPr="00C83FFE" w:rsidRDefault="0029667B" w:rsidP="0029667B">
                        <w:pPr>
                          <w:jc w:val="center"/>
                          <w:rPr>
                            <w:sz w:val="24"/>
                          </w:rPr>
                        </w:pPr>
                      </w:p>
                    </w:txbxContent>
                  </v:textbox>
                </v:rect>
                <v:rect id="Rectangle 19" o:spid="_x0000_s1028" style="position:absolute;left:2100;top:2407;width:3299;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textbox>
                    <w:txbxContent>
                      <w:p w:rsidR="0029667B" w:rsidRPr="00C83FFE" w:rsidRDefault="0029667B" w:rsidP="0029667B">
                        <w:pPr>
                          <w:jc w:val="center"/>
                          <w:rPr>
                            <w:sz w:val="24"/>
                          </w:rPr>
                        </w:pPr>
                        <w:r w:rsidRPr="00C83FFE">
                          <w:rPr>
                            <w:sz w:val="24"/>
                          </w:rPr>
                          <w:t>Отсутствие эффективной стратегии управления</w:t>
                        </w:r>
                      </w:p>
                      <w:p w:rsidR="0029667B" w:rsidRPr="00C83FFE" w:rsidRDefault="0029667B" w:rsidP="0029667B">
                        <w:pPr>
                          <w:rPr>
                            <w:sz w:val="24"/>
                          </w:rPr>
                        </w:pPr>
                      </w:p>
                    </w:txbxContent>
                  </v:textbox>
                </v:rect>
                <v:rect id="Rectangle 20" o:spid="_x0000_s1029" style="position:absolute;left:6398;top:2407;width:3445;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textbox>
                    <w:txbxContent>
                      <w:p w:rsidR="0029667B" w:rsidRPr="00C83FFE" w:rsidRDefault="0029667B" w:rsidP="0029667B">
                        <w:pPr>
                          <w:jc w:val="center"/>
                          <w:rPr>
                            <w:b/>
                            <w:sz w:val="24"/>
                          </w:rPr>
                        </w:pPr>
                        <w:r w:rsidRPr="00C83FFE">
                          <w:rPr>
                            <w:sz w:val="24"/>
                          </w:rPr>
                          <w:t>Отсутствие мониторинга финансовой</w:t>
                        </w:r>
                        <w:r w:rsidRPr="00C83FFE">
                          <w:rPr>
                            <w:b/>
                            <w:sz w:val="24"/>
                          </w:rPr>
                          <w:t xml:space="preserve"> </w:t>
                        </w:r>
                        <w:r w:rsidRPr="00C83FFE">
                          <w:rPr>
                            <w:sz w:val="24"/>
                          </w:rPr>
                          <w:t>устойчивости</w:t>
                        </w:r>
                      </w:p>
                      <w:p w:rsidR="0029667B" w:rsidRPr="00C83FFE" w:rsidRDefault="0029667B" w:rsidP="0029667B">
                        <w:pPr>
                          <w:rPr>
                            <w:sz w:val="24"/>
                          </w:rPr>
                        </w:pPr>
                      </w:p>
                    </w:txbxContent>
                  </v:textbox>
                </v:rect>
                <v:rect id="Rectangle 21" o:spid="_x0000_s1030" style="position:absolute;left:2077;top:4272;width:3443;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">
                  <v:textbox>
                    <w:txbxContent>
                      <w:p w:rsidR="0029667B" w:rsidRPr="00C83FFE" w:rsidRDefault="0029667B" w:rsidP="0029667B">
                        <w:pPr>
                          <w:tabs>
                            <w:tab w:val="left" w:pos="709"/>
                          </w:tabs>
                          <w:rPr>
                            <w:sz w:val="24"/>
                          </w:rPr>
                        </w:pPr>
                        <w:r w:rsidRPr="00C83FFE">
                          <w:rPr>
                            <w:sz w:val="24"/>
                          </w:rPr>
                          <w:t>- отсутствие применения антикризисных мер финансового оздоровления;</w:t>
                        </w:r>
                        <w:r w:rsidRPr="00C83FFE">
                          <w:rPr>
                            <w:sz w:val="24"/>
                          </w:rPr>
                          <w:br/>
                          <w:t>- недооценка рисков развития компании;</w:t>
                        </w:r>
                      </w:p>
                      <w:p w:rsidR="0029667B" w:rsidRPr="00C83FFE" w:rsidRDefault="0029667B" w:rsidP="0029667B">
                        <w:pPr>
                          <w:rPr>
                            <w:sz w:val="24"/>
                          </w:rPr>
                        </w:pPr>
                        <w:r w:rsidRPr="00C83FFE">
                          <w:rPr>
                            <w:sz w:val="24"/>
                          </w:rPr>
                          <w:t>- несвоевременное профилактических мер.</w:t>
                        </w:r>
                      </w:p>
                      <w:p w:rsidR="0029667B" w:rsidRPr="00C83FFE" w:rsidRDefault="0029667B" w:rsidP="0029667B">
                        <w:pPr>
                          <w:rPr>
                            <w:sz w:val="24"/>
                          </w:rPr>
                        </w:pPr>
                      </w:p>
                    </w:txbxContent>
                  </v:textbox>
                </v:rect>
                <v:rect id="Rectangle 22" o:spid="_x0000_s1031" style="position:absolute;left:6398;top:4272;width:4211;height: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">
                  <v:textbox inset=",.5mm,,0">
                    <w:txbxContent>
                      <w:p w:rsidR="0029667B" w:rsidRPr="00C83FFE" w:rsidRDefault="0029667B" w:rsidP="0029667B">
                        <w:pPr>
                          <w:rPr>
                            <w:sz w:val="24"/>
                          </w:rPr>
                        </w:pPr>
                        <w:r w:rsidRPr="00C83FFE">
                          <w:rPr>
                            <w:sz w:val="24"/>
                          </w:rPr>
                          <w:t>- зависимость от отраслевых рынков;</w:t>
                        </w:r>
                      </w:p>
                      <w:p w:rsidR="0029667B" w:rsidRPr="00C83FFE" w:rsidRDefault="0029667B" w:rsidP="0029667B">
                        <w:pPr>
                          <w:rPr>
                            <w:sz w:val="24"/>
                          </w:rPr>
                        </w:pPr>
                        <w:r w:rsidRPr="00C83FFE">
                          <w:rPr>
                            <w:sz w:val="24"/>
                          </w:rPr>
                          <w:t>- слабые позиции на соответствующих сегментах рынка;</w:t>
                        </w:r>
                      </w:p>
                      <w:p w:rsidR="0029667B" w:rsidRPr="00C83FFE" w:rsidRDefault="0029667B" w:rsidP="0029667B">
                        <w:pPr>
                          <w:rPr>
                            <w:sz w:val="24"/>
                          </w:rPr>
                        </w:pPr>
                        <w:r w:rsidRPr="00C83FFE">
                          <w:rPr>
                            <w:sz w:val="24"/>
                          </w:rPr>
                          <w:t>- высокая зависимость от заемных источников финансирования;</w:t>
                        </w:r>
                      </w:p>
                      <w:p w:rsidR="0029667B" w:rsidRPr="00C83FFE" w:rsidRDefault="0029667B" w:rsidP="0029667B">
                        <w:pPr>
                          <w:rPr>
                            <w:sz w:val="24"/>
                          </w:rPr>
                        </w:pPr>
                        <w:r w:rsidRPr="00C83FFE">
                          <w:rPr>
                            <w:sz w:val="24"/>
                          </w:rPr>
                          <w:t>- экстенсивная стратегия развития;</w:t>
                        </w:r>
                      </w:p>
                      <w:p w:rsidR="0029667B" w:rsidRPr="00C83FFE" w:rsidRDefault="0029667B" w:rsidP="0029667B">
                        <w:pPr>
                          <w:rPr>
                            <w:sz w:val="24"/>
                          </w:rPr>
                        </w:pPr>
                        <w:r w:rsidRPr="00C83FFE">
                          <w:rPr>
                            <w:sz w:val="24"/>
                          </w:rPr>
                          <w:t>- низкая эффективность производства;</w:t>
                        </w:r>
                      </w:p>
                      <w:p w:rsidR="0029667B" w:rsidRPr="00C83FFE" w:rsidRDefault="0029667B" w:rsidP="0029667B">
                        <w:pPr>
                          <w:rPr>
                            <w:sz w:val="24"/>
                          </w:rPr>
                        </w:pPr>
                        <w:r w:rsidRPr="00C83FFE">
                          <w:rPr>
                            <w:sz w:val="24"/>
                          </w:rPr>
                          <w:t xml:space="preserve">- несбалансированность и зависимость от экспорта; </w:t>
                        </w:r>
                      </w:p>
                      <w:p w:rsidR="0029667B" w:rsidRPr="00C83FFE" w:rsidRDefault="0029667B" w:rsidP="0029667B">
                        <w:pPr>
                          <w:rPr>
                            <w:sz w:val="24"/>
                          </w:rPr>
                        </w:pPr>
                        <w:r w:rsidRPr="00C83FFE">
                          <w:rPr>
                            <w:sz w:val="24"/>
                          </w:rPr>
                          <w:t>- устаревшие технологии, физический и моральный износы</w:t>
                        </w:r>
                      </w:p>
                      <w:p w:rsidR="0029667B" w:rsidRPr="00C83FFE" w:rsidRDefault="0029667B" w:rsidP="0029667B">
                        <w:pPr>
                          <w:rPr>
                            <w:sz w:val="24"/>
                          </w:rPr>
                        </w:pPr>
                        <w:r w:rsidRPr="00C83FFE">
                          <w:rPr>
                            <w:sz w:val="24"/>
                          </w:rPr>
                          <w:t>- высокая себестоимость и низкая конкурентоспособность продукции.</w:t>
                        </w:r>
                      </w:p>
                    </w:txbxContent>
                  </v:textbox>
                </v:rect>
                <v:shapetype id="_x0000_t32" coordsize="21600,21600" o:spt="32" o:oned="t" path="m,l21600,21600e" filled="f">
                  <v:path arrowok="t" fillok="f" o:connecttype="none"/>
                  <o:lock v:ext="edit" shapetype="t"/>
                </v:shapetype>
                <v:shape id="AutoShape 24" o:spid="_x0000_s1032" type="#_x0000_t32" style="position:absolute;left:7209;top:2062;width:67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 o:spid="_x0000_s1033" type="#_x0000_t34" style="position:absolute;left:2407;top:1167;width:1440;height:103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" adj="420">
                  <v:stroke endarrow="block"/>
                </v:shape>
                <v:shape id="AutoShape 27" o:spid="_x0000_s1034" type="#_x0000_t32" style="position:absolute;left:8458;top:3316;width:0;height: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">
                  <v:stroke startarrow="block" endarrow="block"/>
                </v:shape>
                <v:shape id="AutoShape 28" o:spid="_x0000_s1035" type="#_x0000_t32" style="position:absolute;left:3427;top:3317;width:0;height: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">
                  <v:stroke endarrow="block"/>
                </v:shape>
              </v:group>
            </w:pict>
          </mc:Fallback>
        </mc:AlternateContent>
      </w:r>
    </w:p>
    <w:p w:rsidR="0029667B" w:rsidRPr="0029667B" w:rsidRDefault="0029667B" w:rsidP="0029667B">
      <w:pPr>
        <w:spacing w:after="0" w:line="240" w:lineRule="auto"/>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jc w:val="both"/>
        <w:rPr>
          <w:rFonts w:ascii="Times New Roman" w:eastAsia="Times New Roman" w:hAnsi="Times New Roman" w:cs="Times New Roman"/>
          <w:sz w:val="28"/>
          <w:szCs w:val="28"/>
          <w:lang w:eastAsia="ru-RU"/>
        </w:rPr>
      </w:pPr>
      <w:r w:rsidRPr="0029667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14FF1D2C" wp14:editId="1A0EE9BE">
                <wp:simplePos x="0" y="0"/>
                <wp:positionH relativeFrom="column">
                  <wp:posOffset>1773555</wp:posOffset>
                </wp:positionH>
                <wp:positionV relativeFrom="paragraph">
                  <wp:posOffset>136685</wp:posOffset>
                </wp:positionV>
                <wp:extent cx="1556385" cy="446805"/>
                <wp:effectExtent l="38100" t="0" r="24765" b="86995"/>
                <wp:wrapNone/>
                <wp:docPr id="42" name="Прямая со стрелкой 42"/>
                <wp:cNvGraphicFramePr/>
                <a:graphic xmlns:a="http://schemas.openxmlformats.org/drawingml/2006/main">
                  <a:graphicData uri="http://schemas.microsoft.com/office/word/2010/wordprocessingShape">
                    <wps:wsp>
                      <wps:cNvCnPr/>
                      <wps:spPr>
                        <a:xfrm flipH="1">
                          <a:off x="0" y="0"/>
                          <a:ext cx="1556385" cy="44680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532A5EAA" id="Прямая со стрелкой 42" o:spid="_x0000_s1026" type="#_x0000_t32" style="position:absolute;margin-left:139.65pt;margin-top:10.75pt;width:122.55pt;height:35.2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" strokecolor="windowText">
                <v:stroke endarrow="open"/>
              </v:shape>
            </w:pict>
          </mc:Fallback>
        </mc:AlternateContent>
      </w:r>
    </w:p>
    <w:p w:rsidR="0029667B" w:rsidRPr="0029667B" w:rsidRDefault="0029667B" w:rsidP="0029667B">
      <w:pPr>
        <w:spacing w:after="0" w:line="240" w:lineRule="auto"/>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jc w:val="center"/>
        <w:rPr>
          <w:rFonts w:ascii="Times New Roman" w:eastAsia="Times New Roman" w:hAnsi="Times New Roman" w:cs="Times New Roman"/>
          <w:sz w:val="28"/>
          <w:szCs w:val="28"/>
          <w:lang w:eastAsia="ru-RU"/>
        </w:rPr>
      </w:pPr>
    </w:p>
    <w:p w:rsidR="0029667B" w:rsidRPr="0029667B" w:rsidRDefault="0029667B" w:rsidP="0029667B">
      <w:pPr>
        <w:spacing w:after="0" w:line="240" w:lineRule="auto"/>
        <w:jc w:val="center"/>
        <w:rPr>
          <w:rFonts w:ascii="Times New Roman" w:eastAsia="Times New Roman" w:hAnsi="Times New Roman" w:cs="Times New Roman"/>
          <w:sz w:val="28"/>
          <w:szCs w:val="28"/>
          <w:lang w:eastAsia="ru-RU"/>
        </w:rPr>
      </w:pPr>
      <w:r w:rsidRPr="0029667B">
        <w:rPr>
          <w:rFonts w:ascii="Times New Roman" w:eastAsia="Times New Roman" w:hAnsi="Times New Roman" w:cs="Times New Roman"/>
          <w:sz w:val="28"/>
          <w:szCs w:val="28"/>
          <w:lang w:eastAsia="ru-RU"/>
        </w:rPr>
        <w:t>Рис.1. Причинно-следственные связи кризиса предприятия [6]</w:t>
      </w: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r w:rsidRPr="0029667B">
        <w:rPr>
          <w:rFonts w:ascii="Times New Roman" w:eastAsia="Times New Roman" w:hAnsi="Times New Roman" w:cs="Times New Roman"/>
          <w:sz w:val="28"/>
          <w:szCs w:val="28"/>
          <w:lang w:eastAsia="ru-RU"/>
        </w:rPr>
        <w:t>Зачастую на предприятиях функции генерального директора и топ-менеджмента совпадают. К тому же нередки случаи назначения директором приглашенных извне менеджеров. Такая процедура  имеет двоякий смысл.</w:t>
      </w: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r w:rsidRPr="0029667B">
        <w:rPr>
          <w:rFonts w:ascii="Times New Roman" w:eastAsia="Times New Roman" w:hAnsi="Times New Roman" w:cs="Times New Roman"/>
          <w:sz w:val="28"/>
          <w:szCs w:val="28"/>
          <w:lang w:eastAsia="ru-RU"/>
        </w:rPr>
        <w:t>В практической деятельности передовых предприятий Российской Федерации наблюдалось множество случаев вхождения предприятий в интегрированные структуры. Органы управления таких структур имеют императивный характер и оказывают воздействие на деятельность предприятий. В связи с вышесказанным можно утверждать, что важную роль в деятельности собственника занимает комплекс антикризисных мер. Для этого необходимо решить ряд задач, табл. 1.</w:t>
      </w: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r w:rsidRPr="0029667B">
        <w:rPr>
          <w:rFonts w:ascii="Times New Roman" w:eastAsia="Times New Roman" w:hAnsi="Times New Roman" w:cs="Times New Roman"/>
          <w:sz w:val="28"/>
          <w:szCs w:val="28"/>
          <w:lang w:eastAsia="ru-RU"/>
        </w:rPr>
        <w:t xml:space="preserve">Таким образом, роль собственников в деятельности компании достаточно велика. Однако вопросы и проблемы их ответственности в российском законодательстве, а также законодательстве нашего региона, проработаны не в полном объеме. Предусмотрена уголовная ответственность </w:t>
      </w:r>
      <w:r w:rsidRPr="0029667B">
        <w:rPr>
          <w:rFonts w:ascii="Times New Roman" w:eastAsia="Times New Roman" w:hAnsi="Times New Roman" w:cs="Times New Roman"/>
          <w:sz w:val="28"/>
          <w:szCs w:val="28"/>
          <w:lang w:eastAsia="ru-RU"/>
        </w:rPr>
        <w:lastRenderedPageBreak/>
        <w:t xml:space="preserve">за фиктивное и преднамеренное банкротство. Результатами такой деятельности занимаются арбитражные управляющие.  </w:t>
      </w: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r w:rsidRPr="0029667B">
        <w:rPr>
          <w:rFonts w:ascii="Times New Roman" w:eastAsia="Times New Roman" w:hAnsi="Times New Roman" w:cs="Times New Roman"/>
          <w:sz w:val="28"/>
          <w:szCs w:val="28"/>
          <w:lang w:eastAsia="ru-RU"/>
        </w:rPr>
        <w:t>В законе о банкротстве предусматривается субсидинарная ответственность собственников, учитывая соответствующие нормы в делах о банкротстве необходимо доказать и вину собственника, что значительно усложняет процесс. В связи с чем, уголовные дела на основаниях банкротства фактически отсутствуют [2].</w:t>
      </w: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jc w:val="right"/>
        <w:rPr>
          <w:rFonts w:ascii="Times New Roman" w:eastAsia="Times New Roman" w:hAnsi="Times New Roman" w:cs="Times New Roman"/>
          <w:sz w:val="28"/>
          <w:szCs w:val="28"/>
          <w:lang w:eastAsia="ru-RU"/>
        </w:rPr>
      </w:pPr>
      <w:r w:rsidRPr="0029667B">
        <w:rPr>
          <w:rFonts w:ascii="Times New Roman" w:eastAsia="Times New Roman" w:hAnsi="Times New Roman" w:cs="Times New Roman"/>
          <w:sz w:val="28"/>
          <w:szCs w:val="28"/>
          <w:lang w:eastAsia="ru-RU"/>
        </w:rPr>
        <w:t>Таблица 1</w:t>
      </w:r>
    </w:p>
    <w:p w:rsidR="0029667B" w:rsidRPr="0029667B" w:rsidRDefault="0029667B" w:rsidP="0029667B">
      <w:pPr>
        <w:spacing w:after="0" w:line="240" w:lineRule="auto"/>
        <w:jc w:val="center"/>
        <w:rPr>
          <w:rFonts w:ascii="Times New Roman" w:eastAsia="Times New Roman" w:hAnsi="Times New Roman" w:cs="Times New Roman"/>
          <w:sz w:val="28"/>
          <w:szCs w:val="28"/>
          <w:lang w:eastAsia="ru-RU"/>
        </w:rPr>
      </w:pPr>
      <w:r w:rsidRPr="0029667B">
        <w:rPr>
          <w:rFonts w:ascii="Times New Roman" w:eastAsia="Times New Roman" w:hAnsi="Times New Roman" w:cs="Times New Roman"/>
          <w:sz w:val="28"/>
          <w:szCs w:val="28"/>
          <w:lang w:eastAsia="ru-RU"/>
        </w:rPr>
        <w:t>Задачи к применению антикризисных мер</w:t>
      </w:r>
    </w:p>
    <w:tbl>
      <w:tblPr>
        <w:tblStyle w:val="a3"/>
        <w:tblW w:w="0" w:type="auto"/>
        <w:jc w:val="center"/>
        <w:tblLook w:val="04A0" w:firstRow="1" w:lastRow="0" w:firstColumn="1" w:lastColumn="0" w:noHBand="0" w:noVBand="1"/>
      </w:tblPr>
      <w:tblGrid>
        <w:gridCol w:w="540"/>
        <w:gridCol w:w="5364"/>
        <w:gridCol w:w="3379"/>
      </w:tblGrid>
      <w:tr w:rsidR="0029667B" w:rsidRPr="0029667B" w:rsidTr="002D53BD">
        <w:trPr>
          <w:jc w:val="center"/>
        </w:trPr>
        <w:tc>
          <w:tcPr>
            <w:tcW w:w="5904" w:type="dxa"/>
            <w:gridSpan w:val="2"/>
          </w:tcPr>
          <w:p w:rsidR="0029667B" w:rsidRPr="0029667B" w:rsidRDefault="0029667B" w:rsidP="0029667B">
            <w:pPr>
              <w:jc w:val="center"/>
              <w:rPr>
                <w:rFonts w:ascii="Times New Roman" w:hAnsi="Times New Roman"/>
                <w:sz w:val="24"/>
                <w:szCs w:val="24"/>
              </w:rPr>
            </w:pPr>
            <w:r w:rsidRPr="0029667B">
              <w:rPr>
                <w:rFonts w:ascii="Times New Roman" w:hAnsi="Times New Roman"/>
                <w:sz w:val="24"/>
                <w:szCs w:val="24"/>
              </w:rPr>
              <w:t>Задача</w:t>
            </w:r>
          </w:p>
        </w:tc>
        <w:tc>
          <w:tcPr>
            <w:tcW w:w="3379" w:type="dxa"/>
          </w:tcPr>
          <w:p w:rsidR="0029667B" w:rsidRPr="0029667B" w:rsidRDefault="0029667B" w:rsidP="0029667B">
            <w:pPr>
              <w:jc w:val="center"/>
              <w:rPr>
                <w:rFonts w:ascii="Times New Roman" w:hAnsi="Times New Roman"/>
                <w:sz w:val="24"/>
                <w:szCs w:val="24"/>
              </w:rPr>
            </w:pPr>
            <w:r w:rsidRPr="0029667B">
              <w:rPr>
                <w:rFonts w:ascii="Times New Roman" w:hAnsi="Times New Roman"/>
                <w:sz w:val="24"/>
                <w:szCs w:val="24"/>
              </w:rPr>
              <w:t>Управленческие инструменты</w:t>
            </w:r>
          </w:p>
        </w:tc>
      </w:tr>
      <w:tr w:rsidR="0029667B" w:rsidRPr="0029667B" w:rsidTr="002D53BD">
        <w:trPr>
          <w:jc w:val="center"/>
        </w:trPr>
        <w:tc>
          <w:tcPr>
            <w:tcW w:w="540" w:type="dxa"/>
          </w:tcPr>
          <w:p w:rsidR="0029667B" w:rsidRPr="0029667B" w:rsidRDefault="0029667B" w:rsidP="0029667B">
            <w:pPr>
              <w:jc w:val="center"/>
              <w:rPr>
                <w:rFonts w:ascii="Times New Roman" w:hAnsi="Times New Roman"/>
                <w:sz w:val="24"/>
                <w:szCs w:val="24"/>
              </w:rPr>
            </w:pPr>
            <w:r w:rsidRPr="0029667B">
              <w:rPr>
                <w:rFonts w:ascii="Times New Roman" w:hAnsi="Times New Roman"/>
                <w:sz w:val="24"/>
                <w:szCs w:val="24"/>
              </w:rPr>
              <w:t>1.</w:t>
            </w:r>
          </w:p>
        </w:tc>
        <w:tc>
          <w:tcPr>
            <w:tcW w:w="5364" w:type="dxa"/>
          </w:tcPr>
          <w:p w:rsidR="0029667B" w:rsidRPr="0029667B" w:rsidRDefault="0029667B" w:rsidP="0029667B">
            <w:pPr>
              <w:rPr>
                <w:rFonts w:ascii="Times New Roman" w:hAnsi="Times New Roman"/>
                <w:sz w:val="24"/>
                <w:szCs w:val="24"/>
              </w:rPr>
            </w:pPr>
            <w:r w:rsidRPr="0029667B">
              <w:rPr>
                <w:rFonts w:ascii="Times New Roman" w:hAnsi="Times New Roman"/>
                <w:sz w:val="24"/>
                <w:szCs w:val="24"/>
              </w:rPr>
              <w:t xml:space="preserve">Обеспечение стабильного функционирования компании </w:t>
            </w:r>
          </w:p>
        </w:tc>
        <w:tc>
          <w:tcPr>
            <w:tcW w:w="3379" w:type="dxa"/>
            <w:vMerge w:val="restart"/>
          </w:tcPr>
          <w:p w:rsidR="0029667B" w:rsidRPr="0029667B" w:rsidRDefault="0029667B" w:rsidP="0029667B">
            <w:pPr>
              <w:rPr>
                <w:rFonts w:ascii="Times New Roman" w:hAnsi="Times New Roman"/>
                <w:sz w:val="24"/>
                <w:szCs w:val="24"/>
              </w:rPr>
            </w:pPr>
          </w:p>
          <w:p w:rsidR="0029667B" w:rsidRPr="0029667B" w:rsidRDefault="0029667B" w:rsidP="0029667B">
            <w:pPr>
              <w:rPr>
                <w:rFonts w:ascii="Times New Roman" w:hAnsi="Times New Roman"/>
                <w:sz w:val="24"/>
                <w:szCs w:val="24"/>
              </w:rPr>
            </w:pPr>
          </w:p>
          <w:p w:rsidR="0029667B" w:rsidRPr="0029667B" w:rsidRDefault="0029667B" w:rsidP="0029667B">
            <w:pPr>
              <w:rPr>
                <w:rFonts w:ascii="Times New Roman" w:hAnsi="Times New Roman"/>
                <w:sz w:val="24"/>
                <w:szCs w:val="24"/>
              </w:rPr>
            </w:pPr>
            <w:r w:rsidRPr="0029667B">
              <w:rPr>
                <w:rFonts w:ascii="Times New Roman" w:hAnsi="Times New Roman"/>
                <w:sz w:val="24"/>
                <w:szCs w:val="24"/>
              </w:rPr>
              <w:t>• Управление собственностью компании.</w:t>
            </w:r>
          </w:p>
          <w:p w:rsidR="0029667B" w:rsidRPr="0029667B" w:rsidRDefault="0029667B" w:rsidP="0029667B">
            <w:pPr>
              <w:rPr>
                <w:rFonts w:ascii="Times New Roman" w:hAnsi="Times New Roman"/>
                <w:sz w:val="24"/>
                <w:szCs w:val="24"/>
              </w:rPr>
            </w:pPr>
          </w:p>
          <w:p w:rsidR="0029667B" w:rsidRPr="0029667B" w:rsidRDefault="0029667B" w:rsidP="0029667B">
            <w:pPr>
              <w:rPr>
                <w:rFonts w:ascii="Times New Roman" w:hAnsi="Times New Roman"/>
                <w:sz w:val="24"/>
                <w:szCs w:val="24"/>
              </w:rPr>
            </w:pPr>
          </w:p>
          <w:p w:rsidR="0029667B" w:rsidRPr="0029667B" w:rsidRDefault="0029667B" w:rsidP="0029667B">
            <w:pPr>
              <w:rPr>
                <w:rFonts w:ascii="Times New Roman" w:hAnsi="Times New Roman"/>
                <w:sz w:val="24"/>
                <w:szCs w:val="24"/>
              </w:rPr>
            </w:pPr>
          </w:p>
          <w:p w:rsidR="0029667B" w:rsidRPr="0029667B" w:rsidRDefault="0029667B" w:rsidP="0029667B">
            <w:pPr>
              <w:rPr>
                <w:rFonts w:ascii="Times New Roman" w:hAnsi="Times New Roman"/>
                <w:sz w:val="24"/>
                <w:szCs w:val="24"/>
              </w:rPr>
            </w:pPr>
            <w:r w:rsidRPr="0029667B">
              <w:rPr>
                <w:rFonts w:ascii="Times New Roman" w:hAnsi="Times New Roman"/>
                <w:sz w:val="24"/>
                <w:szCs w:val="24"/>
              </w:rPr>
              <w:t>• Управление ресурсами.</w:t>
            </w:r>
          </w:p>
          <w:p w:rsidR="0029667B" w:rsidRPr="0029667B" w:rsidRDefault="0029667B" w:rsidP="0029667B">
            <w:pPr>
              <w:rPr>
                <w:rFonts w:ascii="Times New Roman" w:hAnsi="Times New Roman"/>
                <w:sz w:val="24"/>
                <w:szCs w:val="24"/>
              </w:rPr>
            </w:pPr>
          </w:p>
          <w:p w:rsidR="0029667B" w:rsidRPr="0029667B" w:rsidRDefault="0029667B" w:rsidP="0029667B">
            <w:pPr>
              <w:rPr>
                <w:rFonts w:ascii="Times New Roman" w:hAnsi="Times New Roman"/>
                <w:sz w:val="24"/>
                <w:szCs w:val="24"/>
              </w:rPr>
            </w:pPr>
          </w:p>
          <w:p w:rsidR="0029667B" w:rsidRPr="0029667B" w:rsidRDefault="0029667B" w:rsidP="0029667B">
            <w:pPr>
              <w:rPr>
                <w:rFonts w:ascii="Times New Roman" w:hAnsi="Times New Roman"/>
                <w:sz w:val="24"/>
                <w:szCs w:val="24"/>
              </w:rPr>
            </w:pPr>
          </w:p>
          <w:p w:rsidR="0029667B" w:rsidRPr="0029667B" w:rsidRDefault="0029667B" w:rsidP="0029667B">
            <w:pPr>
              <w:rPr>
                <w:rFonts w:ascii="Times New Roman" w:hAnsi="Times New Roman"/>
                <w:sz w:val="24"/>
                <w:szCs w:val="24"/>
              </w:rPr>
            </w:pPr>
            <w:r w:rsidRPr="0029667B">
              <w:rPr>
                <w:rFonts w:ascii="Times New Roman" w:hAnsi="Times New Roman"/>
                <w:sz w:val="24"/>
                <w:szCs w:val="24"/>
              </w:rPr>
              <w:t>• Формирование корпоративной среды.</w:t>
            </w:r>
          </w:p>
        </w:tc>
      </w:tr>
      <w:tr w:rsidR="0029667B" w:rsidRPr="0029667B" w:rsidTr="002D53BD">
        <w:trPr>
          <w:jc w:val="center"/>
        </w:trPr>
        <w:tc>
          <w:tcPr>
            <w:tcW w:w="540" w:type="dxa"/>
          </w:tcPr>
          <w:p w:rsidR="0029667B" w:rsidRPr="0029667B" w:rsidRDefault="0029667B" w:rsidP="0029667B">
            <w:pPr>
              <w:jc w:val="center"/>
              <w:rPr>
                <w:rFonts w:ascii="Times New Roman" w:hAnsi="Times New Roman"/>
                <w:sz w:val="24"/>
                <w:szCs w:val="24"/>
              </w:rPr>
            </w:pPr>
            <w:r w:rsidRPr="0029667B">
              <w:rPr>
                <w:rFonts w:ascii="Times New Roman" w:hAnsi="Times New Roman"/>
                <w:sz w:val="24"/>
                <w:szCs w:val="24"/>
              </w:rPr>
              <w:t>2.</w:t>
            </w:r>
          </w:p>
        </w:tc>
        <w:tc>
          <w:tcPr>
            <w:tcW w:w="5364" w:type="dxa"/>
          </w:tcPr>
          <w:p w:rsidR="0029667B" w:rsidRPr="0029667B" w:rsidRDefault="0029667B" w:rsidP="0029667B">
            <w:pPr>
              <w:rPr>
                <w:rFonts w:ascii="Times New Roman" w:hAnsi="Times New Roman"/>
                <w:sz w:val="24"/>
                <w:szCs w:val="24"/>
              </w:rPr>
            </w:pPr>
            <w:r w:rsidRPr="0029667B">
              <w:rPr>
                <w:rFonts w:ascii="Times New Roman" w:hAnsi="Times New Roman"/>
                <w:sz w:val="24"/>
                <w:szCs w:val="24"/>
              </w:rPr>
              <w:t>Предвидение и предубеждение угроз кризисов</w:t>
            </w:r>
          </w:p>
        </w:tc>
        <w:tc>
          <w:tcPr>
            <w:tcW w:w="3379" w:type="dxa"/>
            <w:vMerge/>
          </w:tcPr>
          <w:p w:rsidR="0029667B" w:rsidRPr="0029667B" w:rsidRDefault="0029667B" w:rsidP="0029667B">
            <w:pPr>
              <w:jc w:val="both"/>
              <w:rPr>
                <w:rFonts w:ascii="Times New Roman" w:hAnsi="Times New Roman"/>
                <w:sz w:val="24"/>
                <w:szCs w:val="24"/>
              </w:rPr>
            </w:pPr>
          </w:p>
        </w:tc>
      </w:tr>
      <w:tr w:rsidR="0029667B" w:rsidRPr="0029667B" w:rsidTr="002D53BD">
        <w:trPr>
          <w:jc w:val="center"/>
        </w:trPr>
        <w:tc>
          <w:tcPr>
            <w:tcW w:w="540" w:type="dxa"/>
          </w:tcPr>
          <w:p w:rsidR="0029667B" w:rsidRPr="0029667B" w:rsidRDefault="0029667B" w:rsidP="0029667B">
            <w:pPr>
              <w:jc w:val="center"/>
              <w:rPr>
                <w:rFonts w:ascii="Times New Roman" w:hAnsi="Times New Roman"/>
                <w:sz w:val="24"/>
                <w:szCs w:val="24"/>
              </w:rPr>
            </w:pPr>
            <w:r w:rsidRPr="0029667B">
              <w:rPr>
                <w:rFonts w:ascii="Times New Roman" w:hAnsi="Times New Roman"/>
                <w:sz w:val="24"/>
                <w:szCs w:val="24"/>
              </w:rPr>
              <w:t>3.</w:t>
            </w:r>
          </w:p>
        </w:tc>
        <w:tc>
          <w:tcPr>
            <w:tcW w:w="5364" w:type="dxa"/>
          </w:tcPr>
          <w:p w:rsidR="0029667B" w:rsidRPr="0029667B" w:rsidRDefault="0029667B" w:rsidP="0029667B">
            <w:pPr>
              <w:rPr>
                <w:rFonts w:ascii="Times New Roman" w:hAnsi="Times New Roman"/>
                <w:sz w:val="24"/>
                <w:szCs w:val="24"/>
              </w:rPr>
            </w:pPr>
            <w:r w:rsidRPr="0029667B">
              <w:rPr>
                <w:rFonts w:ascii="Times New Roman" w:hAnsi="Times New Roman"/>
                <w:sz w:val="24"/>
                <w:szCs w:val="24"/>
              </w:rPr>
              <w:t>Реализация мероприятий превентивного характера</w:t>
            </w:r>
          </w:p>
        </w:tc>
        <w:tc>
          <w:tcPr>
            <w:tcW w:w="3379" w:type="dxa"/>
            <w:vMerge/>
          </w:tcPr>
          <w:p w:rsidR="0029667B" w:rsidRPr="0029667B" w:rsidRDefault="0029667B" w:rsidP="0029667B">
            <w:pPr>
              <w:jc w:val="both"/>
              <w:rPr>
                <w:rFonts w:ascii="Times New Roman" w:hAnsi="Times New Roman"/>
                <w:sz w:val="24"/>
                <w:szCs w:val="24"/>
              </w:rPr>
            </w:pPr>
          </w:p>
        </w:tc>
      </w:tr>
      <w:tr w:rsidR="0029667B" w:rsidRPr="0029667B" w:rsidTr="002D53BD">
        <w:trPr>
          <w:jc w:val="center"/>
        </w:trPr>
        <w:tc>
          <w:tcPr>
            <w:tcW w:w="540" w:type="dxa"/>
          </w:tcPr>
          <w:p w:rsidR="0029667B" w:rsidRPr="0029667B" w:rsidRDefault="0029667B" w:rsidP="0029667B">
            <w:pPr>
              <w:jc w:val="center"/>
              <w:rPr>
                <w:rFonts w:ascii="Times New Roman" w:hAnsi="Times New Roman"/>
                <w:sz w:val="24"/>
                <w:szCs w:val="24"/>
              </w:rPr>
            </w:pPr>
            <w:r w:rsidRPr="0029667B">
              <w:rPr>
                <w:rFonts w:ascii="Times New Roman" w:hAnsi="Times New Roman"/>
                <w:sz w:val="24"/>
                <w:szCs w:val="24"/>
              </w:rPr>
              <w:t>4.</w:t>
            </w:r>
          </w:p>
        </w:tc>
        <w:tc>
          <w:tcPr>
            <w:tcW w:w="5364" w:type="dxa"/>
          </w:tcPr>
          <w:p w:rsidR="0029667B" w:rsidRPr="0029667B" w:rsidRDefault="0029667B" w:rsidP="0029667B">
            <w:pPr>
              <w:rPr>
                <w:rFonts w:ascii="Times New Roman" w:hAnsi="Times New Roman"/>
                <w:sz w:val="24"/>
                <w:szCs w:val="24"/>
              </w:rPr>
            </w:pPr>
            <w:r w:rsidRPr="0029667B">
              <w:rPr>
                <w:rFonts w:ascii="Times New Roman" w:hAnsi="Times New Roman"/>
                <w:sz w:val="24"/>
                <w:szCs w:val="24"/>
              </w:rPr>
              <w:t>Предупреждение банкротства</w:t>
            </w:r>
          </w:p>
        </w:tc>
        <w:tc>
          <w:tcPr>
            <w:tcW w:w="3379" w:type="dxa"/>
            <w:vMerge/>
          </w:tcPr>
          <w:p w:rsidR="0029667B" w:rsidRPr="0029667B" w:rsidRDefault="0029667B" w:rsidP="0029667B">
            <w:pPr>
              <w:jc w:val="both"/>
              <w:rPr>
                <w:rFonts w:ascii="Times New Roman" w:hAnsi="Times New Roman"/>
                <w:sz w:val="24"/>
                <w:szCs w:val="24"/>
              </w:rPr>
            </w:pPr>
          </w:p>
        </w:tc>
      </w:tr>
      <w:tr w:rsidR="0029667B" w:rsidRPr="0029667B" w:rsidTr="002D53BD">
        <w:trPr>
          <w:jc w:val="center"/>
        </w:trPr>
        <w:tc>
          <w:tcPr>
            <w:tcW w:w="540" w:type="dxa"/>
          </w:tcPr>
          <w:p w:rsidR="0029667B" w:rsidRPr="0029667B" w:rsidRDefault="0029667B" w:rsidP="0029667B">
            <w:pPr>
              <w:jc w:val="center"/>
              <w:rPr>
                <w:rFonts w:ascii="Times New Roman" w:hAnsi="Times New Roman"/>
                <w:sz w:val="24"/>
                <w:szCs w:val="24"/>
              </w:rPr>
            </w:pPr>
            <w:r w:rsidRPr="0029667B">
              <w:rPr>
                <w:rFonts w:ascii="Times New Roman" w:hAnsi="Times New Roman"/>
                <w:sz w:val="24"/>
                <w:szCs w:val="24"/>
              </w:rPr>
              <w:t>5.</w:t>
            </w:r>
          </w:p>
        </w:tc>
        <w:tc>
          <w:tcPr>
            <w:tcW w:w="5364" w:type="dxa"/>
          </w:tcPr>
          <w:p w:rsidR="0029667B" w:rsidRPr="0029667B" w:rsidRDefault="0029667B" w:rsidP="0029667B">
            <w:pPr>
              <w:rPr>
                <w:rFonts w:ascii="Times New Roman" w:hAnsi="Times New Roman"/>
                <w:sz w:val="24"/>
                <w:szCs w:val="24"/>
              </w:rPr>
            </w:pPr>
            <w:r w:rsidRPr="0029667B">
              <w:rPr>
                <w:rFonts w:ascii="Times New Roman" w:hAnsi="Times New Roman"/>
                <w:sz w:val="24"/>
                <w:szCs w:val="24"/>
              </w:rPr>
              <w:t>Обеспечение сохранения структуры компании</w:t>
            </w:r>
          </w:p>
        </w:tc>
        <w:tc>
          <w:tcPr>
            <w:tcW w:w="3379" w:type="dxa"/>
            <w:vMerge/>
          </w:tcPr>
          <w:p w:rsidR="0029667B" w:rsidRPr="0029667B" w:rsidRDefault="0029667B" w:rsidP="0029667B">
            <w:pPr>
              <w:jc w:val="both"/>
              <w:rPr>
                <w:rFonts w:ascii="Times New Roman" w:hAnsi="Times New Roman"/>
                <w:sz w:val="24"/>
                <w:szCs w:val="24"/>
              </w:rPr>
            </w:pPr>
          </w:p>
        </w:tc>
      </w:tr>
      <w:tr w:rsidR="0029667B" w:rsidRPr="0029667B" w:rsidTr="002D53BD">
        <w:trPr>
          <w:jc w:val="center"/>
        </w:trPr>
        <w:tc>
          <w:tcPr>
            <w:tcW w:w="540" w:type="dxa"/>
          </w:tcPr>
          <w:p w:rsidR="0029667B" w:rsidRPr="0029667B" w:rsidRDefault="0029667B" w:rsidP="0029667B">
            <w:pPr>
              <w:jc w:val="center"/>
              <w:rPr>
                <w:rFonts w:ascii="Times New Roman" w:hAnsi="Times New Roman"/>
                <w:sz w:val="24"/>
                <w:szCs w:val="24"/>
              </w:rPr>
            </w:pPr>
            <w:r w:rsidRPr="0029667B">
              <w:rPr>
                <w:rFonts w:ascii="Times New Roman" w:hAnsi="Times New Roman"/>
                <w:sz w:val="24"/>
                <w:szCs w:val="24"/>
              </w:rPr>
              <w:t>6.</w:t>
            </w:r>
          </w:p>
        </w:tc>
        <w:tc>
          <w:tcPr>
            <w:tcW w:w="5364" w:type="dxa"/>
          </w:tcPr>
          <w:p w:rsidR="0029667B" w:rsidRPr="0029667B" w:rsidRDefault="0029667B" w:rsidP="0029667B">
            <w:pPr>
              <w:rPr>
                <w:rFonts w:ascii="Times New Roman" w:hAnsi="Times New Roman"/>
                <w:sz w:val="24"/>
                <w:szCs w:val="24"/>
              </w:rPr>
            </w:pPr>
            <w:r w:rsidRPr="0029667B">
              <w:rPr>
                <w:rFonts w:ascii="Times New Roman" w:hAnsi="Times New Roman"/>
                <w:sz w:val="24"/>
                <w:szCs w:val="24"/>
              </w:rPr>
              <w:t>Поддержание режимов деятельности компании и процессов административной и производственной системах компании</w:t>
            </w:r>
          </w:p>
        </w:tc>
        <w:tc>
          <w:tcPr>
            <w:tcW w:w="3379" w:type="dxa"/>
            <w:vMerge/>
          </w:tcPr>
          <w:p w:rsidR="0029667B" w:rsidRPr="0029667B" w:rsidRDefault="0029667B" w:rsidP="0029667B">
            <w:pPr>
              <w:jc w:val="both"/>
              <w:rPr>
                <w:rFonts w:ascii="Times New Roman" w:hAnsi="Times New Roman"/>
                <w:sz w:val="24"/>
                <w:szCs w:val="24"/>
              </w:rPr>
            </w:pPr>
          </w:p>
        </w:tc>
      </w:tr>
      <w:tr w:rsidR="0029667B" w:rsidRPr="0029667B" w:rsidTr="002D53BD">
        <w:trPr>
          <w:jc w:val="center"/>
        </w:trPr>
        <w:tc>
          <w:tcPr>
            <w:tcW w:w="540" w:type="dxa"/>
          </w:tcPr>
          <w:p w:rsidR="0029667B" w:rsidRPr="0029667B" w:rsidRDefault="0029667B" w:rsidP="0029667B">
            <w:pPr>
              <w:jc w:val="center"/>
              <w:rPr>
                <w:rFonts w:ascii="Times New Roman" w:hAnsi="Times New Roman"/>
                <w:sz w:val="24"/>
                <w:szCs w:val="24"/>
              </w:rPr>
            </w:pPr>
            <w:r w:rsidRPr="0029667B">
              <w:rPr>
                <w:rFonts w:ascii="Times New Roman" w:hAnsi="Times New Roman"/>
                <w:sz w:val="24"/>
                <w:szCs w:val="24"/>
              </w:rPr>
              <w:t>7.</w:t>
            </w:r>
          </w:p>
        </w:tc>
        <w:tc>
          <w:tcPr>
            <w:tcW w:w="5364" w:type="dxa"/>
          </w:tcPr>
          <w:p w:rsidR="0029667B" w:rsidRPr="0029667B" w:rsidRDefault="0029667B" w:rsidP="0029667B">
            <w:pPr>
              <w:rPr>
                <w:rFonts w:ascii="Times New Roman" w:hAnsi="Times New Roman"/>
                <w:sz w:val="24"/>
                <w:szCs w:val="24"/>
              </w:rPr>
            </w:pPr>
            <w:r w:rsidRPr="0029667B">
              <w:rPr>
                <w:rFonts w:ascii="Times New Roman" w:hAnsi="Times New Roman"/>
                <w:sz w:val="24"/>
                <w:szCs w:val="24"/>
              </w:rPr>
              <w:t xml:space="preserve">Формирование распределительно-регламентирующей документации </w:t>
            </w:r>
          </w:p>
        </w:tc>
        <w:tc>
          <w:tcPr>
            <w:tcW w:w="3379" w:type="dxa"/>
            <w:vMerge/>
          </w:tcPr>
          <w:p w:rsidR="0029667B" w:rsidRPr="0029667B" w:rsidRDefault="0029667B" w:rsidP="0029667B">
            <w:pPr>
              <w:jc w:val="both"/>
              <w:rPr>
                <w:rFonts w:ascii="Times New Roman" w:hAnsi="Times New Roman"/>
                <w:sz w:val="24"/>
                <w:szCs w:val="24"/>
              </w:rPr>
            </w:pPr>
          </w:p>
        </w:tc>
      </w:tr>
      <w:tr w:rsidR="0029667B" w:rsidRPr="0029667B" w:rsidTr="002D53BD">
        <w:trPr>
          <w:jc w:val="center"/>
        </w:trPr>
        <w:tc>
          <w:tcPr>
            <w:tcW w:w="540" w:type="dxa"/>
          </w:tcPr>
          <w:p w:rsidR="0029667B" w:rsidRPr="0029667B" w:rsidRDefault="0029667B" w:rsidP="0029667B">
            <w:pPr>
              <w:jc w:val="center"/>
              <w:rPr>
                <w:rFonts w:ascii="Times New Roman" w:hAnsi="Times New Roman"/>
                <w:sz w:val="24"/>
                <w:szCs w:val="24"/>
              </w:rPr>
            </w:pPr>
            <w:r w:rsidRPr="0029667B">
              <w:rPr>
                <w:rFonts w:ascii="Times New Roman" w:hAnsi="Times New Roman"/>
                <w:sz w:val="24"/>
                <w:szCs w:val="24"/>
              </w:rPr>
              <w:t>8.</w:t>
            </w:r>
          </w:p>
        </w:tc>
        <w:tc>
          <w:tcPr>
            <w:tcW w:w="5364" w:type="dxa"/>
          </w:tcPr>
          <w:p w:rsidR="0029667B" w:rsidRPr="0029667B" w:rsidRDefault="0029667B" w:rsidP="0029667B">
            <w:pPr>
              <w:rPr>
                <w:rFonts w:ascii="Times New Roman" w:hAnsi="Times New Roman"/>
                <w:sz w:val="24"/>
                <w:szCs w:val="24"/>
              </w:rPr>
            </w:pPr>
            <w:r w:rsidRPr="0029667B">
              <w:rPr>
                <w:rFonts w:ascii="Times New Roman" w:hAnsi="Times New Roman"/>
                <w:sz w:val="24"/>
                <w:szCs w:val="24"/>
              </w:rPr>
              <w:t>Обеспечение выполнения программ и планов</w:t>
            </w:r>
          </w:p>
        </w:tc>
        <w:tc>
          <w:tcPr>
            <w:tcW w:w="3379" w:type="dxa"/>
            <w:vMerge/>
          </w:tcPr>
          <w:p w:rsidR="0029667B" w:rsidRPr="0029667B" w:rsidRDefault="0029667B" w:rsidP="0029667B">
            <w:pPr>
              <w:jc w:val="both"/>
              <w:rPr>
                <w:rFonts w:ascii="Times New Roman" w:hAnsi="Times New Roman"/>
                <w:sz w:val="24"/>
                <w:szCs w:val="24"/>
              </w:rPr>
            </w:pPr>
          </w:p>
        </w:tc>
      </w:tr>
    </w:tbl>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r w:rsidRPr="0029667B">
        <w:rPr>
          <w:rFonts w:ascii="Times New Roman" w:eastAsia="Times New Roman" w:hAnsi="Times New Roman" w:cs="Times New Roman"/>
          <w:sz w:val="28"/>
          <w:szCs w:val="28"/>
          <w:lang w:eastAsia="ru-RU"/>
        </w:rPr>
        <w:t xml:space="preserve">По мере  развития законодательной базы ответственность собственников в сфере банкротства, в частности защиты прав, приобрела диспозитивный характер. Не предусмотрена ответственность собственника за доведение предприятия до банкротства. </w:t>
      </w: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r w:rsidRPr="0029667B">
        <w:rPr>
          <w:rFonts w:ascii="Times New Roman" w:eastAsia="Times New Roman" w:hAnsi="Times New Roman" w:cs="Times New Roman"/>
          <w:sz w:val="28"/>
          <w:szCs w:val="28"/>
          <w:lang w:eastAsia="ru-RU"/>
        </w:rPr>
        <w:t xml:space="preserve">За последние годы произошло распространение мнений, что возникшая проблему в данной области решаема исключительно за счет прямой государственной помощи, то есть законопослушного населения государства. Для решения данной проблемы Министерство экономического развития Российской Федерации ввело в законодательство специальные положения, регулирующие банкротство о едином финансовом оздоровлении [3]. </w:t>
      </w: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r w:rsidRPr="0029667B">
        <w:rPr>
          <w:rFonts w:ascii="Times New Roman" w:eastAsia="Times New Roman" w:hAnsi="Times New Roman" w:cs="Times New Roman"/>
          <w:sz w:val="28"/>
          <w:szCs w:val="28"/>
          <w:lang w:eastAsia="ru-RU"/>
        </w:rPr>
        <w:t xml:space="preserve">Если рассматривать данную проблему с экономической точки зрения, несмотря на то, что предпринимательские группы являются одним целым, ее элементы допускают возможность нахождения на разных стадиях (развитие или деградация). В таком случае необходим дифференцированный подход – в отношении одних членов необходимо оздоровление, а в отношении других – ликвидация [4;5]. </w:t>
      </w:r>
    </w:p>
    <w:p w:rsidR="0029667B" w:rsidRPr="0029667B" w:rsidRDefault="0029667B" w:rsidP="0029667B">
      <w:pPr>
        <w:spacing w:after="0" w:line="240" w:lineRule="auto"/>
        <w:ind w:firstLine="709"/>
        <w:jc w:val="both"/>
        <w:rPr>
          <w:rFonts w:ascii="Times New Roman" w:eastAsia="Times New Roman" w:hAnsi="Times New Roman" w:cs="Times New Roman"/>
          <w:sz w:val="28"/>
          <w:szCs w:val="28"/>
          <w:lang w:eastAsia="ru-RU"/>
        </w:rPr>
      </w:pPr>
      <w:r w:rsidRPr="0029667B">
        <w:rPr>
          <w:rFonts w:ascii="Times New Roman" w:eastAsia="Times New Roman" w:hAnsi="Times New Roman" w:cs="Times New Roman"/>
          <w:sz w:val="28"/>
          <w:szCs w:val="28"/>
          <w:lang w:eastAsia="ru-RU"/>
        </w:rPr>
        <w:t xml:space="preserve">В настоящий момент в российском законодательстве и законодательстве Донецкой Народной республики не предусмотрено создание определенных финансовых резервов, с помощью которых могла бы осуществляться компенсация, как для сотрудников предприятий, так и для государства. Такая методика могла бы послужить основанием для устойчивости предприятий в </w:t>
      </w:r>
      <w:r w:rsidRPr="0029667B">
        <w:rPr>
          <w:rFonts w:ascii="Times New Roman" w:eastAsia="Times New Roman" w:hAnsi="Times New Roman" w:cs="Times New Roman"/>
          <w:sz w:val="28"/>
          <w:szCs w:val="28"/>
          <w:lang w:eastAsia="ru-RU"/>
        </w:rPr>
        <w:lastRenderedPageBreak/>
        <w:t>сложившихся кризисных условиях функционирования. Также отсутствует система экономического и правового ограничения крупных организаций от принятия управленческих решений по ликвидации подконтрольных крупных предприятий.</w:t>
      </w:r>
    </w:p>
    <w:p w:rsidR="0029667B" w:rsidRPr="0029667B" w:rsidRDefault="0029667B" w:rsidP="0029667B">
      <w:pPr>
        <w:spacing w:after="0" w:line="240" w:lineRule="auto"/>
        <w:ind w:firstLine="709"/>
        <w:jc w:val="both"/>
        <w:rPr>
          <w:rFonts w:ascii="Times New Roman" w:eastAsia="Times New Roman" w:hAnsi="Times New Roman" w:cs="Times New Roman"/>
          <w:b/>
          <w:sz w:val="28"/>
          <w:szCs w:val="28"/>
          <w:lang w:eastAsia="ru-RU"/>
        </w:rPr>
      </w:pPr>
      <w:r w:rsidRPr="0029667B">
        <w:rPr>
          <w:rFonts w:ascii="Times New Roman" w:eastAsia="Times New Roman" w:hAnsi="Times New Roman" w:cs="Times New Roman"/>
          <w:b/>
          <w:sz w:val="28"/>
          <w:szCs w:val="28"/>
          <w:lang w:eastAsia="ru-RU"/>
        </w:rPr>
        <w:t xml:space="preserve">Выводы. </w:t>
      </w:r>
      <w:r w:rsidRPr="0029667B">
        <w:rPr>
          <w:rFonts w:ascii="Times New Roman" w:eastAsia="Times New Roman" w:hAnsi="Times New Roman" w:cs="Times New Roman"/>
          <w:sz w:val="28"/>
          <w:szCs w:val="28"/>
          <w:lang w:eastAsia="ru-RU"/>
        </w:rPr>
        <w:t>Таким образом, антикризисное управление оказывает системное влияние на государство, его правовую и экономическую базу. Основными элементами влияния выступают низкая юридическая и социальная ответственность собственников предприятий, в том числе и неэффективный менеджмент. Для предотвращения данной проблемы необходимо не только наличие грамотного руководителя, но и в первую очередь, структурированная и продуманная, функциональная законодательная база со стороны государства. Предложенные в работе дополнения в законодательную базу, путем создания финансовых резервов, создадут условия, способствующие предоставлению гарантий как персоналу предприятия, так и государству.</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29667B" w:rsidRPr="0029667B" w:rsidTr="002D53BD">
        <w:trPr>
          <w:jc w:val="center"/>
        </w:trPr>
        <w:tc>
          <w:tcPr>
            <w:tcW w:w="5000" w:type="pct"/>
            <w:gridSpan w:val="2"/>
          </w:tcPr>
          <w:p w:rsidR="0029667B" w:rsidRPr="0029667B" w:rsidRDefault="0029667B" w:rsidP="0029667B">
            <w:pPr>
              <w:contextualSpacing/>
              <w:jc w:val="both"/>
              <w:rPr>
                <w:rFonts w:ascii="Times New Roman" w:eastAsia="Calibri" w:hAnsi="Times New Roman"/>
                <w:sz w:val="24"/>
                <w:szCs w:val="24"/>
              </w:rPr>
            </w:pPr>
          </w:p>
        </w:tc>
      </w:tr>
      <w:tr w:rsidR="0029667B" w:rsidRPr="0029667B" w:rsidTr="002D53BD">
        <w:trPr>
          <w:jc w:val="center"/>
        </w:trPr>
        <w:tc>
          <w:tcPr>
            <w:tcW w:w="5000" w:type="pct"/>
            <w:gridSpan w:val="2"/>
          </w:tcPr>
          <w:p w:rsidR="0029667B" w:rsidRPr="0029667B" w:rsidRDefault="0029667B" w:rsidP="0029667B">
            <w:pPr>
              <w:ind w:firstLine="709"/>
              <w:jc w:val="center"/>
              <w:rPr>
                <w:rFonts w:ascii="Times New Roman" w:hAnsi="Times New Roman"/>
                <w:b/>
                <w:sz w:val="28"/>
                <w:szCs w:val="28"/>
              </w:rPr>
            </w:pPr>
            <w:r w:rsidRPr="0029667B">
              <w:rPr>
                <w:rFonts w:ascii="Times New Roman" w:hAnsi="Times New Roman"/>
                <w:b/>
                <w:sz w:val="28"/>
                <w:szCs w:val="28"/>
              </w:rPr>
              <w:t>Список литературы</w:t>
            </w:r>
          </w:p>
        </w:tc>
      </w:tr>
      <w:tr w:rsidR="0029667B" w:rsidRPr="0029667B" w:rsidTr="002D53BD">
        <w:trPr>
          <w:jc w:val="center"/>
        </w:trPr>
        <w:tc>
          <w:tcPr>
            <w:tcW w:w="293" w:type="pct"/>
          </w:tcPr>
          <w:p w:rsidR="0029667B" w:rsidRPr="0029667B" w:rsidRDefault="0029667B" w:rsidP="0029667B">
            <w:pPr>
              <w:widowControl w:val="0"/>
              <w:numPr>
                <w:ilvl w:val="0"/>
                <w:numId w:val="1"/>
              </w:numPr>
              <w:contextualSpacing/>
              <w:jc w:val="both"/>
              <w:rPr>
                <w:rFonts w:ascii="Times New Roman" w:eastAsia="Calibri" w:hAnsi="Times New Roman"/>
                <w:sz w:val="24"/>
                <w:szCs w:val="24"/>
              </w:rPr>
            </w:pPr>
          </w:p>
        </w:tc>
        <w:tc>
          <w:tcPr>
            <w:tcW w:w="4707" w:type="pct"/>
          </w:tcPr>
          <w:p w:rsidR="0029667B" w:rsidRPr="0029667B" w:rsidRDefault="0029667B" w:rsidP="0029667B">
            <w:pPr>
              <w:jc w:val="both"/>
              <w:rPr>
                <w:rFonts w:ascii="Times New Roman" w:hAnsi="Times New Roman"/>
                <w:sz w:val="24"/>
                <w:szCs w:val="24"/>
              </w:rPr>
            </w:pPr>
            <w:r w:rsidRPr="0029667B">
              <w:rPr>
                <w:rFonts w:ascii="Times New Roman" w:hAnsi="Times New Roman"/>
                <w:sz w:val="24"/>
                <w:szCs w:val="24"/>
              </w:rPr>
              <w:t>Арсенов И. Восстановление платежеспособности должника // Арбитражный управляющий. 2012. №3.</w:t>
            </w:r>
          </w:p>
        </w:tc>
      </w:tr>
      <w:tr w:rsidR="0029667B" w:rsidRPr="0029667B" w:rsidTr="002D53BD">
        <w:trPr>
          <w:jc w:val="center"/>
        </w:trPr>
        <w:tc>
          <w:tcPr>
            <w:tcW w:w="293" w:type="pct"/>
          </w:tcPr>
          <w:p w:rsidR="0029667B" w:rsidRPr="0029667B" w:rsidRDefault="0029667B" w:rsidP="0029667B">
            <w:pPr>
              <w:widowControl w:val="0"/>
              <w:numPr>
                <w:ilvl w:val="0"/>
                <w:numId w:val="1"/>
              </w:numPr>
              <w:contextualSpacing/>
              <w:jc w:val="both"/>
              <w:rPr>
                <w:rFonts w:ascii="Times New Roman" w:eastAsia="Calibri" w:hAnsi="Times New Roman"/>
                <w:sz w:val="24"/>
                <w:szCs w:val="24"/>
              </w:rPr>
            </w:pPr>
          </w:p>
        </w:tc>
        <w:tc>
          <w:tcPr>
            <w:tcW w:w="4707" w:type="pct"/>
          </w:tcPr>
          <w:p w:rsidR="0029667B" w:rsidRPr="0029667B" w:rsidRDefault="0029667B" w:rsidP="0029667B">
            <w:pPr>
              <w:jc w:val="both"/>
              <w:rPr>
                <w:rFonts w:ascii="Times New Roman" w:hAnsi="Times New Roman"/>
                <w:sz w:val="24"/>
                <w:szCs w:val="24"/>
              </w:rPr>
            </w:pPr>
            <w:r w:rsidRPr="0029667B">
              <w:rPr>
                <w:rFonts w:ascii="Times New Roman" w:hAnsi="Times New Roman"/>
                <w:sz w:val="24"/>
                <w:szCs w:val="24"/>
              </w:rPr>
              <w:t>О неплатежеспособности (банкротстве): Федеральный закон от 26 октября 2002 года № 127-ФЗ: в редакции от 3 декабря 2011 года.</w:t>
            </w:r>
          </w:p>
        </w:tc>
      </w:tr>
      <w:tr w:rsidR="0029667B" w:rsidRPr="0029667B" w:rsidTr="002D53BD">
        <w:trPr>
          <w:jc w:val="center"/>
        </w:trPr>
        <w:tc>
          <w:tcPr>
            <w:tcW w:w="293" w:type="pct"/>
          </w:tcPr>
          <w:p w:rsidR="0029667B" w:rsidRPr="0029667B" w:rsidRDefault="0029667B" w:rsidP="0029667B">
            <w:pPr>
              <w:widowControl w:val="0"/>
              <w:numPr>
                <w:ilvl w:val="0"/>
                <w:numId w:val="1"/>
              </w:numPr>
              <w:contextualSpacing/>
              <w:jc w:val="both"/>
              <w:rPr>
                <w:rFonts w:ascii="Times New Roman" w:eastAsia="Calibri" w:hAnsi="Times New Roman"/>
                <w:sz w:val="24"/>
                <w:szCs w:val="24"/>
              </w:rPr>
            </w:pPr>
          </w:p>
        </w:tc>
        <w:tc>
          <w:tcPr>
            <w:tcW w:w="4707" w:type="pct"/>
          </w:tcPr>
          <w:p w:rsidR="0029667B" w:rsidRPr="0029667B" w:rsidRDefault="0029667B" w:rsidP="0029667B">
            <w:pPr>
              <w:jc w:val="both"/>
              <w:rPr>
                <w:rFonts w:ascii="Times New Roman" w:hAnsi="Times New Roman"/>
                <w:sz w:val="24"/>
                <w:szCs w:val="24"/>
              </w:rPr>
            </w:pPr>
            <w:r w:rsidRPr="0029667B">
              <w:rPr>
                <w:rFonts w:ascii="Times New Roman" w:hAnsi="Times New Roman"/>
                <w:sz w:val="24"/>
                <w:szCs w:val="24"/>
              </w:rPr>
              <w:t>О внесении изменений в части первую и вторую Налогового кодекса Российской Федерации: Федеральный закон от 16 ноября 2011 года № 321-ФЗ.</w:t>
            </w:r>
          </w:p>
        </w:tc>
      </w:tr>
      <w:tr w:rsidR="0029667B" w:rsidRPr="0029667B" w:rsidTr="002D53BD">
        <w:trPr>
          <w:jc w:val="center"/>
        </w:trPr>
        <w:tc>
          <w:tcPr>
            <w:tcW w:w="293" w:type="pct"/>
          </w:tcPr>
          <w:p w:rsidR="0029667B" w:rsidRPr="0029667B" w:rsidRDefault="0029667B" w:rsidP="0029667B">
            <w:pPr>
              <w:widowControl w:val="0"/>
              <w:numPr>
                <w:ilvl w:val="0"/>
                <w:numId w:val="1"/>
              </w:numPr>
              <w:contextualSpacing/>
              <w:jc w:val="both"/>
              <w:rPr>
                <w:rFonts w:ascii="Times New Roman" w:eastAsia="Calibri" w:hAnsi="Times New Roman"/>
                <w:sz w:val="24"/>
                <w:szCs w:val="24"/>
              </w:rPr>
            </w:pPr>
          </w:p>
        </w:tc>
        <w:tc>
          <w:tcPr>
            <w:tcW w:w="4707" w:type="pct"/>
          </w:tcPr>
          <w:p w:rsidR="0029667B" w:rsidRPr="0029667B" w:rsidRDefault="0029667B" w:rsidP="0029667B">
            <w:pPr>
              <w:jc w:val="both"/>
              <w:rPr>
                <w:rFonts w:ascii="Times New Roman" w:hAnsi="Times New Roman"/>
                <w:sz w:val="24"/>
                <w:szCs w:val="24"/>
              </w:rPr>
            </w:pPr>
            <w:r w:rsidRPr="0029667B">
              <w:rPr>
                <w:rFonts w:ascii="Times New Roman" w:hAnsi="Times New Roman"/>
                <w:sz w:val="24"/>
                <w:szCs w:val="24"/>
              </w:rPr>
              <w:t xml:space="preserve">Российская газета от 15 декабря 2011 года. </w:t>
            </w:r>
          </w:p>
        </w:tc>
      </w:tr>
      <w:tr w:rsidR="0029667B" w:rsidRPr="0029667B" w:rsidTr="002D53BD">
        <w:trPr>
          <w:jc w:val="center"/>
        </w:trPr>
        <w:tc>
          <w:tcPr>
            <w:tcW w:w="293" w:type="pct"/>
          </w:tcPr>
          <w:p w:rsidR="0029667B" w:rsidRPr="0029667B" w:rsidRDefault="0029667B" w:rsidP="0029667B">
            <w:pPr>
              <w:widowControl w:val="0"/>
              <w:numPr>
                <w:ilvl w:val="0"/>
                <w:numId w:val="1"/>
              </w:numPr>
              <w:contextualSpacing/>
              <w:jc w:val="both"/>
              <w:rPr>
                <w:rFonts w:ascii="Times New Roman" w:eastAsia="Calibri" w:hAnsi="Times New Roman"/>
                <w:sz w:val="24"/>
                <w:szCs w:val="24"/>
              </w:rPr>
            </w:pPr>
          </w:p>
        </w:tc>
        <w:tc>
          <w:tcPr>
            <w:tcW w:w="4707" w:type="pct"/>
          </w:tcPr>
          <w:p w:rsidR="0029667B" w:rsidRPr="0029667B" w:rsidRDefault="0029667B" w:rsidP="0029667B">
            <w:pPr>
              <w:jc w:val="both"/>
              <w:rPr>
                <w:rFonts w:ascii="Times New Roman" w:hAnsi="Times New Roman"/>
                <w:sz w:val="24"/>
                <w:szCs w:val="24"/>
              </w:rPr>
            </w:pPr>
            <w:r w:rsidRPr="0029667B">
              <w:rPr>
                <w:rFonts w:ascii="Times New Roman" w:hAnsi="Times New Roman"/>
                <w:sz w:val="24"/>
                <w:szCs w:val="24"/>
              </w:rPr>
              <w:t>Дмитриева О. Бюджет с петлей на шее // Московский комсомолец. 2012. № 26071.</w:t>
            </w:r>
          </w:p>
        </w:tc>
      </w:tr>
      <w:tr w:rsidR="0029667B" w:rsidRPr="0029667B" w:rsidTr="002D53BD">
        <w:trPr>
          <w:jc w:val="center"/>
        </w:trPr>
        <w:tc>
          <w:tcPr>
            <w:tcW w:w="293" w:type="pct"/>
          </w:tcPr>
          <w:p w:rsidR="0029667B" w:rsidRPr="0029667B" w:rsidRDefault="0029667B" w:rsidP="0029667B">
            <w:pPr>
              <w:widowControl w:val="0"/>
              <w:numPr>
                <w:ilvl w:val="0"/>
                <w:numId w:val="1"/>
              </w:numPr>
              <w:contextualSpacing/>
              <w:jc w:val="both"/>
              <w:rPr>
                <w:rFonts w:ascii="Times New Roman" w:eastAsia="Calibri" w:hAnsi="Times New Roman"/>
                <w:sz w:val="24"/>
                <w:szCs w:val="24"/>
              </w:rPr>
            </w:pPr>
          </w:p>
        </w:tc>
        <w:tc>
          <w:tcPr>
            <w:tcW w:w="4707" w:type="pct"/>
          </w:tcPr>
          <w:p w:rsidR="0029667B" w:rsidRPr="0029667B" w:rsidRDefault="0029667B" w:rsidP="0029667B">
            <w:pPr>
              <w:jc w:val="both"/>
              <w:rPr>
                <w:rFonts w:ascii="Times New Roman" w:hAnsi="Times New Roman"/>
                <w:sz w:val="24"/>
                <w:szCs w:val="24"/>
              </w:rPr>
            </w:pPr>
            <w:r w:rsidRPr="0029667B">
              <w:rPr>
                <w:rFonts w:ascii="Times New Roman" w:hAnsi="Times New Roman"/>
                <w:sz w:val="24"/>
                <w:szCs w:val="24"/>
              </w:rPr>
              <w:t>Ряховская А. Н. Антикризисное управление в современных условиях [Электронный ресурс]: Текст научной статьи по специальности «Экономика и экономические науки» – Место издания: Сyberleninka, №6 (141) 2013. – Режим доступа: URL. – Примечание («https://cyberleninka.ru/article/v/antikrizisnoe-upravlenie-v-sovremennyh-usloviyah-problemy-napravleniya-resheniya»).</w:t>
            </w:r>
          </w:p>
        </w:tc>
      </w:tr>
      <w:tr w:rsidR="0029667B" w:rsidRPr="0029667B" w:rsidTr="002D53BD">
        <w:trPr>
          <w:jc w:val="center"/>
        </w:trPr>
        <w:tc>
          <w:tcPr>
            <w:tcW w:w="293" w:type="pct"/>
          </w:tcPr>
          <w:p w:rsidR="0029667B" w:rsidRPr="0029667B" w:rsidRDefault="0029667B" w:rsidP="0029667B">
            <w:pPr>
              <w:widowControl w:val="0"/>
              <w:numPr>
                <w:ilvl w:val="0"/>
                <w:numId w:val="1"/>
              </w:numPr>
              <w:contextualSpacing/>
              <w:jc w:val="both"/>
              <w:rPr>
                <w:rFonts w:ascii="Times New Roman" w:eastAsia="Calibri" w:hAnsi="Times New Roman"/>
                <w:sz w:val="24"/>
                <w:szCs w:val="24"/>
              </w:rPr>
            </w:pPr>
          </w:p>
        </w:tc>
        <w:tc>
          <w:tcPr>
            <w:tcW w:w="4707" w:type="pct"/>
          </w:tcPr>
          <w:p w:rsidR="0029667B" w:rsidRPr="0029667B" w:rsidRDefault="0029667B" w:rsidP="0029667B">
            <w:pPr>
              <w:jc w:val="both"/>
              <w:rPr>
                <w:rFonts w:ascii="Times New Roman" w:hAnsi="Times New Roman"/>
                <w:sz w:val="24"/>
                <w:szCs w:val="24"/>
              </w:rPr>
            </w:pPr>
            <w:r w:rsidRPr="0029667B">
              <w:rPr>
                <w:rFonts w:ascii="Times New Roman" w:hAnsi="Times New Roman"/>
                <w:sz w:val="24"/>
                <w:szCs w:val="24"/>
              </w:rPr>
              <w:t>Степанов С.П. Антикризисное регулирование экономики: теория и практика. // Дайджест журнала "Право и жизнь". М.: ЮНИТИДАНА, 2005.38 с.</w:t>
            </w:r>
          </w:p>
        </w:tc>
      </w:tr>
      <w:tr w:rsidR="0029667B" w:rsidRPr="0029667B" w:rsidTr="002D53BD">
        <w:trPr>
          <w:jc w:val="center"/>
        </w:trPr>
        <w:tc>
          <w:tcPr>
            <w:tcW w:w="293" w:type="pct"/>
          </w:tcPr>
          <w:p w:rsidR="0029667B" w:rsidRPr="0029667B" w:rsidRDefault="0029667B" w:rsidP="0029667B">
            <w:pPr>
              <w:widowControl w:val="0"/>
              <w:numPr>
                <w:ilvl w:val="0"/>
                <w:numId w:val="1"/>
              </w:numPr>
              <w:contextualSpacing/>
              <w:jc w:val="both"/>
              <w:rPr>
                <w:rFonts w:ascii="Times New Roman" w:eastAsia="Calibri" w:hAnsi="Times New Roman"/>
                <w:sz w:val="24"/>
                <w:szCs w:val="24"/>
              </w:rPr>
            </w:pPr>
          </w:p>
        </w:tc>
        <w:tc>
          <w:tcPr>
            <w:tcW w:w="4707" w:type="pct"/>
          </w:tcPr>
          <w:p w:rsidR="0029667B" w:rsidRPr="0029667B" w:rsidRDefault="0029667B" w:rsidP="0029667B">
            <w:pPr>
              <w:jc w:val="both"/>
              <w:rPr>
                <w:rFonts w:ascii="Times New Roman" w:hAnsi="Times New Roman"/>
                <w:sz w:val="24"/>
                <w:szCs w:val="24"/>
              </w:rPr>
            </w:pPr>
            <w:r w:rsidRPr="0029667B">
              <w:rPr>
                <w:rFonts w:ascii="Times New Roman" w:hAnsi="Times New Roman"/>
                <w:sz w:val="24"/>
                <w:szCs w:val="24"/>
              </w:rPr>
              <w:t>Чижов П.Н. Опыт антикризисного управления в странах бывшего соцлагеря: состояние и перспективы // Дайджест журнала "Право и жизнь". М.: ЮНИТИ-ДАНА, 2005. С.121.</w:t>
            </w:r>
          </w:p>
        </w:tc>
      </w:tr>
      <w:tr w:rsidR="0029667B" w:rsidRPr="0029667B" w:rsidTr="002D53BD">
        <w:trPr>
          <w:jc w:val="center"/>
        </w:trPr>
        <w:tc>
          <w:tcPr>
            <w:tcW w:w="293" w:type="pct"/>
          </w:tcPr>
          <w:p w:rsidR="0029667B" w:rsidRPr="0029667B" w:rsidRDefault="0029667B" w:rsidP="0029667B">
            <w:pPr>
              <w:widowControl w:val="0"/>
              <w:numPr>
                <w:ilvl w:val="0"/>
                <w:numId w:val="1"/>
              </w:numPr>
              <w:contextualSpacing/>
              <w:jc w:val="both"/>
              <w:rPr>
                <w:rFonts w:ascii="Times New Roman" w:eastAsia="Calibri" w:hAnsi="Times New Roman"/>
                <w:sz w:val="24"/>
                <w:szCs w:val="24"/>
              </w:rPr>
            </w:pPr>
          </w:p>
        </w:tc>
        <w:tc>
          <w:tcPr>
            <w:tcW w:w="4707" w:type="pct"/>
          </w:tcPr>
          <w:p w:rsidR="0029667B" w:rsidRPr="0029667B" w:rsidRDefault="0029667B" w:rsidP="0029667B">
            <w:pPr>
              <w:jc w:val="both"/>
              <w:rPr>
                <w:rFonts w:ascii="Times New Roman" w:hAnsi="Times New Roman"/>
                <w:sz w:val="24"/>
                <w:szCs w:val="24"/>
              </w:rPr>
            </w:pPr>
            <w:r w:rsidRPr="0029667B">
              <w:rPr>
                <w:rFonts w:ascii="Times New Roman" w:hAnsi="Times New Roman"/>
                <w:sz w:val="24"/>
                <w:szCs w:val="24"/>
              </w:rPr>
              <w:t>Самуэльсон П. Э. Экономика : учебник / П. Э. Самуэльсон, В. Д. Нордхаус ; пер. с англ. – М. : Издат. дом “Вильямс”, 2009. – 1358 с.</w:t>
            </w:r>
          </w:p>
        </w:tc>
      </w:tr>
      <w:tr w:rsidR="0029667B" w:rsidRPr="0029667B" w:rsidTr="002D53BD">
        <w:trPr>
          <w:jc w:val="center"/>
        </w:trPr>
        <w:tc>
          <w:tcPr>
            <w:tcW w:w="293" w:type="pct"/>
          </w:tcPr>
          <w:p w:rsidR="0029667B" w:rsidRPr="0029667B" w:rsidRDefault="0029667B" w:rsidP="0029667B">
            <w:pPr>
              <w:widowControl w:val="0"/>
              <w:numPr>
                <w:ilvl w:val="0"/>
                <w:numId w:val="1"/>
              </w:numPr>
              <w:contextualSpacing/>
              <w:jc w:val="both"/>
              <w:rPr>
                <w:rFonts w:ascii="Times New Roman" w:eastAsia="Calibri" w:hAnsi="Times New Roman"/>
                <w:sz w:val="24"/>
                <w:szCs w:val="24"/>
              </w:rPr>
            </w:pPr>
          </w:p>
        </w:tc>
        <w:tc>
          <w:tcPr>
            <w:tcW w:w="4707" w:type="pct"/>
          </w:tcPr>
          <w:p w:rsidR="0029667B" w:rsidRPr="0029667B" w:rsidRDefault="0029667B" w:rsidP="0029667B">
            <w:pPr>
              <w:jc w:val="both"/>
              <w:rPr>
                <w:rFonts w:ascii="Times New Roman" w:hAnsi="Times New Roman"/>
                <w:sz w:val="24"/>
                <w:szCs w:val="24"/>
              </w:rPr>
            </w:pPr>
            <w:r w:rsidRPr="0029667B">
              <w:rPr>
                <w:rFonts w:ascii="Times New Roman" w:hAnsi="Times New Roman"/>
                <w:sz w:val="24"/>
                <w:szCs w:val="24"/>
              </w:rPr>
              <w:t>Кукуруз О. В. Политическая составляющая кризиса системы государственного управлени / О. В. Кукуруз // Государство и право. – 2010. – Вип. 50. – С. 672–677.</w:t>
            </w:r>
          </w:p>
        </w:tc>
      </w:tr>
    </w:tbl>
    <w:p w:rsidR="00410842" w:rsidRDefault="00410842">
      <w:bookmarkStart w:id="4" w:name="_GoBack"/>
      <w:bookmarkEnd w:id="4"/>
    </w:p>
    <w:sectPr w:rsidR="00410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9A2043"/>
    <w:multiLevelType w:val="hybridMultilevel"/>
    <w:tmpl w:val="9A704E28"/>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7B"/>
    <w:rsid w:val="0029667B"/>
    <w:rsid w:val="00410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9E163-D74D-4684-8D7B-E5A23714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667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1666</Words>
  <Characters>9498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2018-09-22T07:20:00Z</dcterms:created>
  <dcterms:modified xsi:type="dcterms:W3CDTF">2018-09-22T07:21:00Z</dcterms:modified>
</cp:coreProperties>
</file>