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5121"/>
      </w:tblGrid>
      <w:tr w:rsidR="0061776A" w:rsidRPr="0061776A" w:rsidTr="00665C78">
        <w:trPr>
          <w:jc w:val="center"/>
        </w:trPr>
        <w:tc>
          <w:tcPr>
            <w:tcW w:w="9566" w:type="dxa"/>
            <w:gridSpan w:val="2"/>
            <w:hideMark/>
          </w:tcPr>
          <w:p w:rsidR="0061776A" w:rsidRPr="0061776A" w:rsidRDefault="0061776A" w:rsidP="0061776A">
            <w:pPr>
              <w:contextualSpacing/>
            </w:pPr>
            <w:r w:rsidRPr="0061776A">
              <w:rPr>
                <w:b/>
              </w:rPr>
              <w:t>УДК 338.1</w:t>
            </w:r>
          </w:p>
        </w:tc>
      </w:tr>
      <w:tr w:rsidR="0061776A" w:rsidRPr="0061776A" w:rsidTr="00665C78">
        <w:trPr>
          <w:jc w:val="center"/>
        </w:trPr>
        <w:tc>
          <w:tcPr>
            <w:tcW w:w="4321" w:type="dxa"/>
          </w:tcPr>
          <w:p w:rsidR="0061776A" w:rsidRPr="0061776A" w:rsidRDefault="0061776A" w:rsidP="0061776A">
            <w:pPr>
              <w:widowControl w:val="0"/>
              <w:jc w:val="right"/>
              <w:rPr>
                <w:rFonts w:eastAsia="Times New Roman"/>
              </w:rPr>
            </w:pPr>
          </w:p>
        </w:tc>
        <w:tc>
          <w:tcPr>
            <w:tcW w:w="5245" w:type="dxa"/>
            <w:tcMar>
              <w:top w:w="0" w:type="dxa"/>
              <w:left w:w="0" w:type="dxa"/>
              <w:bottom w:w="0" w:type="dxa"/>
              <w:right w:w="0" w:type="dxa"/>
            </w:tcMar>
          </w:tcPr>
          <w:p w:rsidR="0061776A" w:rsidRPr="0061776A" w:rsidRDefault="0061776A" w:rsidP="0061776A">
            <w:pPr>
              <w:rPr>
                <w:rFonts w:eastAsia="Times New Roman"/>
                <w:i/>
                <w:lang w:eastAsia="ru-RU"/>
              </w:rPr>
            </w:pPr>
            <w:bookmarkStart w:id="0" w:name="_Toc9105798"/>
            <w:r w:rsidRPr="0061776A">
              <w:rPr>
                <w:rFonts w:eastAsiaTheme="majorEastAsia"/>
                <w:b/>
                <w:bCs/>
                <w:iCs/>
              </w:rPr>
              <w:t xml:space="preserve">E.A. </w:t>
            </w:r>
            <w:proofErr w:type="spellStart"/>
            <w:r w:rsidRPr="0061776A">
              <w:rPr>
                <w:rFonts w:eastAsiaTheme="majorEastAsia"/>
                <w:b/>
                <w:bCs/>
                <w:iCs/>
              </w:rPr>
              <w:t>Шумаева</w:t>
            </w:r>
            <w:proofErr w:type="spellEnd"/>
            <w:r w:rsidRPr="0061776A">
              <w:rPr>
                <w:rFonts w:eastAsiaTheme="majorEastAsia"/>
                <w:b/>
                <w:bCs/>
                <w:iCs/>
              </w:rPr>
              <w:t>,</w:t>
            </w:r>
            <w:bookmarkEnd w:id="0"/>
            <w:r w:rsidRPr="0061776A">
              <w:rPr>
                <w:b/>
              </w:rPr>
              <w:t xml:space="preserve"> </w:t>
            </w:r>
            <w:r w:rsidRPr="0061776A">
              <w:rPr>
                <w:rFonts w:eastAsia="Times New Roman"/>
                <w:i/>
                <w:lang w:eastAsia="ru-RU"/>
              </w:rPr>
              <w:t>к. гос. упр., доц.,</w:t>
            </w:r>
          </w:p>
          <w:p w:rsidR="0061776A" w:rsidRPr="0061776A" w:rsidRDefault="0061776A" w:rsidP="0061776A">
            <w:pPr>
              <w:keepNext/>
              <w:jc w:val="both"/>
              <w:outlineLvl w:val="1"/>
              <w:rPr>
                <w:rFonts w:ascii="Times New Roman Полужирный" w:eastAsiaTheme="majorEastAsia" w:hAnsi="Times New Roman Полужирный"/>
                <w:b/>
                <w:bCs/>
                <w:iCs/>
                <w:szCs w:val="28"/>
              </w:rPr>
            </w:pPr>
            <w:bookmarkStart w:id="1" w:name="_Toc9105799"/>
            <w:r w:rsidRPr="0061776A">
              <w:rPr>
                <w:rFonts w:ascii="Times New Roman Полужирный" w:eastAsiaTheme="majorEastAsia" w:hAnsi="Times New Roman Полужирный"/>
                <w:b/>
                <w:bCs/>
                <w:iCs/>
                <w:szCs w:val="28"/>
              </w:rPr>
              <w:t xml:space="preserve">А.А. </w:t>
            </w:r>
            <w:proofErr w:type="spellStart"/>
            <w:r w:rsidRPr="0061776A">
              <w:rPr>
                <w:rFonts w:ascii="Times New Roman Полужирный" w:eastAsiaTheme="majorEastAsia" w:hAnsi="Times New Roman Полужирный"/>
                <w:b/>
                <w:bCs/>
                <w:iCs/>
                <w:szCs w:val="28"/>
              </w:rPr>
              <w:t>Подбуцкий</w:t>
            </w:r>
            <w:bookmarkEnd w:id="1"/>
            <w:proofErr w:type="spellEnd"/>
          </w:p>
          <w:p w:rsidR="0061776A" w:rsidRPr="0061776A" w:rsidRDefault="0061776A" w:rsidP="0061776A">
            <w:pPr>
              <w:contextualSpacing/>
              <w:rPr>
                <w:i/>
              </w:rPr>
            </w:pPr>
            <w:r w:rsidRPr="0061776A">
              <w:rPr>
                <w:i/>
              </w:rPr>
              <w:t xml:space="preserve">ГОУ ВПО «Донецкий национальный </w:t>
            </w:r>
          </w:p>
          <w:p w:rsidR="0061776A" w:rsidRPr="0061776A" w:rsidRDefault="0061776A" w:rsidP="0061776A">
            <w:pPr>
              <w:contextualSpacing/>
            </w:pPr>
            <w:r w:rsidRPr="0061776A">
              <w:rPr>
                <w:i/>
              </w:rPr>
              <w:t>технический университет»,</w:t>
            </w:r>
            <w:r w:rsidRPr="0061776A">
              <w:t xml:space="preserve"> </w:t>
            </w:r>
          </w:p>
          <w:p w:rsidR="0061776A" w:rsidRPr="0061776A" w:rsidRDefault="0061776A" w:rsidP="0061776A">
            <w:pPr>
              <w:contextualSpacing/>
              <w:rPr>
                <w:i/>
              </w:rPr>
            </w:pPr>
            <w:r w:rsidRPr="0061776A">
              <w:rPr>
                <w:i/>
              </w:rPr>
              <w:t>Донецк, Донецкая Народная Республика</w:t>
            </w:r>
          </w:p>
          <w:p w:rsidR="0061776A" w:rsidRPr="0061776A" w:rsidRDefault="0061776A" w:rsidP="0061776A">
            <w:pPr>
              <w:contextualSpacing/>
              <w:rPr>
                <w:b/>
                <w:i/>
                <w:lang w:val="en-US"/>
              </w:rPr>
            </w:pPr>
            <w:r w:rsidRPr="0061776A">
              <w:rPr>
                <w:b/>
                <w:i/>
                <w:lang w:val="en-US"/>
              </w:rPr>
              <w:t xml:space="preserve">E.A. </w:t>
            </w:r>
            <w:proofErr w:type="spellStart"/>
            <w:r w:rsidRPr="0061776A">
              <w:rPr>
                <w:b/>
                <w:i/>
                <w:lang w:val="en-US"/>
              </w:rPr>
              <w:t>Shumaieva</w:t>
            </w:r>
            <w:proofErr w:type="spellEnd"/>
            <w:r w:rsidRPr="0061776A">
              <w:rPr>
                <w:b/>
                <w:i/>
                <w:lang w:val="en-US"/>
              </w:rPr>
              <w:t xml:space="preserve">, A.A. </w:t>
            </w:r>
            <w:proofErr w:type="spellStart"/>
            <w:r w:rsidRPr="0061776A">
              <w:rPr>
                <w:b/>
                <w:i/>
                <w:lang w:val="en-US"/>
              </w:rPr>
              <w:t>Podbutskyy</w:t>
            </w:r>
            <w:proofErr w:type="spellEnd"/>
          </w:p>
          <w:p w:rsidR="0061776A" w:rsidRPr="0061776A" w:rsidRDefault="0061776A" w:rsidP="0061776A">
            <w:pPr>
              <w:contextualSpacing/>
              <w:rPr>
                <w:i/>
                <w:lang w:val="en-US"/>
              </w:rPr>
            </w:pPr>
            <w:r w:rsidRPr="0061776A">
              <w:rPr>
                <w:i/>
                <w:lang w:val="en-US"/>
              </w:rPr>
              <w:t>Donetsk national technical university,</w:t>
            </w:r>
          </w:p>
          <w:p w:rsidR="0061776A" w:rsidRPr="0061776A" w:rsidRDefault="0061776A" w:rsidP="0061776A">
            <w:pPr>
              <w:contextualSpacing/>
              <w:rPr>
                <w:lang w:val="en-US"/>
              </w:rPr>
            </w:pPr>
            <w:r w:rsidRPr="0061776A">
              <w:rPr>
                <w:i/>
                <w:lang w:val="en-US"/>
              </w:rPr>
              <w:t>Donetsk, Donetsk People's Republic</w:t>
            </w:r>
          </w:p>
        </w:tc>
      </w:tr>
      <w:tr w:rsidR="0061776A" w:rsidRPr="0061776A" w:rsidTr="00665C78">
        <w:trPr>
          <w:jc w:val="center"/>
        </w:trPr>
        <w:tc>
          <w:tcPr>
            <w:tcW w:w="4321" w:type="dxa"/>
          </w:tcPr>
          <w:p w:rsidR="0061776A" w:rsidRPr="0061776A" w:rsidRDefault="0061776A" w:rsidP="0061776A">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val="en-US" w:eastAsia="ru-RU"/>
              </w:rPr>
            </w:pPr>
          </w:p>
        </w:tc>
        <w:tc>
          <w:tcPr>
            <w:tcW w:w="5245" w:type="dxa"/>
          </w:tcPr>
          <w:p w:rsidR="0061776A" w:rsidRPr="0061776A" w:rsidRDefault="0061776A" w:rsidP="0061776A">
            <w:pPr>
              <w:widowControl w:val="0"/>
              <w:jc w:val="both"/>
              <w:rPr>
                <w:lang w:val="en-US"/>
              </w:rPr>
            </w:pPr>
          </w:p>
        </w:tc>
      </w:tr>
      <w:tr w:rsidR="0061776A" w:rsidRPr="0061776A" w:rsidTr="00665C78">
        <w:trPr>
          <w:jc w:val="center"/>
        </w:trPr>
        <w:tc>
          <w:tcPr>
            <w:tcW w:w="9566" w:type="dxa"/>
            <w:gridSpan w:val="2"/>
          </w:tcPr>
          <w:p w:rsidR="0061776A" w:rsidRPr="0061776A" w:rsidRDefault="0061776A" w:rsidP="0061776A">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bookmarkStart w:id="2" w:name="_Toc9105800"/>
            <w:r w:rsidRPr="0061776A">
              <w:rPr>
                <w:rFonts w:ascii="Times New Roman Полужирный" w:eastAsia="Calibri" w:hAnsi="Times New Roman Полужирный"/>
                <w:bCs/>
                <w:kern w:val="32"/>
                <w:szCs w:val="28"/>
                <w:bdr w:val="none" w:sz="0" w:space="0" w:color="auto" w:frame="1"/>
                <w:shd w:val="clear" w:color="auto" w:fill="FFFFFF"/>
                <w:lang w:eastAsia="ru-RU"/>
              </w:rPr>
              <w:t>АНТИКРИЗИСНОЕ РАЗВИТИЕ ЭКОНОМИКИ ДОНЕЦКОЙ НАРОДНОЙ РЕСПУБЛИКИ ЧЕРЕЗ ПОВЫШЕНИЕ ЭФФЕКТИВНОСТИ ДЕЯТЕЛЬНОСТИ ПРОМЫШЛЕННОГО СЕКТОРА</w:t>
            </w:r>
            <w:bookmarkEnd w:id="2"/>
          </w:p>
        </w:tc>
      </w:tr>
      <w:tr w:rsidR="0061776A" w:rsidRPr="0061776A" w:rsidTr="00665C78">
        <w:trPr>
          <w:jc w:val="center"/>
        </w:trPr>
        <w:tc>
          <w:tcPr>
            <w:tcW w:w="9566" w:type="dxa"/>
            <w:gridSpan w:val="2"/>
          </w:tcPr>
          <w:p w:rsidR="0061776A" w:rsidRPr="0061776A" w:rsidRDefault="0061776A" w:rsidP="0061776A">
            <w:pPr>
              <w:ind w:firstLine="709"/>
              <w:contextualSpacing/>
              <w:jc w:val="center"/>
              <w:rPr>
                <w:b/>
                <w:lang w:val="en-US"/>
              </w:rPr>
            </w:pPr>
            <w:r w:rsidRPr="0061776A">
              <w:rPr>
                <w:b/>
                <w:lang w:val="en-US"/>
              </w:rPr>
              <w:t>ANTI-CRISIS DEVELOPMENT OF THE ECONOMY OF THE DONETSK PEOPLE'S REPUBLIC THROUGH THE INCREASE OF EFFICIENCY OF ACTIVITY OF THE INDUSTRIAL SECTOR</w:t>
            </w:r>
          </w:p>
        </w:tc>
      </w:tr>
    </w:tbl>
    <w:p w:rsidR="0061776A" w:rsidRPr="0061776A" w:rsidRDefault="0061776A" w:rsidP="0061776A">
      <w:pPr>
        <w:spacing w:after="0" w:line="240" w:lineRule="auto"/>
        <w:ind w:firstLine="709"/>
        <w:contextualSpacing/>
        <w:jc w:val="both"/>
        <w:rPr>
          <w:rFonts w:ascii="Times New Roman" w:hAnsi="Times New Roman" w:cs="Times New Roman"/>
          <w:sz w:val="24"/>
          <w:szCs w:val="24"/>
          <w:lang w:val="en-US"/>
        </w:rPr>
      </w:pPr>
    </w:p>
    <w:p w:rsidR="0061776A" w:rsidRPr="0061776A" w:rsidRDefault="0061776A" w:rsidP="0061776A">
      <w:pPr>
        <w:spacing w:after="0" w:line="240" w:lineRule="auto"/>
        <w:ind w:firstLine="720"/>
        <w:contextualSpacing/>
        <w:jc w:val="both"/>
        <w:rPr>
          <w:rFonts w:ascii="Times New Roman" w:hAnsi="Times New Roman" w:cs="Times New Roman"/>
          <w:i/>
          <w:sz w:val="24"/>
          <w:szCs w:val="24"/>
        </w:rPr>
      </w:pPr>
      <w:r w:rsidRPr="0061776A">
        <w:rPr>
          <w:rFonts w:ascii="Times New Roman" w:hAnsi="Times New Roman" w:cs="Times New Roman"/>
          <w:i/>
          <w:sz w:val="24"/>
          <w:szCs w:val="24"/>
        </w:rPr>
        <w:t xml:space="preserve">Аннотация. В данной статье исследованы актуальные вопросы перспективного развития промышленности непризнанного государства, в том числе с внедрением инновационных изменений в промышленной стратегии развития региона. </w:t>
      </w:r>
    </w:p>
    <w:p w:rsidR="0061776A" w:rsidRPr="0061776A" w:rsidRDefault="0061776A" w:rsidP="0061776A">
      <w:pPr>
        <w:spacing w:after="0" w:line="240" w:lineRule="auto"/>
        <w:ind w:firstLine="720"/>
        <w:contextualSpacing/>
        <w:jc w:val="both"/>
        <w:rPr>
          <w:rFonts w:ascii="Times New Roman" w:hAnsi="Times New Roman" w:cs="Times New Roman"/>
          <w:i/>
          <w:sz w:val="24"/>
          <w:szCs w:val="24"/>
        </w:rPr>
      </w:pPr>
      <w:r w:rsidRPr="0061776A">
        <w:rPr>
          <w:rFonts w:ascii="Times New Roman" w:hAnsi="Times New Roman" w:cs="Times New Roman"/>
          <w:i/>
          <w:sz w:val="24"/>
          <w:szCs w:val="24"/>
        </w:rPr>
        <w:t>Ключевые слова: инновационная активность, промышленный сектор, антикризисное развитие.</w:t>
      </w:r>
    </w:p>
    <w:p w:rsidR="0061776A" w:rsidRPr="0061776A" w:rsidRDefault="0061776A" w:rsidP="0061776A">
      <w:pPr>
        <w:spacing w:after="0" w:line="240" w:lineRule="auto"/>
        <w:ind w:firstLine="720"/>
        <w:contextualSpacing/>
        <w:jc w:val="both"/>
        <w:rPr>
          <w:rFonts w:ascii="Times New Roman" w:hAnsi="Times New Roman" w:cs="Times New Roman"/>
          <w:i/>
          <w:sz w:val="24"/>
          <w:szCs w:val="24"/>
        </w:rPr>
      </w:pPr>
    </w:p>
    <w:p w:rsidR="0061776A" w:rsidRPr="0061776A" w:rsidRDefault="0061776A" w:rsidP="0061776A">
      <w:pPr>
        <w:spacing w:after="0" w:line="240" w:lineRule="auto"/>
        <w:ind w:firstLine="720"/>
        <w:contextualSpacing/>
        <w:jc w:val="both"/>
        <w:rPr>
          <w:rFonts w:ascii="Times New Roman" w:hAnsi="Times New Roman" w:cs="Times New Roman"/>
          <w:i/>
          <w:sz w:val="24"/>
          <w:szCs w:val="24"/>
          <w:lang w:val="en-US"/>
        </w:rPr>
      </w:pPr>
      <w:r w:rsidRPr="0061776A">
        <w:rPr>
          <w:rFonts w:ascii="Times New Roman" w:eastAsia="Calibri" w:hAnsi="Times New Roman" w:cs="Times New Roman"/>
          <w:i/>
          <w:sz w:val="24"/>
          <w:szCs w:val="24"/>
          <w:lang w:val="en-US"/>
        </w:rPr>
        <w:t>Abstract</w:t>
      </w:r>
      <w:r w:rsidRPr="0061776A">
        <w:rPr>
          <w:rFonts w:ascii="Times New Roman" w:hAnsi="Times New Roman" w:cs="Times New Roman"/>
          <w:i/>
          <w:sz w:val="24"/>
          <w:szCs w:val="24"/>
          <w:lang w:val="en-US"/>
        </w:rPr>
        <w:t>. Currently, the successful conduct of competition, both at the enterprise level and at the state level, is impossible without innovative changes, the introduction of new technologies and financial support for these activities. In this article the actual questions of perspective development of the industry of the unrecognized state, including with introduction of innovative changes in strategy of industrial formation of the region are investigated.</w:t>
      </w:r>
    </w:p>
    <w:p w:rsidR="0061776A" w:rsidRPr="0061776A" w:rsidRDefault="0061776A" w:rsidP="0061776A">
      <w:pPr>
        <w:spacing w:after="0" w:line="240" w:lineRule="auto"/>
        <w:ind w:firstLine="709"/>
        <w:contextualSpacing/>
        <w:jc w:val="both"/>
        <w:rPr>
          <w:rFonts w:ascii="Times New Roman" w:hAnsi="Times New Roman" w:cs="Times New Roman"/>
          <w:i/>
          <w:sz w:val="24"/>
          <w:szCs w:val="24"/>
          <w:lang w:val="en-US"/>
        </w:rPr>
      </w:pPr>
      <w:r w:rsidRPr="0061776A">
        <w:rPr>
          <w:rFonts w:ascii="Times New Roman" w:hAnsi="Times New Roman" w:cs="Times New Roman"/>
          <w:i/>
          <w:sz w:val="24"/>
          <w:szCs w:val="24"/>
          <w:lang w:val="en-US"/>
        </w:rPr>
        <w:t xml:space="preserve"> Keywords: innovative activity, industrial sector, anti-crisis development.</w:t>
      </w:r>
    </w:p>
    <w:p w:rsidR="0061776A" w:rsidRPr="0061776A" w:rsidRDefault="0061776A" w:rsidP="0061776A">
      <w:pPr>
        <w:spacing w:after="0" w:line="240" w:lineRule="auto"/>
        <w:ind w:firstLine="709"/>
        <w:contextualSpacing/>
        <w:jc w:val="both"/>
        <w:rPr>
          <w:rFonts w:ascii="Times New Roman" w:hAnsi="Times New Roman" w:cs="Times New Roman"/>
          <w:i/>
          <w:sz w:val="24"/>
          <w:szCs w:val="24"/>
          <w:lang w:val="en-US"/>
        </w:rPr>
      </w:pP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b/>
          <w:sz w:val="28"/>
        </w:rPr>
        <w:t xml:space="preserve">Постановка проблемы. </w:t>
      </w:r>
      <w:r w:rsidRPr="0061776A">
        <w:rPr>
          <w:rFonts w:ascii="Times New Roman" w:hAnsi="Times New Roman" w:cs="Times New Roman"/>
          <w:sz w:val="28"/>
        </w:rPr>
        <w:t xml:space="preserve">На сегодняшний день экономика Республики находится в положении кризиса, это связанно </w:t>
      </w:r>
      <w:proofErr w:type="gramStart"/>
      <w:r w:rsidRPr="0061776A">
        <w:rPr>
          <w:rFonts w:ascii="Times New Roman" w:hAnsi="Times New Roman" w:cs="Times New Roman"/>
          <w:sz w:val="28"/>
        </w:rPr>
        <w:t>с</w:t>
      </w:r>
      <w:proofErr w:type="gramEnd"/>
      <w:r w:rsidRPr="0061776A">
        <w:rPr>
          <w:rFonts w:ascii="Times New Roman" w:hAnsi="Times New Roman" w:cs="Times New Roman"/>
          <w:sz w:val="28"/>
        </w:rPr>
        <w:t xml:space="preserve"> многими факторами, такими как – военное положение, экономическая блокада со стороны Украины, миграция населения, однако, одним из главных факторов является устаревание основных производственных фондов и методов технологической деятельности промышленных предприятий. Это негативно влияет на развитие всех секторов экономики Республики, поэтому особую актуальность имеют направления антикризисного развития.</w:t>
      </w: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b/>
          <w:sz w:val="28"/>
        </w:rPr>
        <w:t xml:space="preserve">Анализ предыдущих исследований и публикаций. </w:t>
      </w:r>
      <w:r w:rsidRPr="0061776A">
        <w:rPr>
          <w:rFonts w:ascii="Times New Roman" w:hAnsi="Times New Roman" w:cs="Times New Roman"/>
          <w:sz w:val="28"/>
        </w:rPr>
        <w:t>Данным вопросом занимались такие ученые, как Кравченко Л.Н., Саламатин А.Г., Щипцов А.А., Максимов Н.Н. и др. В их работах глубоко рассмотрены вопросы, связанные с развитием промышленного сектора, однако не были учтены факторы современных условий существования экономик непризнанных территорий.</w:t>
      </w: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b/>
          <w:sz w:val="28"/>
        </w:rPr>
        <w:t xml:space="preserve">Цель статьи – </w:t>
      </w:r>
      <w:r w:rsidRPr="0061776A">
        <w:rPr>
          <w:rFonts w:ascii="Times New Roman" w:hAnsi="Times New Roman" w:cs="Times New Roman"/>
          <w:sz w:val="28"/>
        </w:rPr>
        <w:t>исследование проблемы антикризисного развития территории и выработка рекомендуемых направлений деятельности.</w:t>
      </w: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b/>
          <w:sz w:val="28"/>
        </w:rPr>
        <w:lastRenderedPageBreak/>
        <w:t>Основные результаты исследования.</w:t>
      </w:r>
      <w:r w:rsidRPr="0061776A">
        <w:rPr>
          <w:rFonts w:ascii="Times New Roman" w:hAnsi="Times New Roman" w:cs="Times New Roman"/>
          <w:sz w:val="28"/>
        </w:rPr>
        <w:t xml:space="preserve"> В настоящее время определяющие позиции антикризисного развития региона отражаются в политике и деятельности государства. Большинство современных обществ за основу развития экономики берут фактор инновационного прогресса, то есть позицию лидера на мировом рынке занимает организация, которая активно использует и создает новаторские продукты. Для эффективного антикризисного развития экономики Донецкой Народной Республики необходимо использовать опыт стран-лидеров, который возможно адаптировать в местных условиях.</w:t>
      </w: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 xml:space="preserve">Так как основным источником доходов Республики является промышленный сектор, то его развитие является актуальной проблемой на сегодняшний день. Стоит отметить, что развитие должно касаться не только средств, повышающих объемы производства, но и качества, охраны труда и экономии времени в синергии со снижением влияния на экологию региона. </w:t>
      </w:r>
    </w:p>
    <w:p w:rsidR="0061776A" w:rsidRPr="0061776A" w:rsidRDefault="0061776A" w:rsidP="0061776A">
      <w:pPr>
        <w:widowControl w:val="0"/>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 xml:space="preserve">Повышение эффективности деятельности угольно-добывающего сектора является стратегически важной задачей для развития всей промышленности Донбасса, это объясняется зависимостью практически всех отраслей от добычи каменного угля. Поэтому задача по снижению себестоимости и повышению безопасности добычи твердого топлива должна рассматриваться как на уровне организации, так и </w:t>
      </w:r>
      <w:proofErr w:type="gramStart"/>
      <w:r w:rsidRPr="0061776A">
        <w:rPr>
          <w:rFonts w:ascii="Times New Roman" w:hAnsi="Times New Roman" w:cs="Times New Roman"/>
          <w:sz w:val="28"/>
        </w:rPr>
        <w:t>на</w:t>
      </w:r>
      <w:proofErr w:type="gramEnd"/>
      <w:r w:rsidRPr="0061776A">
        <w:rPr>
          <w:rFonts w:ascii="Times New Roman" w:hAnsi="Times New Roman" w:cs="Times New Roman"/>
          <w:sz w:val="28"/>
        </w:rPr>
        <w:t xml:space="preserve"> государственном. </w:t>
      </w: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 xml:space="preserve">Стоит отметить, что данная отрасль является перспективной относительно будущего развития Республики и всей мировой экономики, что объясняется ростом интереса к альтернативному энергоносителю – жидкому топливу, получаемому из угля. При росте цен на нефть и газ данный вид топлива, благодаря усилиям ученых, имеет тенденцию к снижению себестоимости, что влечет за собой большую конкурентоспособность. </w:t>
      </w: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 xml:space="preserve">Кроме того, специалисты  МВФ прогнозируют достаточно высокие цены на нефть еще как минимум пару десятилетий, поэтому целый ряд национальных экономик, прежде всего, США, Китай, Индия, Канада, намерены серьезно увеличивать количество угольных электростанций [1]. </w:t>
      </w: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 xml:space="preserve">Таким образом, угольно-добывающий сектор, при верном его развитии, в дальнейшем может оказать значительное положительное влияние на экономику Республики, повысить конкурентоспособность региона, а так же стать базисом для выхода промышленности на новые мировые рынки. </w:t>
      </w: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Согласно современным мировым тенденциям развития экономики, повышение эффективности деятельности промышленного сектора должно происходить в процессе инновационных изменений – разработок, внедрений новаций. Такая деятельность не только повышает конкурентоспособность, но и укрепляет позицию сектора или организации на рынке, с учетом перспективного развития и повышения прибыли. Стоит отметить, что уровень инновационной активности промышленных организаций в Донецкой Народной Республике имеет относительно низкий показатель, что представлено в табл. 1.</w:t>
      </w:r>
    </w:p>
    <w:p w:rsidR="0061776A" w:rsidRPr="0061776A" w:rsidRDefault="0061776A" w:rsidP="0061776A">
      <w:pPr>
        <w:spacing w:after="0" w:line="240" w:lineRule="auto"/>
        <w:ind w:left="1560" w:hanging="1560"/>
        <w:contextualSpacing/>
        <w:jc w:val="right"/>
        <w:rPr>
          <w:rFonts w:ascii="Times New Roman" w:hAnsi="Times New Roman" w:cs="Times New Roman"/>
          <w:sz w:val="28"/>
        </w:rPr>
      </w:pPr>
    </w:p>
    <w:p w:rsidR="0061776A" w:rsidRPr="0061776A" w:rsidRDefault="0061776A" w:rsidP="0061776A">
      <w:pPr>
        <w:spacing w:after="0" w:line="240" w:lineRule="auto"/>
        <w:ind w:left="1560" w:hanging="1560"/>
        <w:contextualSpacing/>
        <w:jc w:val="right"/>
        <w:rPr>
          <w:rFonts w:ascii="Times New Roman" w:hAnsi="Times New Roman" w:cs="Times New Roman"/>
          <w:sz w:val="28"/>
        </w:rPr>
      </w:pPr>
      <w:r w:rsidRPr="0061776A">
        <w:rPr>
          <w:rFonts w:ascii="Times New Roman" w:hAnsi="Times New Roman" w:cs="Times New Roman"/>
          <w:sz w:val="28"/>
        </w:rPr>
        <w:t>Таблица 1</w:t>
      </w:r>
    </w:p>
    <w:p w:rsidR="0061776A" w:rsidRPr="0061776A" w:rsidRDefault="0061776A" w:rsidP="0061776A">
      <w:pPr>
        <w:spacing w:after="0" w:line="240" w:lineRule="auto"/>
        <w:ind w:left="1560" w:hanging="1560"/>
        <w:contextualSpacing/>
        <w:jc w:val="center"/>
        <w:rPr>
          <w:rFonts w:ascii="Times New Roman" w:hAnsi="Times New Roman" w:cs="Times New Roman"/>
          <w:sz w:val="28"/>
        </w:rPr>
      </w:pPr>
      <w:r w:rsidRPr="0061776A">
        <w:rPr>
          <w:rFonts w:ascii="Times New Roman" w:hAnsi="Times New Roman" w:cs="Times New Roman"/>
          <w:sz w:val="28"/>
        </w:rPr>
        <w:lastRenderedPageBreak/>
        <w:t>Уровень инновационной активности промышленных организаций Донецкой Народной Республики [3]</w:t>
      </w:r>
    </w:p>
    <w:tbl>
      <w:tblPr>
        <w:tblW w:w="9654" w:type="dxa"/>
        <w:tblInd w:w="93" w:type="dxa"/>
        <w:tblLook w:val="04A0" w:firstRow="1" w:lastRow="0" w:firstColumn="1" w:lastColumn="0" w:noHBand="0" w:noVBand="1"/>
      </w:tblPr>
      <w:tblGrid>
        <w:gridCol w:w="785"/>
        <w:gridCol w:w="1564"/>
        <w:gridCol w:w="2286"/>
        <w:gridCol w:w="2384"/>
        <w:gridCol w:w="2635"/>
      </w:tblGrid>
      <w:tr w:rsidR="0061776A" w:rsidRPr="0061776A" w:rsidTr="00665C78">
        <w:trPr>
          <w:trHeight w:val="442"/>
        </w:trPr>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Годы</w:t>
            </w:r>
          </w:p>
        </w:tc>
        <w:tc>
          <w:tcPr>
            <w:tcW w:w="8869" w:type="dxa"/>
            <w:gridSpan w:val="4"/>
            <w:tcBorders>
              <w:top w:val="single" w:sz="4" w:space="0" w:color="auto"/>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Удельный вес организаций, осуществлявших инновационную деятельность в общем числе обследованных организаций, %</w:t>
            </w:r>
          </w:p>
        </w:tc>
      </w:tr>
      <w:tr w:rsidR="0061776A" w:rsidRPr="0061776A" w:rsidTr="00665C78">
        <w:trPr>
          <w:trHeight w:val="449"/>
        </w:trPr>
        <w:tc>
          <w:tcPr>
            <w:tcW w:w="785" w:type="dxa"/>
            <w:vMerge/>
            <w:tcBorders>
              <w:top w:val="single" w:sz="4" w:space="0" w:color="auto"/>
              <w:left w:val="single" w:sz="4" w:space="0" w:color="auto"/>
              <w:bottom w:val="single" w:sz="4" w:space="0" w:color="auto"/>
              <w:right w:val="single" w:sz="4" w:space="0" w:color="auto"/>
            </w:tcBorders>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p>
        </w:tc>
        <w:tc>
          <w:tcPr>
            <w:tcW w:w="1564"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Инновации в целом</w:t>
            </w:r>
          </w:p>
        </w:tc>
        <w:tc>
          <w:tcPr>
            <w:tcW w:w="2286"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Технологические инновации</w:t>
            </w:r>
          </w:p>
        </w:tc>
        <w:tc>
          <w:tcPr>
            <w:tcW w:w="2384"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Организационные инновации</w:t>
            </w:r>
          </w:p>
        </w:tc>
        <w:tc>
          <w:tcPr>
            <w:tcW w:w="2635"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Продуктовые инновации</w:t>
            </w:r>
          </w:p>
        </w:tc>
      </w:tr>
      <w:tr w:rsidR="0061776A" w:rsidRPr="0061776A" w:rsidTr="00665C78">
        <w:trPr>
          <w:trHeight w:val="315"/>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2015</w:t>
            </w:r>
          </w:p>
        </w:tc>
        <w:tc>
          <w:tcPr>
            <w:tcW w:w="1564"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14,1</w:t>
            </w:r>
          </w:p>
        </w:tc>
        <w:tc>
          <w:tcPr>
            <w:tcW w:w="2286"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7,5</w:t>
            </w:r>
          </w:p>
        </w:tc>
        <w:tc>
          <w:tcPr>
            <w:tcW w:w="2384"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2,3</w:t>
            </w:r>
          </w:p>
        </w:tc>
        <w:tc>
          <w:tcPr>
            <w:tcW w:w="2635"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4,3</w:t>
            </w:r>
          </w:p>
        </w:tc>
      </w:tr>
      <w:tr w:rsidR="0061776A" w:rsidRPr="0061776A" w:rsidTr="00665C78">
        <w:trPr>
          <w:trHeight w:val="264"/>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2016</w:t>
            </w:r>
          </w:p>
        </w:tc>
        <w:tc>
          <w:tcPr>
            <w:tcW w:w="1564"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3,5</w:t>
            </w:r>
          </w:p>
        </w:tc>
        <w:tc>
          <w:tcPr>
            <w:tcW w:w="2286"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2,0</w:t>
            </w:r>
          </w:p>
        </w:tc>
        <w:tc>
          <w:tcPr>
            <w:tcW w:w="2384"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0,6</w:t>
            </w:r>
          </w:p>
        </w:tc>
        <w:tc>
          <w:tcPr>
            <w:tcW w:w="2635"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0,9</w:t>
            </w:r>
          </w:p>
        </w:tc>
      </w:tr>
      <w:tr w:rsidR="0061776A" w:rsidRPr="0061776A" w:rsidTr="00665C78">
        <w:trPr>
          <w:trHeight w:val="26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2017</w:t>
            </w:r>
          </w:p>
        </w:tc>
        <w:tc>
          <w:tcPr>
            <w:tcW w:w="1564"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9,4</w:t>
            </w:r>
          </w:p>
        </w:tc>
        <w:tc>
          <w:tcPr>
            <w:tcW w:w="2286"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5,7</w:t>
            </w:r>
          </w:p>
        </w:tc>
        <w:tc>
          <w:tcPr>
            <w:tcW w:w="2384"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1,2</w:t>
            </w:r>
          </w:p>
        </w:tc>
        <w:tc>
          <w:tcPr>
            <w:tcW w:w="2635"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2,5</w:t>
            </w:r>
          </w:p>
        </w:tc>
      </w:tr>
      <w:tr w:rsidR="0061776A" w:rsidRPr="0061776A" w:rsidTr="00665C78">
        <w:trPr>
          <w:trHeight w:val="258"/>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2018</w:t>
            </w:r>
          </w:p>
        </w:tc>
        <w:tc>
          <w:tcPr>
            <w:tcW w:w="1564"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15,1</w:t>
            </w:r>
          </w:p>
        </w:tc>
        <w:tc>
          <w:tcPr>
            <w:tcW w:w="2286"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8,3</w:t>
            </w:r>
          </w:p>
        </w:tc>
        <w:tc>
          <w:tcPr>
            <w:tcW w:w="2384"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2,3</w:t>
            </w:r>
          </w:p>
        </w:tc>
        <w:tc>
          <w:tcPr>
            <w:tcW w:w="2635"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4,5</w:t>
            </w:r>
          </w:p>
        </w:tc>
      </w:tr>
    </w:tbl>
    <w:p w:rsidR="0061776A" w:rsidRPr="0061776A" w:rsidRDefault="0061776A" w:rsidP="0061776A">
      <w:pPr>
        <w:spacing w:after="0" w:line="240" w:lineRule="auto"/>
        <w:ind w:firstLine="709"/>
        <w:contextualSpacing/>
        <w:jc w:val="both"/>
        <w:rPr>
          <w:rFonts w:ascii="Times New Roman" w:hAnsi="Times New Roman" w:cs="Times New Roman"/>
          <w:sz w:val="28"/>
        </w:rPr>
      </w:pP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 xml:space="preserve">Из таблицы видно, что уровень инновационной деятельности в 2018 г. практически не изменился по отношению с 2015 г., кроме того в 2016 г. данный показатель демонстрировал тенденцию к снижению. Такой уровень инновационной активности организаций не создает возможность конкурентоспособного развития республиканской экономики. </w:t>
      </w: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Стоит отметить, что больший процент исследований приходится на технологические инновации, что является положительным для непосредственного процесса производственной деятельности, однако, следует учесть, что такое развитие не влияет на сам продукт (не повышает его качество и полезные свойства). Для более эффективной деятельности исследования (технологических, организационных и продуктовых инноваций) должны происходить в синергии, то есть научные разработки должны происходить в комплексе с учетом влияния на конечный продукт.</w:t>
      </w: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Стоит отметить, что мировой опыт показывает необходимость в постоянном развитии инновационных разработках и важность их для промышленных организаций, что отражается в достаточно высоком уровне показателя активности инновационной деятельности (табл. 2).</w:t>
      </w:r>
    </w:p>
    <w:p w:rsidR="0061776A" w:rsidRPr="0061776A" w:rsidRDefault="0061776A" w:rsidP="0061776A">
      <w:pPr>
        <w:spacing w:after="0" w:line="240" w:lineRule="auto"/>
        <w:ind w:firstLine="709"/>
        <w:contextualSpacing/>
        <w:jc w:val="both"/>
        <w:rPr>
          <w:rFonts w:ascii="Times New Roman" w:hAnsi="Times New Roman" w:cs="Times New Roman"/>
          <w:sz w:val="28"/>
        </w:rPr>
      </w:pPr>
    </w:p>
    <w:p w:rsidR="0061776A" w:rsidRPr="0061776A" w:rsidRDefault="0061776A" w:rsidP="0061776A">
      <w:pPr>
        <w:spacing w:after="0" w:line="240" w:lineRule="auto"/>
        <w:ind w:left="1560" w:hanging="1560"/>
        <w:contextualSpacing/>
        <w:jc w:val="right"/>
        <w:rPr>
          <w:rFonts w:ascii="Times New Roman" w:hAnsi="Times New Roman" w:cs="Times New Roman"/>
          <w:sz w:val="28"/>
        </w:rPr>
      </w:pPr>
      <w:r w:rsidRPr="0061776A">
        <w:rPr>
          <w:rFonts w:ascii="Times New Roman" w:hAnsi="Times New Roman" w:cs="Times New Roman"/>
          <w:sz w:val="28"/>
        </w:rPr>
        <w:t xml:space="preserve">Таблица 2 </w:t>
      </w:r>
    </w:p>
    <w:p w:rsidR="0061776A" w:rsidRPr="0061776A" w:rsidRDefault="0061776A" w:rsidP="0061776A">
      <w:pPr>
        <w:spacing w:after="0" w:line="240" w:lineRule="auto"/>
        <w:contextualSpacing/>
        <w:jc w:val="center"/>
        <w:rPr>
          <w:rFonts w:ascii="Times New Roman" w:hAnsi="Times New Roman" w:cs="Times New Roman"/>
          <w:sz w:val="28"/>
        </w:rPr>
      </w:pPr>
      <w:r w:rsidRPr="0061776A">
        <w:rPr>
          <w:rFonts w:ascii="Times New Roman" w:hAnsi="Times New Roman" w:cs="Times New Roman"/>
          <w:sz w:val="28"/>
        </w:rPr>
        <w:t>Уровень инновационной активности промышленных организаций по странам лидерам и ДНР (составлено авторами) [2, 3]</w:t>
      </w:r>
    </w:p>
    <w:tbl>
      <w:tblPr>
        <w:tblW w:w="9654" w:type="dxa"/>
        <w:tblInd w:w="93" w:type="dxa"/>
        <w:tblLook w:val="04A0" w:firstRow="1" w:lastRow="0" w:firstColumn="1" w:lastColumn="0" w:noHBand="0" w:noVBand="1"/>
      </w:tblPr>
      <w:tblGrid>
        <w:gridCol w:w="1433"/>
        <w:gridCol w:w="2980"/>
        <w:gridCol w:w="2839"/>
        <w:gridCol w:w="2402"/>
      </w:tblGrid>
      <w:tr w:rsidR="0061776A" w:rsidRPr="0061776A" w:rsidTr="00665C78">
        <w:trPr>
          <w:trHeight w:val="25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 xml:space="preserve">Страна </w:t>
            </w:r>
          </w:p>
        </w:tc>
        <w:tc>
          <w:tcPr>
            <w:tcW w:w="8221" w:type="dxa"/>
            <w:gridSpan w:val="3"/>
            <w:tcBorders>
              <w:top w:val="single" w:sz="4" w:space="0" w:color="auto"/>
              <w:left w:val="nil"/>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Годы</w:t>
            </w:r>
          </w:p>
        </w:tc>
      </w:tr>
      <w:tr w:rsidR="0061776A" w:rsidRPr="0061776A" w:rsidTr="00665C78">
        <w:trPr>
          <w:trHeight w:val="43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61776A" w:rsidRPr="0061776A" w:rsidRDefault="0061776A" w:rsidP="0061776A">
            <w:pPr>
              <w:spacing w:after="0" w:line="240" w:lineRule="auto"/>
              <w:rPr>
                <w:rFonts w:ascii="Times New Roman" w:eastAsia="Times New Roman" w:hAnsi="Times New Roman" w:cs="Times New Roman"/>
                <w:sz w:val="24"/>
                <w:szCs w:val="24"/>
                <w:lang w:eastAsia="ru-RU"/>
              </w:rPr>
            </w:pPr>
          </w:p>
        </w:tc>
        <w:tc>
          <w:tcPr>
            <w:tcW w:w="2980"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2016</w:t>
            </w:r>
          </w:p>
        </w:tc>
        <w:tc>
          <w:tcPr>
            <w:tcW w:w="2839"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2017</w:t>
            </w:r>
          </w:p>
        </w:tc>
        <w:tc>
          <w:tcPr>
            <w:tcW w:w="2402" w:type="dxa"/>
            <w:tcBorders>
              <w:top w:val="nil"/>
              <w:left w:val="nil"/>
              <w:bottom w:val="single" w:sz="4" w:space="0" w:color="auto"/>
              <w:right w:val="single" w:sz="4" w:space="0" w:color="auto"/>
            </w:tcBorders>
            <w:shd w:val="clear" w:color="auto" w:fill="auto"/>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2018</w:t>
            </w:r>
          </w:p>
        </w:tc>
      </w:tr>
      <w:tr w:rsidR="0061776A" w:rsidRPr="0061776A" w:rsidTr="00665C78">
        <w:trPr>
          <w:trHeight w:val="331"/>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США</w:t>
            </w:r>
          </w:p>
        </w:tc>
        <w:tc>
          <w:tcPr>
            <w:tcW w:w="2980" w:type="dxa"/>
            <w:tcBorders>
              <w:top w:val="nil"/>
              <w:left w:val="nil"/>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60,2</w:t>
            </w:r>
          </w:p>
        </w:tc>
        <w:tc>
          <w:tcPr>
            <w:tcW w:w="2839" w:type="dxa"/>
            <w:tcBorders>
              <w:top w:val="nil"/>
              <w:left w:val="nil"/>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61,4</w:t>
            </w:r>
          </w:p>
        </w:tc>
        <w:tc>
          <w:tcPr>
            <w:tcW w:w="2402" w:type="dxa"/>
            <w:tcBorders>
              <w:top w:val="nil"/>
              <w:left w:val="nil"/>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63,5</w:t>
            </w:r>
          </w:p>
        </w:tc>
      </w:tr>
      <w:tr w:rsidR="0061776A" w:rsidRPr="0061776A" w:rsidTr="00665C78">
        <w:trPr>
          <w:trHeight w:val="331"/>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Германия</w:t>
            </w:r>
          </w:p>
        </w:tc>
        <w:tc>
          <w:tcPr>
            <w:tcW w:w="2980" w:type="dxa"/>
            <w:tcBorders>
              <w:top w:val="nil"/>
              <w:left w:val="nil"/>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55,4</w:t>
            </w:r>
          </w:p>
        </w:tc>
        <w:tc>
          <w:tcPr>
            <w:tcW w:w="2839" w:type="dxa"/>
            <w:tcBorders>
              <w:top w:val="nil"/>
              <w:left w:val="nil"/>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58,4</w:t>
            </w:r>
          </w:p>
        </w:tc>
        <w:tc>
          <w:tcPr>
            <w:tcW w:w="2402" w:type="dxa"/>
            <w:tcBorders>
              <w:top w:val="nil"/>
              <w:left w:val="nil"/>
              <w:bottom w:val="single" w:sz="4" w:space="0" w:color="auto"/>
              <w:right w:val="single" w:sz="4" w:space="0" w:color="auto"/>
            </w:tcBorders>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59,3</w:t>
            </w:r>
          </w:p>
        </w:tc>
      </w:tr>
      <w:tr w:rsidR="0061776A" w:rsidRPr="0061776A" w:rsidTr="00665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433"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hAnsi="Times New Roman" w:cs="Times New Roman"/>
              </w:rPr>
              <w:br w:type="page"/>
            </w:r>
            <w:r w:rsidRPr="0061776A">
              <w:rPr>
                <w:rFonts w:ascii="Times New Roman" w:eastAsia="Times New Roman" w:hAnsi="Times New Roman" w:cs="Times New Roman"/>
                <w:sz w:val="24"/>
                <w:szCs w:val="24"/>
                <w:lang w:eastAsia="ru-RU"/>
              </w:rPr>
              <w:t xml:space="preserve"> Китай</w:t>
            </w:r>
          </w:p>
        </w:tc>
        <w:tc>
          <w:tcPr>
            <w:tcW w:w="2980"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50,5</w:t>
            </w:r>
          </w:p>
        </w:tc>
        <w:tc>
          <w:tcPr>
            <w:tcW w:w="2839"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52,5</w:t>
            </w:r>
          </w:p>
        </w:tc>
        <w:tc>
          <w:tcPr>
            <w:tcW w:w="2402"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56,3</w:t>
            </w:r>
          </w:p>
        </w:tc>
      </w:tr>
      <w:tr w:rsidR="0061776A" w:rsidRPr="0061776A" w:rsidTr="00665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433"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Россия</w:t>
            </w:r>
          </w:p>
        </w:tc>
        <w:tc>
          <w:tcPr>
            <w:tcW w:w="2980"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34,8</w:t>
            </w:r>
          </w:p>
        </w:tc>
        <w:tc>
          <w:tcPr>
            <w:tcW w:w="2839"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38,8</w:t>
            </w:r>
          </w:p>
        </w:tc>
        <w:tc>
          <w:tcPr>
            <w:tcW w:w="2402"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40,1</w:t>
            </w:r>
          </w:p>
        </w:tc>
      </w:tr>
      <w:tr w:rsidR="0061776A" w:rsidRPr="0061776A" w:rsidTr="00665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433"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ДНР</w:t>
            </w:r>
          </w:p>
        </w:tc>
        <w:tc>
          <w:tcPr>
            <w:tcW w:w="2980"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3,5</w:t>
            </w:r>
          </w:p>
        </w:tc>
        <w:tc>
          <w:tcPr>
            <w:tcW w:w="2839"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9,4</w:t>
            </w:r>
          </w:p>
        </w:tc>
        <w:tc>
          <w:tcPr>
            <w:tcW w:w="2402" w:type="dxa"/>
            <w:shd w:val="clear" w:color="auto" w:fill="auto"/>
            <w:noWrap/>
            <w:vAlign w:val="center"/>
            <w:hideMark/>
          </w:tcPr>
          <w:p w:rsidR="0061776A" w:rsidRPr="0061776A" w:rsidRDefault="0061776A" w:rsidP="0061776A">
            <w:pPr>
              <w:spacing w:after="0" w:line="240" w:lineRule="auto"/>
              <w:jc w:val="center"/>
              <w:rPr>
                <w:rFonts w:ascii="Times New Roman" w:eastAsia="Times New Roman" w:hAnsi="Times New Roman" w:cs="Times New Roman"/>
                <w:sz w:val="24"/>
                <w:szCs w:val="24"/>
                <w:lang w:eastAsia="ru-RU"/>
              </w:rPr>
            </w:pPr>
            <w:r w:rsidRPr="0061776A">
              <w:rPr>
                <w:rFonts w:ascii="Times New Roman" w:eastAsia="Times New Roman" w:hAnsi="Times New Roman" w:cs="Times New Roman"/>
                <w:sz w:val="24"/>
                <w:szCs w:val="24"/>
                <w:lang w:eastAsia="ru-RU"/>
              </w:rPr>
              <w:t>15,1</w:t>
            </w:r>
          </w:p>
        </w:tc>
      </w:tr>
    </w:tbl>
    <w:p w:rsidR="0061776A" w:rsidRPr="0061776A" w:rsidRDefault="0061776A" w:rsidP="0061776A">
      <w:pPr>
        <w:spacing w:after="0" w:line="240" w:lineRule="auto"/>
        <w:ind w:firstLine="709"/>
        <w:contextualSpacing/>
        <w:jc w:val="both"/>
        <w:rPr>
          <w:rFonts w:ascii="Times New Roman" w:hAnsi="Times New Roman" w:cs="Times New Roman"/>
          <w:sz w:val="28"/>
        </w:rPr>
      </w:pPr>
    </w:p>
    <w:p w:rsidR="0061776A" w:rsidRPr="0061776A" w:rsidRDefault="0061776A" w:rsidP="0061776A">
      <w:pPr>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 xml:space="preserve"> Исходя из теории волн Кондратьева, пятый цикл технологического уклада заканчивается в 2018 г., а в 2019 г. начинается новый, при таком уровне инновационной активности промышленных организаций ДНР 15,1% (мировой опыт составляет 40-63%), экономика Республики будет иметь тенденцию к снижению, а так же к вхождению в следующий этап </w:t>
      </w:r>
      <w:r w:rsidRPr="0061776A">
        <w:rPr>
          <w:rFonts w:ascii="Times New Roman" w:hAnsi="Times New Roman" w:cs="Times New Roman"/>
          <w:sz w:val="28"/>
        </w:rPr>
        <w:lastRenderedPageBreak/>
        <w:t>регионального кризиса. Таким образом, вопрос повышения эффективности деятельности этих организаций должен носить характер не только предпринимательского уровня, но и государственного значения.</w:t>
      </w:r>
    </w:p>
    <w:p w:rsidR="0061776A" w:rsidRPr="0061776A" w:rsidRDefault="0061776A" w:rsidP="0061776A">
      <w:pPr>
        <w:spacing w:after="0" w:line="240" w:lineRule="auto"/>
        <w:ind w:firstLine="709"/>
        <w:contextualSpacing/>
        <w:jc w:val="both"/>
        <w:rPr>
          <w:rFonts w:ascii="Times New Roman" w:hAnsi="Times New Roman" w:cs="Times New Roman"/>
          <w:spacing w:val="-2"/>
          <w:sz w:val="28"/>
        </w:rPr>
      </w:pPr>
      <w:r w:rsidRPr="0061776A">
        <w:rPr>
          <w:rFonts w:ascii="Times New Roman" w:hAnsi="Times New Roman" w:cs="Times New Roman"/>
          <w:spacing w:val="-2"/>
          <w:sz w:val="28"/>
        </w:rPr>
        <w:t>Для решения данного вопроса предлагается внедрение проекта «Государственный конгломерат производственных секторов», который предполагает объединение взаимозависимых секторов: угольно-добывающего, металлургического, горного машиностроения. Организация такого уровня предполагает взаимное развитие, а также снижение затрат благодаря согласованному плану относительно производства объемов конечной продукции. Стоит отметить, что при выполнении данного проекта состояние экономики в промышленном секторе должно быть пересмотрено, то есть перехо</w:t>
      </w:r>
      <w:bookmarkStart w:id="3" w:name="_GoBack"/>
      <w:bookmarkEnd w:id="3"/>
      <w:r w:rsidRPr="0061776A">
        <w:rPr>
          <w:rFonts w:ascii="Times New Roman" w:hAnsi="Times New Roman" w:cs="Times New Roman"/>
          <w:spacing w:val="-2"/>
          <w:sz w:val="28"/>
        </w:rPr>
        <w:t xml:space="preserve">д </w:t>
      </w:r>
      <w:proofErr w:type="gramStart"/>
      <w:r w:rsidRPr="0061776A">
        <w:rPr>
          <w:rFonts w:ascii="Times New Roman" w:hAnsi="Times New Roman" w:cs="Times New Roman"/>
          <w:spacing w:val="-2"/>
          <w:sz w:val="28"/>
        </w:rPr>
        <w:t>от</w:t>
      </w:r>
      <w:proofErr w:type="gramEnd"/>
      <w:r w:rsidRPr="0061776A">
        <w:rPr>
          <w:rFonts w:ascii="Times New Roman" w:hAnsi="Times New Roman" w:cs="Times New Roman"/>
          <w:spacing w:val="-2"/>
          <w:sz w:val="28"/>
        </w:rPr>
        <w:t xml:space="preserve"> рыночной к плановой. Это позволит снизить издержки на производствах, связанные с перепроизводством, а также с логистическими затратами (хранение, доставка до места хранения и прочее), что является эффективным средством для преодоления кризиса на территории Республики. Зависимость производственных секторов проекта друг от друга </w:t>
      </w:r>
      <w:proofErr w:type="gramStart"/>
      <w:r w:rsidRPr="0061776A">
        <w:rPr>
          <w:rFonts w:ascii="Times New Roman" w:hAnsi="Times New Roman" w:cs="Times New Roman"/>
          <w:spacing w:val="-2"/>
          <w:sz w:val="28"/>
        </w:rPr>
        <w:t>представлены</w:t>
      </w:r>
      <w:proofErr w:type="gramEnd"/>
      <w:r w:rsidRPr="0061776A">
        <w:rPr>
          <w:rFonts w:ascii="Times New Roman" w:hAnsi="Times New Roman" w:cs="Times New Roman"/>
          <w:spacing w:val="-2"/>
          <w:sz w:val="28"/>
        </w:rPr>
        <w:t xml:space="preserve"> на рис. 2. </w:t>
      </w:r>
    </w:p>
    <w:p w:rsidR="0061776A" w:rsidRPr="0061776A" w:rsidRDefault="0061776A" w:rsidP="0061776A">
      <w:pPr>
        <w:spacing w:after="0" w:line="240" w:lineRule="auto"/>
        <w:ind w:firstLine="709"/>
        <w:contextualSpacing/>
        <w:jc w:val="both"/>
        <w:rPr>
          <w:rFonts w:ascii="Times New Roman" w:hAnsi="Times New Roman" w:cs="Times New Roman"/>
          <w:spacing w:val="-2"/>
          <w:sz w:val="28"/>
        </w:rPr>
      </w:pPr>
    </w:p>
    <w:p w:rsidR="0061776A" w:rsidRPr="0061776A" w:rsidRDefault="0061776A" w:rsidP="0061776A">
      <w:pPr>
        <w:spacing w:after="0" w:line="240" w:lineRule="auto"/>
        <w:contextualSpacing/>
        <w:jc w:val="both"/>
        <w:rPr>
          <w:rFonts w:ascii="Times New Roman" w:hAnsi="Times New Roman" w:cs="Times New Roman"/>
          <w:sz w:val="28"/>
        </w:rPr>
      </w:pPr>
      <w:r w:rsidRPr="0061776A">
        <w:rPr>
          <w:rFonts w:ascii="Times New Roman" w:hAnsi="Times New Roman" w:cs="Times New Roman"/>
          <w:noProof/>
          <w:sz w:val="28"/>
          <w:lang w:eastAsia="ru-RU"/>
        </w:rPr>
        <mc:AlternateContent>
          <mc:Choice Requires="wps">
            <w:drawing>
              <wp:anchor distT="0" distB="0" distL="114300" distR="114300" simplePos="0" relativeHeight="251660288" behindDoc="0" locked="0" layoutInCell="1" allowOverlap="1" wp14:anchorId="0C8AE854" wp14:editId="47FFA64C">
                <wp:simplePos x="0" y="0"/>
                <wp:positionH relativeFrom="column">
                  <wp:posOffset>1739265</wp:posOffset>
                </wp:positionH>
                <wp:positionV relativeFrom="paragraph">
                  <wp:posOffset>800100</wp:posOffset>
                </wp:positionV>
                <wp:extent cx="0" cy="1085850"/>
                <wp:effectExtent l="95250" t="38100" r="57150" b="19050"/>
                <wp:wrapNone/>
                <wp:docPr id="397" name="Прямая со стрелкой 397"/>
                <wp:cNvGraphicFramePr/>
                <a:graphic xmlns:a="http://schemas.openxmlformats.org/drawingml/2006/main">
                  <a:graphicData uri="http://schemas.microsoft.com/office/word/2010/wordprocessingShape">
                    <wps:wsp>
                      <wps:cNvCnPr/>
                      <wps:spPr>
                        <a:xfrm flipV="1">
                          <a:off x="0" y="0"/>
                          <a:ext cx="0" cy="10858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397" o:spid="_x0000_s1026" type="#_x0000_t32" style="position:absolute;margin-left:136.95pt;margin-top:63pt;width:0;height:85.5pt;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">
                <v:stroke endarrow="open"/>
              </v:shape>
            </w:pict>
          </mc:Fallback>
        </mc:AlternateContent>
      </w:r>
      <w:r w:rsidRPr="0061776A">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14:anchorId="359B8BE6" wp14:editId="2B52CBAD">
                <wp:simplePos x="0" y="0"/>
                <wp:positionH relativeFrom="column">
                  <wp:posOffset>1739265</wp:posOffset>
                </wp:positionH>
                <wp:positionV relativeFrom="paragraph">
                  <wp:posOffset>238125</wp:posOffset>
                </wp:positionV>
                <wp:extent cx="2343150" cy="0"/>
                <wp:effectExtent l="0" t="76200" r="19050" b="114300"/>
                <wp:wrapNone/>
                <wp:docPr id="399" name="Прямая со стрелкой 399"/>
                <wp:cNvGraphicFramePr/>
                <a:graphic xmlns:a="http://schemas.openxmlformats.org/drawingml/2006/main">
                  <a:graphicData uri="http://schemas.microsoft.com/office/word/2010/wordprocessingShape">
                    <wps:wsp>
                      <wps:cNvCnPr/>
                      <wps:spPr>
                        <a:xfrm>
                          <a:off x="0" y="0"/>
                          <a:ext cx="23431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399" o:spid="_x0000_s1026" type="#_x0000_t32" style="position:absolute;margin-left:136.95pt;margin-top:18.75pt;width:18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">
                <v:stroke endarrow="open"/>
              </v:shape>
            </w:pict>
          </mc:Fallback>
        </mc:AlternateContent>
      </w:r>
      <w:r w:rsidRPr="0061776A">
        <w:rPr>
          <w:rFonts w:ascii="Times New Roman" w:hAnsi="Times New Roman" w:cs="Times New Roman"/>
          <w:noProof/>
          <w:sz w:val="28"/>
          <w:lang w:eastAsia="ru-RU"/>
        </w:rPr>
        <mc:AlternateContent>
          <mc:Choice Requires="wpg">
            <w:drawing>
              <wp:anchor distT="0" distB="0" distL="114300" distR="114300" simplePos="0" relativeHeight="251662336" behindDoc="0" locked="0" layoutInCell="1" allowOverlap="1" wp14:anchorId="225C6C83" wp14:editId="4EBBAE10">
                <wp:simplePos x="0" y="0"/>
                <wp:positionH relativeFrom="column">
                  <wp:posOffset>35690</wp:posOffset>
                </wp:positionH>
                <wp:positionV relativeFrom="paragraph">
                  <wp:posOffset>31491</wp:posOffset>
                </wp:positionV>
                <wp:extent cx="5897335" cy="1632631"/>
                <wp:effectExtent l="0" t="0" r="27305" b="24765"/>
                <wp:wrapNone/>
                <wp:docPr id="6" name="Группа 6"/>
                <wp:cNvGraphicFramePr/>
                <a:graphic xmlns:a="http://schemas.openxmlformats.org/drawingml/2006/main">
                  <a:graphicData uri="http://schemas.microsoft.com/office/word/2010/wordprocessingGroup">
                    <wpg:wgp>
                      <wpg:cNvGrpSpPr/>
                      <wpg:grpSpPr>
                        <a:xfrm>
                          <a:off x="0" y="0"/>
                          <a:ext cx="5897335" cy="1632631"/>
                          <a:chOff x="0" y="0"/>
                          <a:chExt cx="5897335" cy="1763242"/>
                        </a:xfrm>
                      </wpg:grpSpPr>
                      <wps:wsp>
                        <wps:cNvPr id="401" name="Поле 1"/>
                        <wps:cNvSpPr txBox="1"/>
                        <wps:spPr>
                          <a:xfrm>
                            <a:off x="0" y="0"/>
                            <a:ext cx="1704975" cy="561975"/>
                          </a:xfrm>
                          <a:prstGeom prst="rect">
                            <a:avLst/>
                          </a:prstGeom>
                          <a:solidFill>
                            <a:sysClr val="window" lastClr="FFFFFF"/>
                          </a:solidFill>
                          <a:ln w="6350">
                            <a:solidFill>
                              <a:prstClr val="black"/>
                            </a:solidFill>
                          </a:ln>
                          <a:effectLst/>
                        </wps:spPr>
                        <wps:txbx>
                          <w:txbxContent>
                            <w:p w:rsidR="0061776A" w:rsidRPr="00326AE6" w:rsidRDefault="0061776A" w:rsidP="0061776A">
                              <w:pPr>
                                <w:jc w:val="center"/>
                                <w:rPr>
                                  <w:sz w:val="24"/>
                                  <w:szCs w:val="24"/>
                                </w:rPr>
                              </w:pPr>
                              <w:r w:rsidRPr="00326AE6">
                                <w:rPr>
                                  <w:sz w:val="24"/>
                                  <w:szCs w:val="24"/>
                                </w:rPr>
                                <w:t>Металлургия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 name="Поле 2"/>
                        <wps:cNvSpPr txBox="1"/>
                        <wps:spPr>
                          <a:xfrm>
                            <a:off x="4049485" y="0"/>
                            <a:ext cx="1847850" cy="561975"/>
                          </a:xfrm>
                          <a:prstGeom prst="rect">
                            <a:avLst/>
                          </a:prstGeom>
                          <a:solidFill>
                            <a:sysClr val="window" lastClr="FFFFFF"/>
                          </a:solidFill>
                          <a:ln w="6350">
                            <a:solidFill>
                              <a:prstClr val="black"/>
                            </a:solidFill>
                          </a:ln>
                          <a:effectLst/>
                        </wps:spPr>
                        <wps:txbx>
                          <w:txbxContent>
                            <w:p w:rsidR="0061776A" w:rsidRPr="00326AE6" w:rsidRDefault="0061776A" w:rsidP="0061776A">
                              <w:pPr>
                                <w:jc w:val="center"/>
                                <w:rPr>
                                  <w:sz w:val="24"/>
                                  <w:szCs w:val="24"/>
                                </w:rPr>
                              </w:pPr>
                              <w:r w:rsidRPr="00326AE6">
                                <w:rPr>
                                  <w:sz w:val="24"/>
                                  <w:szCs w:val="24"/>
                                </w:rPr>
                                <w:t>Горное машиностроение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2" name="Поле 3"/>
                        <wps:cNvSpPr txBox="1"/>
                        <wps:spPr>
                          <a:xfrm>
                            <a:off x="1707424" y="1035447"/>
                            <a:ext cx="2295408" cy="727795"/>
                          </a:xfrm>
                          <a:prstGeom prst="rect">
                            <a:avLst/>
                          </a:prstGeom>
                          <a:solidFill>
                            <a:sysClr val="window" lastClr="FFFFFF"/>
                          </a:solidFill>
                          <a:ln w="6350">
                            <a:solidFill>
                              <a:prstClr val="black"/>
                            </a:solidFill>
                          </a:ln>
                          <a:effectLst/>
                        </wps:spPr>
                        <wps:txbx>
                          <w:txbxContent>
                            <w:p w:rsidR="0061776A" w:rsidRPr="00326AE6" w:rsidRDefault="0061776A" w:rsidP="0061776A">
                              <w:pPr>
                                <w:jc w:val="center"/>
                                <w:rPr>
                                  <w:sz w:val="24"/>
                                  <w:szCs w:val="24"/>
                                </w:rPr>
                              </w:pPr>
                              <w:r w:rsidRPr="00326AE6">
                                <w:rPr>
                                  <w:sz w:val="24"/>
                                  <w:szCs w:val="24"/>
                                </w:rPr>
                                <w:t>Угольно-добывающий сектор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Поле 8"/>
                        <wps:cNvSpPr txBox="1"/>
                        <wps:spPr>
                          <a:xfrm>
                            <a:off x="1810138" y="0"/>
                            <a:ext cx="2019300" cy="304800"/>
                          </a:xfrm>
                          <a:prstGeom prst="rect">
                            <a:avLst/>
                          </a:prstGeom>
                          <a:solidFill>
                            <a:sysClr val="window" lastClr="FFFFFF"/>
                          </a:solidFill>
                          <a:ln w="6350">
                            <a:solidFill>
                              <a:prstClr val="black"/>
                            </a:solidFill>
                          </a:ln>
                          <a:effectLst/>
                        </wps:spPr>
                        <wps:txbx>
                          <w:txbxContent>
                            <w:p w:rsidR="0061776A" w:rsidRPr="00326AE6" w:rsidRDefault="0061776A" w:rsidP="0061776A">
                              <w:pPr>
                                <w:jc w:val="center"/>
                                <w:rPr>
                                  <w:sz w:val="24"/>
                                  <w:szCs w:val="24"/>
                                </w:rPr>
                              </w:pPr>
                              <w:r w:rsidRPr="00326AE6">
                                <w:rPr>
                                  <w:sz w:val="24"/>
                                  <w:szCs w:val="24"/>
                                </w:rPr>
                                <w:t>Сталь, чугун, прочее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5" name="Поле 9"/>
                        <wps:cNvSpPr txBox="1"/>
                        <wps:spPr>
                          <a:xfrm>
                            <a:off x="4049485" y="625151"/>
                            <a:ext cx="381000" cy="904875"/>
                          </a:xfrm>
                          <a:prstGeom prst="rect">
                            <a:avLst/>
                          </a:prstGeom>
                          <a:solidFill>
                            <a:sysClr val="window" lastClr="FFFFFF"/>
                          </a:solidFill>
                          <a:ln w="6350">
                            <a:solidFill>
                              <a:prstClr val="black"/>
                            </a:solidFill>
                          </a:ln>
                          <a:effectLst/>
                        </wps:spPr>
                        <wps:txbx>
                          <w:txbxContent>
                            <w:p w:rsidR="0061776A" w:rsidRPr="00326AE6" w:rsidRDefault="0061776A" w:rsidP="0061776A">
                              <w:pPr>
                                <w:jc w:val="center"/>
                                <w:rPr>
                                  <w:sz w:val="24"/>
                                  <w:szCs w:val="24"/>
                                </w:rPr>
                              </w:pPr>
                              <w:r w:rsidRPr="00326AE6">
                                <w:rPr>
                                  <w:sz w:val="24"/>
                                  <w:szCs w:val="24"/>
                                </w:rPr>
                                <w:t>Станки</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394" name="Поле 10"/>
                        <wps:cNvSpPr txBox="1"/>
                        <wps:spPr>
                          <a:xfrm>
                            <a:off x="1296955" y="737118"/>
                            <a:ext cx="409575" cy="838200"/>
                          </a:xfrm>
                          <a:prstGeom prst="rect">
                            <a:avLst/>
                          </a:prstGeom>
                          <a:solidFill>
                            <a:sysClr val="window" lastClr="FFFFFF"/>
                          </a:solidFill>
                          <a:ln w="6350">
                            <a:solidFill>
                              <a:prstClr val="black"/>
                            </a:solidFill>
                          </a:ln>
                          <a:effectLst/>
                        </wps:spPr>
                        <wps:txbx>
                          <w:txbxContent>
                            <w:p w:rsidR="0061776A" w:rsidRPr="00326AE6" w:rsidRDefault="0061776A" w:rsidP="0061776A">
                              <w:pPr>
                                <w:jc w:val="center"/>
                                <w:rPr>
                                  <w:sz w:val="24"/>
                                  <w:szCs w:val="24"/>
                                </w:rPr>
                              </w:pPr>
                              <w:r w:rsidRPr="00326AE6">
                                <w:rPr>
                                  <w:sz w:val="24"/>
                                  <w:szCs w:val="24"/>
                                </w:rPr>
                                <w:t>Уголь</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Группа 6" o:spid="_x0000_s1026" style="position:absolute;left:0;text-align:left;margin-left:2.8pt;margin-top:2.5pt;width:464.35pt;height:128.55pt;z-index:251662336;mso-height-relative:margin" coordsize="58973,1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">
                <v:shapetype id="_x0000_t202" coordsize="21600,21600" o:spt="202" path="m,l,21600r21600,l21600,xe">
                  <v:stroke joinstyle="miter"/>
                  <v:path gradientshapeok="t" o:connecttype="rect"/>
                </v:shapetype>
                <v:shape id="Поле 1" o:spid="_x0000_s1027" type="#_x0000_t202" style="position:absolute;width:17049;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COq8UA&#10;AADcAAAADwAAAGRycy9kb3ducmV2LnhtbESPQWvCQBSE70L/w/IK3nQTLdWmbkQKgkovmtLzI/ua&#10;Dc2+TbNrTPvru4LgcZiZb5jVerCN6KnztWMF6TQBQVw6XXOl4KPYTpYgfEDW2DgmBb/kYZ0/jFaY&#10;aXfhI/WnUIkIYZ+hAhNCm0npS0MW/dS1xNH7cp3FEGVXSd3hJcJtI2dJ8iwt1hwXDLb0Zqj8Pp2t&#10;gkUwh5e/YbP3s/e+KPafy5/53Cs1fhw2ryACDeEevrV3WsFTksL1TDw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I6rxQAAANwAAAAPAAAAAAAAAAAAAAAAAJgCAABkcnMv&#10;ZG93bnJldi54bWxQSwUGAAAAAAQABAD1AAAAigMAAAAA&#10;" fillcolor="window" strokeweight=".5pt">
                  <v:textbox>
                    <w:txbxContent>
                      <w:p w:rsidR="0061776A" w:rsidRPr="00326AE6" w:rsidRDefault="0061776A" w:rsidP="0061776A">
                        <w:pPr>
                          <w:jc w:val="center"/>
                          <w:rPr>
                            <w:sz w:val="24"/>
                            <w:szCs w:val="24"/>
                          </w:rPr>
                        </w:pPr>
                        <w:r w:rsidRPr="00326AE6">
                          <w:rPr>
                            <w:sz w:val="24"/>
                            <w:szCs w:val="24"/>
                          </w:rPr>
                          <w:t>Металлургия</w:t>
                        </w:r>
                      </w:p>
                    </w:txbxContent>
                  </v:textbox>
                </v:shape>
                <v:shape id="Поле 2" o:spid="_x0000_s1028" type="#_x0000_t202" style="position:absolute;left:40494;width:18479;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nKncAA&#10;AADcAAAADwAAAGRycy9kb3ducmV2LnhtbERPz2vCMBS+D/wfwhO8zVQR0c4oIgheRFZ3mLdH8tZm&#10;a15KE2v1r18OgseP7/dq07tadNQG61nBZJyBINbeWC4VfJ337wsQISIbrD2TgjsF2KwHbyvMjb/x&#10;J3VFLEUK4ZCjgirGJpcy6IochrFviBP341uHMcG2lKbFWwp3tZxm2Vw6tJwaKmxoV5H+K65OgeFv&#10;z/pijw/LhbbLx2nxqzulRsN++wEiUh9f4qf7YBTMsjQ/nU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JnKncAAAADcAAAADwAAAAAAAAAAAAAAAACYAgAAZHJzL2Rvd25y&#10;ZXYueG1sUEsFBgAAAAAEAAQA9QAAAIUDAAAAAA==&#10;" fillcolor="window" strokeweight=".5pt">
                  <v:textbox>
                    <w:txbxContent>
                      <w:p w:rsidR="0061776A" w:rsidRPr="00326AE6" w:rsidRDefault="0061776A" w:rsidP="0061776A">
                        <w:pPr>
                          <w:jc w:val="center"/>
                          <w:rPr>
                            <w:sz w:val="24"/>
                            <w:szCs w:val="24"/>
                          </w:rPr>
                        </w:pPr>
                        <w:r w:rsidRPr="00326AE6">
                          <w:rPr>
                            <w:sz w:val="24"/>
                            <w:szCs w:val="24"/>
                          </w:rPr>
                          <w:t>Горное машиностроение</w:t>
                        </w:r>
                      </w:p>
                    </w:txbxContent>
                  </v:textbox>
                </v:shape>
                <v:shape id="Поле 3" o:spid="_x0000_s1029" type="#_x0000_t202" style="position:absolute;left:17074;top:10354;width:22954;height:7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Q3MUA&#10;AADcAAAADwAAAGRycy9kb3ducmV2LnhtbESPQWvCQBSE7wX/w/KE3urGKFWjq4hQqKUXjXh+ZJ/Z&#10;YPZtzG5j7K/vFgo9DjPzDbPa9LYWHbW+cqxgPEpAEBdOV1wqOOVvL3MQPiBrrB2Tggd52KwHTyvM&#10;tLvzgbpjKEWEsM9QgQmhyaT0hSGLfuQa4uhdXGsxRNmWUrd4j3BbyzRJXqXFiuOCwYZ2horr8csq&#10;mAXzsfjut3uffnZ5vj/Pb5OJV+p52G+XIAL14T/8137XCqZJ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hDcxQAAANwAAAAPAAAAAAAAAAAAAAAAAJgCAABkcnMv&#10;ZG93bnJldi54bWxQSwUGAAAAAAQABAD1AAAAigMAAAAA&#10;" fillcolor="window" strokeweight=".5pt">
                  <v:textbox>
                    <w:txbxContent>
                      <w:p w:rsidR="0061776A" w:rsidRPr="00326AE6" w:rsidRDefault="0061776A" w:rsidP="0061776A">
                        <w:pPr>
                          <w:jc w:val="center"/>
                          <w:rPr>
                            <w:sz w:val="24"/>
                            <w:szCs w:val="24"/>
                          </w:rPr>
                        </w:pPr>
                        <w:r w:rsidRPr="00326AE6">
                          <w:rPr>
                            <w:sz w:val="24"/>
                            <w:szCs w:val="24"/>
                          </w:rPr>
                          <w:t>Угольно-добывающий сектор</w:t>
                        </w:r>
                      </w:p>
                    </w:txbxContent>
                  </v:textbox>
                </v:shape>
                <v:shape id="Поле 8" o:spid="_x0000_s1030" type="#_x0000_t202" style="position:absolute;left:18101;width:2019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vkMQA&#10;AADcAAAADwAAAGRycy9kb3ducmV2LnhtbESPQWvCQBSE7wX/w/KE3uqmLYhG11AKBS8iTT3o7bH7&#10;TFazb0N2m0R/fbdQ6HGYmW+YdTG6RvTUBetZwfMsA0GsvbFcKTh8fTwtQISIbLDxTApuFKDYTB7W&#10;mBs/8Cf1ZaxEgnDIUUEdY5tLGXRNDsPMt8TJO/vOYUyyq6TpcEhw18iXLJtLh5bTQo0tvdekr+W3&#10;U2D46Fmf7O5uudR2ed8vLrpX6nE6vq1ARBrjf/ivvTUKXpdz+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r5DEAAAA3AAAAA8AAAAAAAAAAAAAAAAAmAIAAGRycy9k&#10;b3ducmV2LnhtbFBLBQYAAAAABAAEAPUAAACJAwAAAAA=&#10;" fillcolor="window" strokeweight=".5pt">
                  <v:textbox>
                    <w:txbxContent>
                      <w:p w:rsidR="0061776A" w:rsidRPr="00326AE6" w:rsidRDefault="0061776A" w:rsidP="0061776A">
                        <w:pPr>
                          <w:jc w:val="center"/>
                          <w:rPr>
                            <w:sz w:val="24"/>
                            <w:szCs w:val="24"/>
                          </w:rPr>
                        </w:pPr>
                        <w:r w:rsidRPr="00326AE6">
                          <w:rPr>
                            <w:sz w:val="24"/>
                            <w:szCs w:val="24"/>
                          </w:rPr>
                          <w:t>Сталь, чугун, прочее</w:t>
                        </w:r>
                      </w:p>
                    </w:txbxContent>
                  </v:textbox>
                </v:shape>
                <v:shape id="Поле 9" o:spid="_x0000_s1031" type="#_x0000_t202" style="position:absolute;left:40494;top:6251;width:3810;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z0J8kA&#10;AADcAAAADwAAAGRycy9kb3ducmV2LnhtbESPQWsCMRSE74X+h/CEXopmVSp2NYpYIi1apLaleHts&#10;nrtLNy/LJuraX28KhR6HmfmGmc5bW4kTNb50rKDfS0AQZ86UnCv4eNfdMQgfkA1WjknBhTzMZ7c3&#10;U0yNO/MbnXYhFxHCPkUFRQh1KqXPCrLoe64mjt7BNRZDlE0uTYPnCLeVHCTJSFosOS4UWNOyoOx7&#10;d7QKjuu9Xv18jYdP2/tW6tWL3ny+aqXuOu1iAiJQG/7Df+1no2D4+AC/Z+IRkL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Dz0J8kAAADcAAAADwAAAAAAAAAAAAAAAACYAgAA&#10;ZHJzL2Rvd25yZXYueG1sUEsFBgAAAAAEAAQA9QAAAI4DAAAAAA==&#10;" fillcolor="window" strokeweight=".5pt">
                  <v:textbox style="layout-flow:vertical">
                    <w:txbxContent>
                      <w:p w:rsidR="0061776A" w:rsidRPr="00326AE6" w:rsidRDefault="0061776A" w:rsidP="0061776A">
                        <w:pPr>
                          <w:jc w:val="center"/>
                          <w:rPr>
                            <w:sz w:val="24"/>
                            <w:szCs w:val="24"/>
                          </w:rPr>
                        </w:pPr>
                        <w:r w:rsidRPr="00326AE6">
                          <w:rPr>
                            <w:sz w:val="24"/>
                            <w:szCs w:val="24"/>
                          </w:rPr>
                          <w:t>Станки</w:t>
                        </w:r>
                      </w:p>
                    </w:txbxContent>
                  </v:textbox>
                </v:shape>
                <v:shape id="Поле 10" o:spid="_x0000_s1032" type="#_x0000_t202" style="position:absolute;left:12969;top:7371;width:4096;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GeMMA&#10;AADcAAAADwAAAGRycy9kb3ducmV2LnhtbESP3YrCMBSE7xd8h3CEvVtTtfhTjSKuorf+PMAhObbV&#10;5qQ0Ues+/UZY2MthZr5h5svWVuJBjS8dK+j3EhDE2pmScwXn0/ZrAsIHZIOVY1LwIg/LRedjjplx&#10;Tz7Q4xhyESHsM1RQhFBnUnpdkEXfczVx9C6usRiibHJpGnxGuK3kIElG0mLJcaHAmtYF6dvxbhWk&#10;ZvOtx6t8sB9pTu3VDrf6Z6fUZ7ddzUAEasN/+K+9NwqG0xTeZ+IR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GeMMAAADcAAAADwAAAAAAAAAAAAAAAACYAgAAZHJzL2Rv&#10;d25yZXYueG1sUEsFBgAAAAAEAAQA9QAAAIgDAAAAAA==&#10;" fillcolor="window" strokeweight=".5pt">
                  <v:textbox style="layout-flow:vertical;mso-layout-flow-alt:bottom-to-top">
                    <w:txbxContent>
                      <w:p w:rsidR="0061776A" w:rsidRPr="00326AE6" w:rsidRDefault="0061776A" w:rsidP="0061776A">
                        <w:pPr>
                          <w:jc w:val="center"/>
                          <w:rPr>
                            <w:sz w:val="24"/>
                            <w:szCs w:val="24"/>
                          </w:rPr>
                        </w:pPr>
                        <w:r w:rsidRPr="00326AE6">
                          <w:rPr>
                            <w:sz w:val="24"/>
                            <w:szCs w:val="24"/>
                          </w:rPr>
                          <w:t>Уголь</w:t>
                        </w:r>
                      </w:p>
                    </w:txbxContent>
                  </v:textbox>
                </v:shape>
              </v:group>
            </w:pict>
          </mc:Fallback>
        </mc:AlternateContent>
      </w:r>
    </w:p>
    <w:p w:rsidR="0061776A" w:rsidRPr="0061776A" w:rsidRDefault="0061776A" w:rsidP="0061776A">
      <w:pPr>
        <w:spacing w:after="0" w:line="240" w:lineRule="auto"/>
        <w:contextualSpacing/>
        <w:rPr>
          <w:rFonts w:ascii="Times New Roman" w:hAnsi="Times New Roman" w:cs="Times New Roman"/>
          <w:sz w:val="28"/>
        </w:rPr>
      </w:pPr>
    </w:p>
    <w:p w:rsidR="0061776A" w:rsidRPr="0061776A" w:rsidRDefault="0061776A" w:rsidP="0061776A">
      <w:pPr>
        <w:spacing w:after="0" w:line="240" w:lineRule="auto"/>
        <w:contextualSpacing/>
        <w:rPr>
          <w:rFonts w:ascii="Times New Roman" w:hAnsi="Times New Roman" w:cs="Times New Roman"/>
          <w:sz w:val="28"/>
        </w:rPr>
      </w:pPr>
    </w:p>
    <w:p w:rsidR="0061776A" w:rsidRPr="0061776A" w:rsidRDefault="0061776A" w:rsidP="0061776A">
      <w:pPr>
        <w:spacing w:after="0" w:line="240" w:lineRule="auto"/>
        <w:contextualSpacing/>
        <w:rPr>
          <w:rFonts w:ascii="Times New Roman" w:hAnsi="Times New Roman" w:cs="Times New Roman"/>
          <w:sz w:val="28"/>
        </w:rPr>
      </w:pPr>
      <w:r w:rsidRPr="0061776A">
        <w:rPr>
          <w:rFonts w:ascii="Times New Roman" w:hAnsi="Times New Roman" w:cs="Times New Roman"/>
          <w:noProof/>
          <w:sz w:val="28"/>
          <w:lang w:eastAsia="ru-RU"/>
        </w:rPr>
        <mc:AlternateContent>
          <mc:Choice Requires="wps">
            <w:drawing>
              <wp:anchor distT="0" distB="0" distL="114300" distR="114300" simplePos="0" relativeHeight="251661312" behindDoc="0" locked="0" layoutInCell="1" allowOverlap="1" wp14:anchorId="26992861" wp14:editId="5CAEE289">
                <wp:simplePos x="0" y="0"/>
                <wp:positionH relativeFrom="column">
                  <wp:posOffset>4075430</wp:posOffset>
                </wp:positionH>
                <wp:positionV relativeFrom="paragraph">
                  <wp:posOffset>14799</wp:posOffset>
                </wp:positionV>
                <wp:extent cx="45719" cy="899238"/>
                <wp:effectExtent l="76200" t="0" r="69215" b="53340"/>
                <wp:wrapNone/>
                <wp:docPr id="398" name="Прямая со стрелкой 398"/>
                <wp:cNvGraphicFramePr/>
                <a:graphic xmlns:a="http://schemas.openxmlformats.org/drawingml/2006/main">
                  <a:graphicData uri="http://schemas.microsoft.com/office/word/2010/wordprocessingShape">
                    <wps:wsp>
                      <wps:cNvCnPr/>
                      <wps:spPr>
                        <a:xfrm flipH="1">
                          <a:off x="0" y="0"/>
                          <a:ext cx="45719" cy="89923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8" o:spid="_x0000_s1026" type="#_x0000_t32" style="position:absolute;margin-left:320.9pt;margin-top:1.15pt;width:3.6pt;height:70.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">
                <v:stroke endarrow="open"/>
              </v:shape>
            </w:pict>
          </mc:Fallback>
        </mc:AlternateContent>
      </w:r>
    </w:p>
    <w:p w:rsidR="0061776A" w:rsidRPr="0061776A" w:rsidRDefault="0061776A" w:rsidP="0061776A">
      <w:pPr>
        <w:spacing w:after="0" w:line="240" w:lineRule="auto"/>
        <w:contextualSpacing/>
        <w:rPr>
          <w:rFonts w:ascii="Times New Roman" w:hAnsi="Times New Roman" w:cs="Times New Roman"/>
          <w:sz w:val="28"/>
        </w:rPr>
      </w:pPr>
    </w:p>
    <w:p w:rsidR="0061776A" w:rsidRPr="0061776A" w:rsidRDefault="0061776A" w:rsidP="0061776A">
      <w:pPr>
        <w:spacing w:after="0" w:line="240" w:lineRule="auto"/>
        <w:contextualSpacing/>
        <w:rPr>
          <w:rFonts w:ascii="Times New Roman" w:hAnsi="Times New Roman" w:cs="Times New Roman"/>
          <w:sz w:val="28"/>
        </w:rPr>
      </w:pPr>
    </w:p>
    <w:p w:rsidR="0061776A" w:rsidRPr="0061776A" w:rsidRDefault="0061776A" w:rsidP="0061776A">
      <w:pPr>
        <w:tabs>
          <w:tab w:val="left" w:pos="1065"/>
        </w:tabs>
        <w:spacing w:after="0" w:line="240" w:lineRule="auto"/>
        <w:contextualSpacing/>
        <w:jc w:val="center"/>
        <w:rPr>
          <w:rFonts w:ascii="Times New Roman" w:hAnsi="Times New Roman" w:cs="Times New Roman"/>
          <w:sz w:val="28"/>
        </w:rPr>
      </w:pPr>
    </w:p>
    <w:p w:rsidR="0061776A" w:rsidRPr="0061776A" w:rsidRDefault="0061776A" w:rsidP="0061776A">
      <w:pPr>
        <w:tabs>
          <w:tab w:val="left" w:pos="1065"/>
        </w:tabs>
        <w:spacing w:after="0" w:line="240" w:lineRule="auto"/>
        <w:contextualSpacing/>
        <w:jc w:val="center"/>
        <w:rPr>
          <w:rFonts w:ascii="Times New Roman" w:hAnsi="Times New Roman" w:cs="Times New Roman"/>
          <w:sz w:val="28"/>
        </w:rPr>
      </w:pPr>
    </w:p>
    <w:p w:rsidR="0061776A" w:rsidRPr="0061776A" w:rsidRDefault="0061776A" w:rsidP="0061776A">
      <w:pPr>
        <w:tabs>
          <w:tab w:val="left" w:pos="1065"/>
        </w:tabs>
        <w:spacing w:after="0" w:line="240" w:lineRule="auto"/>
        <w:contextualSpacing/>
        <w:jc w:val="center"/>
        <w:rPr>
          <w:rFonts w:ascii="Times New Roman" w:hAnsi="Times New Roman" w:cs="Times New Roman"/>
          <w:sz w:val="28"/>
        </w:rPr>
      </w:pPr>
    </w:p>
    <w:p w:rsidR="0061776A" w:rsidRPr="0061776A" w:rsidRDefault="0061776A" w:rsidP="0061776A">
      <w:pPr>
        <w:tabs>
          <w:tab w:val="left" w:pos="1065"/>
        </w:tabs>
        <w:spacing w:after="0" w:line="240" w:lineRule="auto"/>
        <w:contextualSpacing/>
        <w:jc w:val="center"/>
        <w:rPr>
          <w:rFonts w:ascii="Times New Roman" w:hAnsi="Times New Roman" w:cs="Times New Roman"/>
          <w:sz w:val="28"/>
        </w:rPr>
      </w:pPr>
      <w:r w:rsidRPr="0061776A">
        <w:rPr>
          <w:rFonts w:ascii="Times New Roman" w:hAnsi="Times New Roman" w:cs="Times New Roman"/>
          <w:sz w:val="28"/>
        </w:rPr>
        <w:t>Рис. 1. Схема взаимозависимости в «Государственном конгломерате производственных секторов» (составлено авторами)</w:t>
      </w:r>
    </w:p>
    <w:p w:rsidR="0061776A" w:rsidRPr="0061776A" w:rsidRDefault="0061776A" w:rsidP="0061776A">
      <w:pPr>
        <w:tabs>
          <w:tab w:val="left" w:pos="1065"/>
        </w:tabs>
        <w:spacing w:after="0" w:line="240" w:lineRule="auto"/>
        <w:contextualSpacing/>
        <w:jc w:val="center"/>
        <w:rPr>
          <w:rFonts w:ascii="Times New Roman" w:hAnsi="Times New Roman" w:cs="Times New Roman"/>
          <w:sz w:val="28"/>
        </w:rPr>
      </w:pPr>
    </w:p>
    <w:p w:rsidR="0061776A" w:rsidRPr="0061776A" w:rsidRDefault="0061776A" w:rsidP="0061776A">
      <w:pPr>
        <w:tabs>
          <w:tab w:val="left" w:pos="1065"/>
        </w:tabs>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sz w:val="28"/>
        </w:rPr>
        <w:t xml:space="preserve">Исходя из схемы, можно сделать вывод, что для антикризисного развития промышленности Донецкой Народной Работы необходимо реализовать синергетический эффект в управление взаимозависимыми секторами. Поэтому, в процессе перехода данных отраслей на плановую экономику, необходимо создать дополнительные подразделения внутри секторов, ответственных за его инновационное развитие. Таким образом, эти подразделения будут ориентированы на разработку и создание новых продуктов и технологий с учетом необходимостей и согласованности со смежными отраслями. Это позволит повысить продуктивность работы всех секторов, с учетом созданных подразделений, ответственных за инновационное развитие, снизить рентабельность конечной продукции (горно-шахтного оборудования) через снижение себестоимости добычи каменного угля, и как следствие – металла. Кроме того, плановая экономика и объединение секторов позволит стабилизировать ситуацию относительно перепроизводства и нехватки финансовых ресурсов, что является актуальным </w:t>
      </w:r>
      <w:r w:rsidRPr="0061776A">
        <w:rPr>
          <w:rFonts w:ascii="Times New Roman" w:hAnsi="Times New Roman" w:cs="Times New Roman"/>
          <w:sz w:val="28"/>
        </w:rPr>
        <w:lastRenderedPageBreak/>
        <w:t>вопросом для современной тяжелой промышленности Донбасса. Стоит отметить, что на первых этапах внедрения проекта каждый сектор будет обеспечивать необходимой продукцией зависимую от него промышленность, а впоследствии – наращивание производства и выход на межрегиональную и мировую арену.</w:t>
      </w:r>
    </w:p>
    <w:p w:rsidR="0061776A" w:rsidRPr="0061776A" w:rsidRDefault="0061776A" w:rsidP="0061776A">
      <w:pPr>
        <w:tabs>
          <w:tab w:val="left" w:pos="1065"/>
        </w:tabs>
        <w:spacing w:after="0" w:line="240" w:lineRule="auto"/>
        <w:ind w:firstLine="709"/>
        <w:contextualSpacing/>
        <w:jc w:val="both"/>
        <w:rPr>
          <w:rFonts w:ascii="Times New Roman" w:hAnsi="Times New Roman" w:cs="Times New Roman"/>
          <w:sz w:val="28"/>
        </w:rPr>
      </w:pPr>
      <w:r w:rsidRPr="0061776A">
        <w:rPr>
          <w:rFonts w:ascii="Times New Roman" w:hAnsi="Times New Roman" w:cs="Times New Roman"/>
          <w:b/>
          <w:sz w:val="28"/>
        </w:rPr>
        <w:t>Выводы.</w:t>
      </w:r>
      <w:r w:rsidRPr="0061776A">
        <w:rPr>
          <w:rFonts w:ascii="Times New Roman" w:hAnsi="Times New Roman" w:cs="Times New Roman"/>
          <w:sz w:val="28"/>
        </w:rPr>
        <w:t xml:space="preserve"> Таким образом, антикризисное развитие экономики Донецкой Народной Республики должно происходить через повышение эффективности деятельности промышленных секторов с учетом предложенного проекта по их объединению, созданию подразделений, направленных на инновационные разработки и перехода на плановую экономику.</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61776A" w:rsidRPr="0061776A" w:rsidTr="00665C78">
        <w:trPr>
          <w:jc w:val="center"/>
        </w:trPr>
        <w:tc>
          <w:tcPr>
            <w:tcW w:w="5000" w:type="pct"/>
            <w:gridSpan w:val="2"/>
          </w:tcPr>
          <w:p w:rsidR="0061776A" w:rsidRPr="0061776A" w:rsidRDefault="0061776A" w:rsidP="0061776A">
            <w:pPr>
              <w:contextualSpacing/>
              <w:jc w:val="both"/>
              <w:rPr>
                <w:sz w:val="24"/>
              </w:rPr>
            </w:pPr>
          </w:p>
        </w:tc>
      </w:tr>
      <w:tr w:rsidR="0061776A" w:rsidRPr="0061776A" w:rsidTr="00665C78">
        <w:trPr>
          <w:jc w:val="center"/>
        </w:trPr>
        <w:tc>
          <w:tcPr>
            <w:tcW w:w="5000" w:type="pct"/>
            <w:gridSpan w:val="2"/>
            <w:hideMark/>
          </w:tcPr>
          <w:p w:rsidR="0061776A" w:rsidRPr="0061776A" w:rsidRDefault="0061776A" w:rsidP="0061776A">
            <w:pPr>
              <w:jc w:val="center"/>
              <w:rPr>
                <w:b/>
              </w:rPr>
            </w:pPr>
            <w:r w:rsidRPr="0061776A">
              <w:rPr>
                <w:b/>
              </w:rPr>
              <w:t>Список литературы</w:t>
            </w:r>
          </w:p>
        </w:tc>
      </w:tr>
      <w:tr w:rsidR="0061776A" w:rsidRPr="0061776A" w:rsidTr="00665C78">
        <w:trPr>
          <w:jc w:val="center"/>
        </w:trPr>
        <w:tc>
          <w:tcPr>
            <w:tcW w:w="293" w:type="pct"/>
          </w:tcPr>
          <w:p w:rsidR="0061776A" w:rsidRPr="0061776A" w:rsidRDefault="0061776A" w:rsidP="0061776A">
            <w:pPr>
              <w:widowControl w:val="0"/>
              <w:numPr>
                <w:ilvl w:val="0"/>
                <w:numId w:val="1"/>
              </w:numPr>
              <w:contextualSpacing/>
              <w:jc w:val="both"/>
              <w:rPr>
                <w:sz w:val="24"/>
                <w:szCs w:val="24"/>
              </w:rPr>
            </w:pPr>
          </w:p>
        </w:tc>
        <w:tc>
          <w:tcPr>
            <w:tcW w:w="4707" w:type="pct"/>
          </w:tcPr>
          <w:p w:rsidR="0061776A" w:rsidRPr="0061776A" w:rsidRDefault="0061776A" w:rsidP="0061776A">
            <w:pPr>
              <w:contextualSpacing/>
              <w:jc w:val="both"/>
              <w:rPr>
                <w:rFonts w:eastAsia="Times New Roman"/>
                <w:sz w:val="24"/>
                <w:szCs w:val="24"/>
              </w:rPr>
            </w:pPr>
            <w:r w:rsidRPr="0061776A">
              <w:rPr>
                <w:sz w:val="24"/>
                <w:szCs w:val="24"/>
              </w:rPr>
              <w:t>Барчук, В.П. Инновационное развитие как инструмент эффективности промышленного потенциала региона / В.П. Барчук //</w:t>
            </w:r>
            <w:proofErr w:type="spellStart"/>
            <w:r w:rsidRPr="0061776A">
              <w:rPr>
                <w:sz w:val="24"/>
                <w:szCs w:val="24"/>
              </w:rPr>
              <w:t>Socio-economic</w:t>
            </w:r>
            <w:proofErr w:type="spellEnd"/>
            <w:r w:rsidRPr="0061776A">
              <w:rPr>
                <w:sz w:val="24"/>
                <w:szCs w:val="24"/>
              </w:rPr>
              <w:t xml:space="preserve"> </w:t>
            </w:r>
            <w:proofErr w:type="spellStart"/>
            <w:r w:rsidRPr="0061776A">
              <w:rPr>
                <w:sz w:val="24"/>
                <w:szCs w:val="24"/>
              </w:rPr>
              <w:t>aspects</w:t>
            </w:r>
            <w:proofErr w:type="spellEnd"/>
            <w:r w:rsidRPr="0061776A">
              <w:rPr>
                <w:sz w:val="24"/>
                <w:szCs w:val="24"/>
              </w:rPr>
              <w:t xml:space="preserve"> </w:t>
            </w:r>
            <w:proofErr w:type="spellStart"/>
            <w:r w:rsidRPr="0061776A">
              <w:rPr>
                <w:sz w:val="24"/>
                <w:szCs w:val="24"/>
              </w:rPr>
              <w:t>of</w:t>
            </w:r>
            <w:proofErr w:type="spellEnd"/>
            <w:r w:rsidRPr="0061776A">
              <w:rPr>
                <w:sz w:val="24"/>
                <w:szCs w:val="24"/>
              </w:rPr>
              <w:t xml:space="preserve"> </w:t>
            </w:r>
            <w:proofErr w:type="spellStart"/>
            <w:r w:rsidRPr="0061776A">
              <w:rPr>
                <w:sz w:val="24"/>
                <w:szCs w:val="24"/>
              </w:rPr>
              <w:t>economics</w:t>
            </w:r>
            <w:proofErr w:type="spellEnd"/>
            <w:r w:rsidRPr="0061776A">
              <w:rPr>
                <w:sz w:val="24"/>
                <w:szCs w:val="24"/>
              </w:rPr>
              <w:t xml:space="preserve"> </w:t>
            </w:r>
            <w:proofErr w:type="spellStart"/>
            <w:r w:rsidRPr="0061776A">
              <w:rPr>
                <w:sz w:val="24"/>
                <w:szCs w:val="24"/>
              </w:rPr>
              <w:t>and</w:t>
            </w:r>
            <w:proofErr w:type="spellEnd"/>
            <w:r w:rsidRPr="0061776A">
              <w:rPr>
                <w:sz w:val="24"/>
                <w:szCs w:val="24"/>
              </w:rPr>
              <w:t xml:space="preserve"> </w:t>
            </w:r>
            <w:proofErr w:type="spellStart"/>
            <w:r w:rsidRPr="0061776A">
              <w:rPr>
                <w:sz w:val="24"/>
                <w:szCs w:val="24"/>
              </w:rPr>
              <w:t>management</w:t>
            </w:r>
            <w:proofErr w:type="spellEnd"/>
            <w:r w:rsidRPr="0061776A">
              <w:rPr>
                <w:sz w:val="24"/>
                <w:szCs w:val="24"/>
              </w:rPr>
              <w:t>. - 2015. - №1. - С. 287-291.</w:t>
            </w:r>
          </w:p>
        </w:tc>
      </w:tr>
      <w:tr w:rsidR="0061776A" w:rsidRPr="0061776A" w:rsidTr="00665C78">
        <w:trPr>
          <w:jc w:val="center"/>
        </w:trPr>
        <w:tc>
          <w:tcPr>
            <w:tcW w:w="293" w:type="pct"/>
          </w:tcPr>
          <w:p w:rsidR="0061776A" w:rsidRPr="0061776A" w:rsidRDefault="0061776A" w:rsidP="0061776A">
            <w:pPr>
              <w:widowControl w:val="0"/>
              <w:numPr>
                <w:ilvl w:val="0"/>
                <w:numId w:val="1"/>
              </w:numPr>
              <w:contextualSpacing/>
              <w:jc w:val="both"/>
              <w:rPr>
                <w:sz w:val="24"/>
              </w:rPr>
            </w:pPr>
          </w:p>
        </w:tc>
        <w:tc>
          <w:tcPr>
            <w:tcW w:w="4707" w:type="pct"/>
          </w:tcPr>
          <w:p w:rsidR="0061776A" w:rsidRPr="0061776A" w:rsidRDefault="0061776A" w:rsidP="0061776A">
            <w:pPr>
              <w:contextualSpacing/>
              <w:jc w:val="both"/>
              <w:rPr>
                <w:sz w:val="24"/>
                <w:szCs w:val="24"/>
              </w:rPr>
            </w:pPr>
            <w:r w:rsidRPr="0061776A">
              <w:rPr>
                <w:sz w:val="24"/>
                <w:szCs w:val="24"/>
                <w:shd w:val="clear" w:color="auto" w:fill="FFFFFF"/>
                <w:lang w:val="en-US"/>
              </w:rPr>
              <w:t>The Global Innovation Index</w:t>
            </w:r>
            <w:r w:rsidRPr="0061776A">
              <w:rPr>
                <w:sz w:val="24"/>
                <w:szCs w:val="24"/>
                <w:lang w:val="en-US"/>
              </w:rPr>
              <w:t>: [</w:t>
            </w:r>
            <w:r w:rsidRPr="0061776A">
              <w:rPr>
                <w:sz w:val="24"/>
                <w:szCs w:val="24"/>
              </w:rPr>
              <w:t>Электронный</w:t>
            </w:r>
            <w:r w:rsidRPr="0061776A">
              <w:rPr>
                <w:sz w:val="24"/>
                <w:szCs w:val="24"/>
                <w:lang w:val="en-US"/>
              </w:rPr>
              <w:t xml:space="preserve"> </w:t>
            </w:r>
            <w:r w:rsidRPr="0061776A">
              <w:rPr>
                <w:sz w:val="24"/>
                <w:szCs w:val="24"/>
              </w:rPr>
              <w:t>ресурс</w:t>
            </w:r>
            <w:r w:rsidRPr="0061776A">
              <w:rPr>
                <w:sz w:val="24"/>
                <w:szCs w:val="24"/>
                <w:lang w:val="en-US"/>
              </w:rPr>
              <w:t xml:space="preserve">]. </w:t>
            </w:r>
            <w:r w:rsidRPr="0061776A">
              <w:rPr>
                <w:sz w:val="24"/>
                <w:szCs w:val="24"/>
              </w:rPr>
              <w:t>URL: </w:t>
            </w:r>
            <w:r w:rsidRPr="0061776A">
              <w:rPr>
                <w:sz w:val="24"/>
                <w:szCs w:val="24"/>
                <w:u w:val="single"/>
              </w:rPr>
              <w:t>http://www.globalinnovationindex.org/</w:t>
            </w:r>
            <w:r w:rsidRPr="0061776A">
              <w:rPr>
                <w:sz w:val="24"/>
                <w:szCs w:val="24"/>
              </w:rPr>
              <w:t xml:space="preserve"> (Дата обращения 01.03.2019).</w:t>
            </w:r>
          </w:p>
        </w:tc>
      </w:tr>
      <w:tr w:rsidR="0061776A" w:rsidRPr="0061776A" w:rsidTr="00665C78">
        <w:trPr>
          <w:jc w:val="center"/>
        </w:trPr>
        <w:tc>
          <w:tcPr>
            <w:tcW w:w="293" w:type="pct"/>
          </w:tcPr>
          <w:p w:rsidR="0061776A" w:rsidRPr="0061776A" w:rsidRDefault="0061776A" w:rsidP="0061776A">
            <w:pPr>
              <w:widowControl w:val="0"/>
              <w:numPr>
                <w:ilvl w:val="0"/>
                <w:numId w:val="1"/>
              </w:numPr>
              <w:contextualSpacing/>
              <w:jc w:val="both"/>
              <w:rPr>
                <w:sz w:val="24"/>
              </w:rPr>
            </w:pPr>
          </w:p>
        </w:tc>
        <w:tc>
          <w:tcPr>
            <w:tcW w:w="4707" w:type="pct"/>
          </w:tcPr>
          <w:p w:rsidR="0061776A" w:rsidRPr="0061776A" w:rsidRDefault="0061776A" w:rsidP="0061776A">
            <w:pPr>
              <w:contextualSpacing/>
              <w:jc w:val="both"/>
              <w:rPr>
                <w:rFonts w:eastAsia="Times New Roman"/>
                <w:sz w:val="24"/>
                <w:szCs w:val="24"/>
              </w:rPr>
            </w:pPr>
            <w:proofErr w:type="spellStart"/>
            <w:r w:rsidRPr="0061776A">
              <w:rPr>
                <w:sz w:val="24"/>
                <w:szCs w:val="24"/>
                <w:shd w:val="clear" w:color="auto" w:fill="FFFFFF"/>
              </w:rPr>
              <w:t>ГлавстатДНР</w:t>
            </w:r>
            <w:proofErr w:type="spellEnd"/>
            <w:r w:rsidRPr="0061776A">
              <w:rPr>
                <w:sz w:val="24"/>
                <w:szCs w:val="24"/>
              </w:rPr>
              <w:t xml:space="preserve">: [Электронный ресурс]. URL: </w:t>
            </w:r>
            <w:r w:rsidRPr="0061776A">
              <w:rPr>
                <w:rFonts w:eastAsia="Times New Roman"/>
                <w:sz w:val="24"/>
                <w:szCs w:val="24"/>
                <w:lang w:eastAsia="ru-RU"/>
              </w:rPr>
              <w:t>https://dnr-online.ru/tag/glavstat-dnr/</w:t>
            </w:r>
            <w:r w:rsidRPr="0061776A">
              <w:rPr>
                <w:sz w:val="24"/>
                <w:szCs w:val="24"/>
              </w:rPr>
              <w:t xml:space="preserve"> (Дата обращения 01.03.2019).</w:t>
            </w:r>
          </w:p>
        </w:tc>
      </w:tr>
    </w:tbl>
    <w:p w:rsidR="00527BFF" w:rsidRDefault="00527BFF"/>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4469D"/>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6A"/>
    <w:rsid w:val="00527BFF"/>
    <w:rsid w:val="00617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76A"/>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76A"/>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1570</Words>
  <Characters>8952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2020-04-16T17:36:00Z</dcterms:modified>
</cp:coreProperties>
</file>