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18" w:type="pct"/>
        <w:jc w:val="center"/>
        <w:tblLook w:val="04A0" w:firstRow="1" w:lastRow="0" w:firstColumn="1" w:lastColumn="0" w:noHBand="0" w:noVBand="1"/>
      </w:tblPr>
      <w:tblGrid>
        <w:gridCol w:w="4251"/>
        <w:gridCol w:w="5163"/>
      </w:tblGrid>
      <w:tr w:rsidR="008124F0" w:rsidRPr="008124F0" w:rsidTr="00B36FDB">
        <w:trPr>
          <w:jc w:val="center"/>
        </w:trPr>
        <w:tc>
          <w:tcPr>
            <w:tcW w:w="4935" w:type="pct"/>
            <w:gridSpan w:val="2"/>
          </w:tcPr>
          <w:p w:rsidR="008124F0" w:rsidRPr="008124F0" w:rsidRDefault="008124F0" w:rsidP="008124F0">
            <w:pPr>
              <w:shd w:val="clear" w:color="auto" w:fill="FFFFFF"/>
              <w:spacing w:after="0" w:line="240" w:lineRule="auto"/>
              <w:rPr>
                <w:rFonts w:ascii="Times New Roman" w:eastAsia="Times New Roman" w:hAnsi="Times New Roman" w:cs="Times New Roman"/>
                <w:b/>
                <w:color w:val="000000" w:themeColor="text1"/>
                <w:sz w:val="28"/>
              </w:rPr>
            </w:pPr>
            <w:r w:rsidRPr="008124F0">
              <w:rPr>
                <w:rFonts w:ascii="Times New Roman" w:hAnsi="Times New Roman" w:cs="Times New Roman"/>
                <w:b/>
                <w:color w:val="000000" w:themeColor="text1"/>
                <w:sz w:val="28"/>
                <w:szCs w:val="28"/>
              </w:rPr>
              <w:t>УДК. 338.1</w:t>
            </w:r>
          </w:p>
        </w:tc>
      </w:tr>
      <w:tr w:rsidR="008124F0" w:rsidRPr="008124F0" w:rsidTr="00B36FDB">
        <w:trPr>
          <w:jc w:val="center"/>
        </w:trPr>
        <w:tc>
          <w:tcPr>
            <w:tcW w:w="2229" w:type="pct"/>
          </w:tcPr>
          <w:p w:rsidR="008124F0" w:rsidRPr="008124F0" w:rsidRDefault="008124F0" w:rsidP="008124F0">
            <w:pPr>
              <w:widowControl w:val="0"/>
              <w:spacing w:after="0" w:line="240" w:lineRule="auto"/>
              <w:jc w:val="right"/>
              <w:rPr>
                <w:rFonts w:ascii="Times New Roman" w:eastAsia="Times New Roman" w:hAnsi="Times New Roman" w:cs="Times New Roman"/>
                <w:color w:val="000000" w:themeColor="text1"/>
                <w:sz w:val="28"/>
              </w:rPr>
            </w:pPr>
          </w:p>
        </w:tc>
        <w:tc>
          <w:tcPr>
            <w:tcW w:w="2706" w:type="pct"/>
            <w:tcMar>
              <w:top w:w="0" w:type="dxa"/>
              <w:left w:w="0" w:type="dxa"/>
              <w:bottom w:w="0" w:type="dxa"/>
              <w:right w:w="0" w:type="dxa"/>
            </w:tcMar>
          </w:tcPr>
          <w:p w:rsidR="008124F0" w:rsidRPr="008124F0" w:rsidRDefault="008124F0" w:rsidP="008124F0">
            <w:pPr>
              <w:spacing w:after="0" w:line="240" w:lineRule="auto"/>
              <w:contextualSpacing/>
              <w:rPr>
                <w:rFonts w:ascii="Times New Roman" w:hAnsi="Times New Roman" w:cs="Times New Roman"/>
                <w:color w:val="000000" w:themeColor="text1"/>
                <w:sz w:val="28"/>
                <w:szCs w:val="28"/>
              </w:rPr>
            </w:pPr>
            <w:bookmarkStart w:id="0" w:name="_Toc39512909"/>
            <w:r w:rsidRPr="008124F0">
              <w:rPr>
                <w:rFonts w:ascii="Times New Roman" w:eastAsiaTheme="majorEastAsia" w:hAnsi="Times New Roman" w:cs="Times New Roman"/>
                <w:b/>
                <w:bCs/>
                <w:iCs/>
                <w:color w:val="000000" w:themeColor="text1"/>
                <w:sz w:val="28"/>
              </w:rPr>
              <w:t>E.A. Шумаева,</w:t>
            </w:r>
            <w:bookmarkEnd w:id="0"/>
            <w:r w:rsidRPr="008124F0">
              <w:rPr>
                <w:rFonts w:ascii="Times New Roman" w:hAnsi="Times New Roman" w:cs="Times New Roman"/>
                <w:bCs/>
                <w:color w:val="000000" w:themeColor="text1"/>
                <w:sz w:val="28"/>
                <w:szCs w:val="28"/>
              </w:rPr>
              <w:t xml:space="preserve"> </w:t>
            </w:r>
            <w:r w:rsidRPr="008124F0">
              <w:rPr>
                <w:rFonts w:ascii="Times New Roman" w:hAnsi="Times New Roman" w:cs="Times New Roman"/>
                <w:i/>
                <w:color w:val="000000" w:themeColor="text1"/>
                <w:sz w:val="28"/>
                <w:szCs w:val="24"/>
              </w:rPr>
              <w:t>канд. наук гос. упр., доц.</w:t>
            </w:r>
          </w:p>
          <w:p w:rsidR="008124F0" w:rsidRPr="008124F0" w:rsidRDefault="008124F0" w:rsidP="008124F0">
            <w:pPr>
              <w:keepNext/>
              <w:spacing w:after="0" w:line="240" w:lineRule="auto"/>
              <w:jc w:val="both"/>
              <w:outlineLvl w:val="1"/>
              <w:rPr>
                <w:rFonts w:ascii="Times New Roman" w:hAnsi="Times New Roman" w:cs="Times New Roman"/>
                <w:b/>
                <w:bCs/>
                <w:iCs/>
                <w:color w:val="000000" w:themeColor="text1"/>
                <w:sz w:val="28"/>
                <w:szCs w:val="28"/>
              </w:rPr>
            </w:pPr>
            <w:bookmarkStart w:id="1" w:name="_Toc39512910"/>
            <w:r w:rsidRPr="008124F0">
              <w:rPr>
                <w:rFonts w:ascii="Times New Roman" w:hAnsi="Times New Roman" w:cs="Times New Roman"/>
                <w:b/>
                <w:bCs/>
                <w:iCs/>
                <w:color w:val="000000" w:themeColor="text1"/>
                <w:sz w:val="28"/>
                <w:szCs w:val="28"/>
              </w:rPr>
              <w:t>А.А. Подбуцкий</w:t>
            </w:r>
            <w:bookmarkEnd w:id="1"/>
            <w:r w:rsidRPr="008124F0">
              <w:rPr>
                <w:rFonts w:ascii="Times New Roman" w:hAnsi="Times New Roman" w:cs="Times New Roman"/>
                <w:b/>
                <w:bCs/>
                <w:iCs/>
                <w:color w:val="000000" w:themeColor="text1"/>
                <w:sz w:val="28"/>
                <w:szCs w:val="28"/>
              </w:rPr>
              <w:t xml:space="preserve"> </w:t>
            </w:r>
          </w:p>
          <w:p w:rsidR="008124F0" w:rsidRPr="008124F0" w:rsidRDefault="008124F0" w:rsidP="008124F0">
            <w:pPr>
              <w:spacing w:after="0" w:line="240" w:lineRule="auto"/>
              <w:contextualSpacing/>
              <w:rPr>
                <w:rFonts w:ascii="Times New Roman" w:hAnsi="Times New Roman" w:cs="Times New Roman"/>
                <w:i/>
                <w:iCs/>
                <w:color w:val="000000" w:themeColor="text1"/>
                <w:sz w:val="28"/>
                <w:szCs w:val="28"/>
              </w:rPr>
            </w:pPr>
            <w:r w:rsidRPr="008124F0">
              <w:rPr>
                <w:rFonts w:ascii="Times New Roman" w:hAnsi="Times New Roman" w:cs="Times New Roman"/>
                <w:i/>
                <w:iCs/>
                <w:color w:val="000000" w:themeColor="text1"/>
                <w:sz w:val="28"/>
                <w:szCs w:val="28"/>
              </w:rPr>
              <w:t xml:space="preserve">ГОУВПО «Донецкий национальный технический университет», </w:t>
            </w:r>
          </w:p>
          <w:p w:rsidR="008124F0" w:rsidRPr="008124F0" w:rsidRDefault="008124F0" w:rsidP="008124F0">
            <w:pPr>
              <w:spacing w:after="0" w:line="240" w:lineRule="auto"/>
              <w:contextualSpacing/>
              <w:rPr>
                <w:rFonts w:ascii="Times New Roman" w:hAnsi="Times New Roman" w:cs="Times New Roman"/>
                <w:b/>
                <w:bCs/>
                <w:i/>
                <w:iCs/>
                <w:color w:val="000000" w:themeColor="text1"/>
                <w:sz w:val="28"/>
                <w:szCs w:val="28"/>
              </w:rPr>
            </w:pPr>
            <w:r w:rsidRPr="008124F0">
              <w:rPr>
                <w:rFonts w:ascii="Times New Roman" w:hAnsi="Times New Roman" w:cs="Times New Roman"/>
                <w:i/>
                <w:iCs/>
                <w:color w:val="000000" w:themeColor="text1"/>
                <w:sz w:val="28"/>
                <w:szCs w:val="28"/>
              </w:rPr>
              <w:t>Донецк, Донецкая Народная Республика</w:t>
            </w:r>
            <w:r w:rsidRPr="008124F0">
              <w:rPr>
                <w:rFonts w:ascii="Times New Roman" w:hAnsi="Times New Roman" w:cs="Times New Roman"/>
                <w:color w:val="000000" w:themeColor="text1"/>
                <w:sz w:val="28"/>
                <w:szCs w:val="28"/>
              </w:rPr>
              <w:br/>
            </w:r>
            <w:r w:rsidRPr="008124F0">
              <w:rPr>
                <w:rFonts w:ascii="Times New Roman" w:hAnsi="Times New Roman" w:cs="Times New Roman"/>
                <w:b/>
                <w:bCs/>
                <w:i/>
                <w:iCs/>
                <w:color w:val="000000" w:themeColor="text1"/>
                <w:sz w:val="28"/>
                <w:szCs w:val="28"/>
                <w:lang w:val="en-US"/>
              </w:rPr>
              <w:t>E</w:t>
            </w:r>
            <w:r w:rsidRPr="008124F0">
              <w:rPr>
                <w:rFonts w:ascii="Times New Roman" w:hAnsi="Times New Roman" w:cs="Times New Roman"/>
                <w:b/>
                <w:bCs/>
                <w:i/>
                <w:iCs/>
                <w:color w:val="000000" w:themeColor="text1"/>
                <w:sz w:val="28"/>
                <w:szCs w:val="28"/>
              </w:rPr>
              <w:t>.</w:t>
            </w:r>
            <w:r w:rsidRPr="008124F0">
              <w:rPr>
                <w:rFonts w:ascii="Times New Roman" w:hAnsi="Times New Roman" w:cs="Times New Roman"/>
                <w:b/>
                <w:bCs/>
                <w:i/>
                <w:iCs/>
                <w:color w:val="000000" w:themeColor="text1"/>
                <w:sz w:val="28"/>
                <w:szCs w:val="28"/>
                <w:lang w:val="en-US"/>
              </w:rPr>
              <w:t>A</w:t>
            </w:r>
            <w:r w:rsidRPr="008124F0">
              <w:rPr>
                <w:rFonts w:ascii="Times New Roman" w:hAnsi="Times New Roman" w:cs="Times New Roman"/>
                <w:b/>
                <w:bCs/>
                <w:i/>
                <w:iCs/>
                <w:color w:val="000000" w:themeColor="text1"/>
                <w:sz w:val="28"/>
                <w:szCs w:val="28"/>
              </w:rPr>
              <w:t xml:space="preserve">. </w:t>
            </w:r>
            <w:r w:rsidRPr="008124F0">
              <w:rPr>
                <w:rFonts w:ascii="Times New Roman" w:hAnsi="Times New Roman" w:cs="Times New Roman"/>
                <w:b/>
                <w:bCs/>
                <w:i/>
                <w:iCs/>
                <w:color w:val="000000" w:themeColor="text1"/>
                <w:sz w:val="28"/>
                <w:szCs w:val="28"/>
                <w:lang w:val="en-US"/>
              </w:rPr>
              <w:t>Shumaieva</w:t>
            </w:r>
            <w:r w:rsidRPr="008124F0">
              <w:rPr>
                <w:rFonts w:ascii="Times New Roman" w:hAnsi="Times New Roman" w:cs="Times New Roman"/>
                <w:b/>
                <w:bCs/>
                <w:i/>
                <w:iCs/>
                <w:color w:val="000000" w:themeColor="text1"/>
                <w:sz w:val="28"/>
                <w:szCs w:val="28"/>
              </w:rPr>
              <w:t>,</w:t>
            </w:r>
          </w:p>
          <w:p w:rsidR="008124F0" w:rsidRPr="008124F0" w:rsidRDefault="008124F0" w:rsidP="008124F0">
            <w:pPr>
              <w:shd w:val="clear" w:color="auto" w:fill="FFFFFF"/>
              <w:spacing w:after="0" w:line="240" w:lineRule="auto"/>
              <w:rPr>
                <w:rFonts w:ascii="Times New Roman" w:hAnsi="Times New Roman" w:cs="Times New Roman"/>
                <w:color w:val="000000" w:themeColor="text1"/>
                <w:sz w:val="28"/>
                <w:szCs w:val="28"/>
                <w:lang w:val="en-US"/>
              </w:rPr>
            </w:pPr>
            <w:r w:rsidRPr="008124F0">
              <w:rPr>
                <w:rFonts w:ascii="Times New Roman" w:hAnsi="Times New Roman" w:cs="Times New Roman"/>
                <w:b/>
                <w:bCs/>
                <w:i/>
                <w:iCs/>
                <w:color w:val="000000" w:themeColor="text1"/>
                <w:sz w:val="28"/>
                <w:szCs w:val="28"/>
                <w:lang w:val="en-US"/>
              </w:rPr>
              <w:t>A.A. Podbutskyy</w:t>
            </w:r>
          </w:p>
          <w:p w:rsidR="008124F0" w:rsidRPr="008124F0" w:rsidRDefault="008124F0" w:rsidP="008124F0">
            <w:pPr>
              <w:shd w:val="clear" w:color="auto" w:fill="FFFFFF"/>
              <w:spacing w:after="0" w:line="240" w:lineRule="auto"/>
              <w:rPr>
                <w:rFonts w:ascii="Times New Roman" w:hAnsi="Times New Roman" w:cs="Times New Roman"/>
                <w:color w:val="000000" w:themeColor="text1"/>
                <w:sz w:val="28"/>
                <w:szCs w:val="28"/>
                <w:lang w:val="en-US"/>
              </w:rPr>
            </w:pPr>
            <w:r w:rsidRPr="008124F0">
              <w:rPr>
                <w:rFonts w:ascii="Times New Roman" w:hAnsi="Times New Roman" w:cs="Times New Roman"/>
                <w:i/>
                <w:iCs/>
                <w:color w:val="000000" w:themeColor="text1"/>
                <w:sz w:val="28"/>
                <w:szCs w:val="28"/>
                <w:lang w:val="en-US"/>
              </w:rPr>
              <w:t>Donetsk national technical university,</w:t>
            </w:r>
          </w:p>
          <w:p w:rsidR="008124F0" w:rsidRPr="008124F0" w:rsidRDefault="008124F0" w:rsidP="008124F0">
            <w:pPr>
              <w:shd w:val="clear" w:color="auto" w:fill="FFFFFF"/>
              <w:spacing w:after="0" w:line="240" w:lineRule="auto"/>
              <w:rPr>
                <w:rFonts w:ascii="Times New Roman" w:eastAsia="Times New Roman" w:hAnsi="Times New Roman" w:cs="Times New Roman"/>
                <w:color w:val="000000" w:themeColor="text1"/>
                <w:sz w:val="28"/>
                <w:lang w:val="en-US"/>
              </w:rPr>
            </w:pPr>
            <w:r w:rsidRPr="008124F0">
              <w:rPr>
                <w:rFonts w:ascii="Times New Roman" w:hAnsi="Times New Roman" w:cs="Times New Roman"/>
                <w:i/>
                <w:iCs/>
                <w:color w:val="000000" w:themeColor="text1"/>
                <w:sz w:val="28"/>
                <w:szCs w:val="28"/>
                <w:lang w:val="en-US"/>
              </w:rPr>
              <w:t>Donetsk, Donetsk People's Republic</w:t>
            </w:r>
          </w:p>
        </w:tc>
      </w:tr>
      <w:tr w:rsidR="008124F0" w:rsidRPr="008124F0" w:rsidTr="00B36FDB">
        <w:trPr>
          <w:jc w:val="center"/>
        </w:trPr>
        <w:tc>
          <w:tcPr>
            <w:tcW w:w="2229" w:type="pct"/>
          </w:tcPr>
          <w:p w:rsidR="008124F0" w:rsidRPr="008124F0" w:rsidRDefault="008124F0" w:rsidP="008124F0">
            <w:pPr>
              <w:widowControl w:val="0"/>
              <w:spacing w:after="0" w:line="240" w:lineRule="auto"/>
              <w:jc w:val="center"/>
              <w:outlineLvl w:val="0"/>
              <w:rPr>
                <w:rFonts w:ascii="Times New Roman" w:eastAsia="Times New Roman" w:hAnsi="Times New Roman" w:cs="Times New Roman"/>
                <w:caps/>
                <w:color w:val="000000" w:themeColor="text1"/>
                <w:sz w:val="28"/>
                <w:lang w:val="en-US"/>
              </w:rPr>
            </w:pPr>
          </w:p>
        </w:tc>
        <w:tc>
          <w:tcPr>
            <w:tcW w:w="2706" w:type="pct"/>
          </w:tcPr>
          <w:p w:rsidR="008124F0" w:rsidRPr="008124F0" w:rsidRDefault="008124F0" w:rsidP="008124F0">
            <w:pPr>
              <w:widowControl w:val="0"/>
              <w:spacing w:after="0" w:line="240" w:lineRule="auto"/>
              <w:rPr>
                <w:rFonts w:ascii="Times New Roman" w:eastAsia="Times New Roman" w:hAnsi="Times New Roman" w:cs="Times New Roman"/>
                <w:color w:val="000000" w:themeColor="text1"/>
                <w:sz w:val="28"/>
                <w:lang w:val="en-US"/>
              </w:rPr>
            </w:pPr>
          </w:p>
        </w:tc>
      </w:tr>
      <w:tr w:rsidR="008124F0" w:rsidRPr="008124F0" w:rsidTr="00B36FDB">
        <w:trPr>
          <w:jc w:val="center"/>
        </w:trPr>
        <w:tc>
          <w:tcPr>
            <w:tcW w:w="4935" w:type="pct"/>
            <w:gridSpan w:val="2"/>
          </w:tcPr>
          <w:p w:rsidR="008124F0" w:rsidRPr="008124F0" w:rsidRDefault="008124F0" w:rsidP="008124F0">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pPr>
            <w:bookmarkStart w:id="2" w:name="_Toc39512911"/>
            <w:r w:rsidRPr="008124F0">
              <w:rPr>
                <w:rFonts w:ascii="Times New Roman Полужирный" w:hAnsi="Times New Roman Полужирный" w:cs="Times New Roman"/>
                <w:bCs/>
                <w:kern w:val="32"/>
                <w:sz w:val="28"/>
                <w:szCs w:val="28"/>
                <w:bdr w:val="none" w:sz="0" w:space="0" w:color="auto" w:frame="1"/>
                <w:shd w:val="clear" w:color="auto" w:fill="FFFFFF"/>
                <w:lang w:eastAsia="ru-RU"/>
              </w:rPr>
              <w:t>ИННОВАЦИОННОЕ РАЗВИТИЕ КАК ФАКТОР ПРОГРЕССА СОВРЕМЕННОЙ ЭКОНОМИКИ</w:t>
            </w:r>
            <w:bookmarkEnd w:id="2"/>
          </w:p>
        </w:tc>
      </w:tr>
      <w:tr w:rsidR="008124F0" w:rsidRPr="008124F0" w:rsidTr="00B36FDB">
        <w:trPr>
          <w:jc w:val="center"/>
        </w:trPr>
        <w:tc>
          <w:tcPr>
            <w:tcW w:w="4935" w:type="pct"/>
            <w:gridSpan w:val="2"/>
          </w:tcPr>
          <w:p w:rsidR="008124F0" w:rsidRPr="008124F0" w:rsidRDefault="008124F0" w:rsidP="008124F0">
            <w:pPr>
              <w:spacing w:after="0" w:line="240" w:lineRule="auto"/>
              <w:rPr>
                <w:rFonts w:ascii="Times New Roman" w:eastAsia="Times New Roman" w:hAnsi="Times New Roman" w:cs="Times New Roman"/>
                <w:color w:val="000000" w:themeColor="text1"/>
                <w:sz w:val="28"/>
              </w:rPr>
            </w:pPr>
          </w:p>
        </w:tc>
      </w:tr>
      <w:tr w:rsidR="008124F0" w:rsidRPr="008124F0" w:rsidTr="00B36FDB">
        <w:trPr>
          <w:jc w:val="center"/>
        </w:trPr>
        <w:tc>
          <w:tcPr>
            <w:tcW w:w="4935" w:type="pct"/>
            <w:gridSpan w:val="2"/>
          </w:tcPr>
          <w:p w:rsidR="008124F0" w:rsidRPr="008124F0" w:rsidRDefault="008124F0" w:rsidP="008124F0">
            <w:pPr>
              <w:spacing w:after="0" w:line="240" w:lineRule="auto"/>
              <w:contextualSpacing/>
              <w:jc w:val="center"/>
              <w:rPr>
                <w:rFonts w:ascii="Times New Roman" w:hAnsi="Times New Roman" w:cs="Times New Roman"/>
                <w:b/>
                <w:color w:val="000000" w:themeColor="text1"/>
                <w:sz w:val="28"/>
                <w:szCs w:val="28"/>
                <w:lang w:val="en-US"/>
              </w:rPr>
            </w:pPr>
            <w:r w:rsidRPr="008124F0">
              <w:rPr>
                <w:rFonts w:ascii="Times New Roman" w:hAnsi="Times New Roman" w:cs="Times New Roman"/>
                <w:b/>
                <w:color w:val="000000" w:themeColor="text1"/>
                <w:sz w:val="28"/>
                <w:szCs w:val="28"/>
                <w:lang w:val="en-US"/>
              </w:rPr>
              <w:t xml:space="preserve">INNOVATIVE DEVELOPMENT AS A FACTOR OF MODERN </w:t>
            </w:r>
          </w:p>
          <w:p w:rsidR="008124F0" w:rsidRPr="008124F0" w:rsidRDefault="008124F0" w:rsidP="008124F0">
            <w:pPr>
              <w:shd w:val="clear" w:color="auto" w:fill="FDFEFF"/>
              <w:tabs>
                <w:tab w:val="left" w:pos="8505"/>
              </w:tabs>
              <w:spacing w:after="0" w:line="240" w:lineRule="auto"/>
              <w:ind w:left="851"/>
              <w:jc w:val="center"/>
              <w:rPr>
                <w:rFonts w:ascii="Times New Roman" w:eastAsia="Times New Roman" w:hAnsi="Times New Roman" w:cs="Times New Roman"/>
                <w:b/>
                <w:color w:val="000000" w:themeColor="text1"/>
                <w:sz w:val="28"/>
              </w:rPr>
            </w:pPr>
            <w:r w:rsidRPr="008124F0">
              <w:rPr>
                <w:rFonts w:ascii="Times New Roman" w:hAnsi="Times New Roman" w:cs="Times New Roman"/>
                <w:b/>
                <w:color w:val="000000" w:themeColor="text1"/>
                <w:sz w:val="28"/>
                <w:szCs w:val="28"/>
                <w:lang w:val="en-US"/>
              </w:rPr>
              <w:t>ECONOMY</w:t>
            </w:r>
            <w:r w:rsidRPr="008124F0">
              <w:rPr>
                <w:rFonts w:ascii="Times New Roman" w:hAnsi="Times New Roman" w:cs="Times New Roman"/>
                <w:b/>
                <w:color w:val="000000" w:themeColor="text1"/>
                <w:sz w:val="28"/>
                <w:szCs w:val="28"/>
              </w:rPr>
              <w:t xml:space="preserve"> </w:t>
            </w:r>
            <w:r w:rsidRPr="008124F0">
              <w:rPr>
                <w:rFonts w:ascii="Times New Roman" w:hAnsi="Times New Roman" w:cs="Times New Roman"/>
                <w:b/>
                <w:color w:val="000000" w:themeColor="text1"/>
                <w:sz w:val="28"/>
                <w:szCs w:val="28"/>
                <w:lang w:val="en-US"/>
              </w:rPr>
              <w:t>PROGRESS</w:t>
            </w:r>
          </w:p>
        </w:tc>
      </w:tr>
    </w:tbl>
    <w:p w:rsidR="008124F0" w:rsidRPr="008124F0" w:rsidRDefault="008124F0" w:rsidP="008124F0">
      <w:pPr>
        <w:spacing w:after="0" w:line="240" w:lineRule="auto"/>
        <w:contextualSpacing/>
        <w:jc w:val="center"/>
        <w:rPr>
          <w:rFonts w:ascii="Times New Roman" w:hAnsi="Times New Roman" w:cs="Times New Roman"/>
          <w:color w:val="000000" w:themeColor="text1"/>
          <w:sz w:val="28"/>
          <w:szCs w:val="28"/>
        </w:rPr>
      </w:pPr>
    </w:p>
    <w:p w:rsidR="008124F0" w:rsidRPr="008124F0" w:rsidRDefault="008124F0" w:rsidP="008124F0">
      <w:pPr>
        <w:spacing w:after="0" w:line="240" w:lineRule="auto"/>
        <w:ind w:firstLine="709"/>
        <w:contextualSpacing/>
        <w:jc w:val="both"/>
        <w:rPr>
          <w:rFonts w:ascii="Times New Roman" w:hAnsi="Times New Roman" w:cs="Times New Roman"/>
          <w:i/>
          <w:color w:val="000000" w:themeColor="text1"/>
          <w:sz w:val="24"/>
          <w:szCs w:val="24"/>
        </w:rPr>
      </w:pPr>
      <w:r w:rsidRPr="008124F0">
        <w:rPr>
          <w:rFonts w:ascii="Times New Roman" w:hAnsi="Times New Roman" w:cs="Times New Roman"/>
          <w:i/>
          <w:color w:val="000000" w:themeColor="text1"/>
          <w:sz w:val="24"/>
          <w:szCs w:val="24"/>
        </w:rPr>
        <w:t>Аннотация. В данной статье проанализирована взаимосвязь затрат на НИОКР и ВВП, а так же глобального индекса инноваций и индекса процветания.</w:t>
      </w:r>
    </w:p>
    <w:p w:rsidR="008124F0" w:rsidRPr="008124F0" w:rsidRDefault="008124F0" w:rsidP="008124F0">
      <w:pPr>
        <w:spacing w:after="0" w:line="240" w:lineRule="auto"/>
        <w:ind w:firstLine="709"/>
        <w:contextualSpacing/>
        <w:jc w:val="both"/>
        <w:rPr>
          <w:rFonts w:ascii="Times New Roman" w:hAnsi="Times New Roman" w:cs="Times New Roman"/>
          <w:i/>
          <w:color w:val="000000" w:themeColor="text1"/>
          <w:sz w:val="24"/>
          <w:szCs w:val="24"/>
        </w:rPr>
      </w:pPr>
      <w:r w:rsidRPr="008124F0">
        <w:rPr>
          <w:rFonts w:ascii="Times New Roman" w:hAnsi="Times New Roman" w:cs="Times New Roman"/>
          <w:i/>
          <w:color w:val="000000" w:themeColor="text1"/>
          <w:sz w:val="24"/>
          <w:szCs w:val="24"/>
        </w:rPr>
        <w:t xml:space="preserve">Ключевые слова: инновационное развитие, НИОКР, ВВП, глобальный индекс инноваций, индекс процветания. </w:t>
      </w:r>
    </w:p>
    <w:p w:rsidR="008124F0" w:rsidRPr="008124F0" w:rsidRDefault="008124F0" w:rsidP="008124F0">
      <w:pPr>
        <w:tabs>
          <w:tab w:val="left" w:pos="2100"/>
        </w:tabs>
        <w:spacing w:after="0" w:line="240" w:lineRule="auto"/>
        <w:ind w:firstLine="709"/>
        <w:contextualSpacing/>
        <w:jc w:val="both"/>
        <w:rPr>
          <w:rFonts w:ascii="Times New Roman" w:hAnsi="Times New Roman" w:cs="Times New Roman"/>
          <w:i/>
          <w:color w:val="000000" w:themeColor="text1"/>
          <w:sz w:val="24"/>
          <w:szCs w:val="24"/>
        </w:rPr>
      </w:pPr>
    </w:p>
    <w:p w:rsidR="008124F0" w:rsidRPr="008124F0" w:rsidRDefault="008124F0" w:rsidP="008124F0">
      <w:pPr>
        <w:spacing w:after="0" w:line="240" w:lineRule="auto"/>
        <w:ind w:firstLine="709"/>
        <w:contextualSpacing/>
        <w:jc w:val="both"/>
        <w:rPr>
          <w:rFonts w:ascii="Times New Roman" w:hAnsi="Times New Roman" w:cs="Times New Roman"/>
          <w:i/>
          <w:color w:val="000000" w:themeColor="text1"/>
          <w:sz w:val="24"/>
          <w:szCs w:val="24"/>
          <w:lang w:val="en-US"/>
        </w:rPr>
      </w:pPr>
      <w:r w:rsidRPr="008124F0">
        <w:rPr>
          <w:rFonts w:ascii="Times New Roman" w:hAnsi="Times New Roman" w:cs="Times New Roman"/>
          <w:i/>
          <w:color w:val="000000" w:themeColor="text1"/>
          <w:sz w:val="24"/>
          <w:szCs w:val="24"/>
          <w:lang w:val="en-US"/>
        </w:rPr>
        <w:t>Abstract. This article analyzes the relationship between research expenditures and GDP, as well as the global innovation index and the prosperity index.</w:t>
      </w:r>
    </w:p>
    <w:p w:rsidR="008124F0" w:rsidRPr="008124F0" w:rsidRDefault="008124F0" w:rsidP="008124F0">
      <w:pPr>
        <w:spacing w:after="0" w:line="240" w:lineRule="auto"/>
        <w:ind w:firstLine="709"/>
        <w:contextualSpacing/>
        <w:jc w:val="both"/>
        <w:rPr>
          <w:rFonts w:ascii="Times New Roman" w:hAnsi="Times New Roman" w:cs="Times New Roman"/>
          <w:i/>
          <w:color w:val="000000" w:themeColor="text1"/>
          <w:sz w:val="24"/>
          <w:szCs w:val="24"/>
          <w:lang w:val="en-US"/>
        </w:rPr>
      </w:pPr>
      <w:r w:rsidRPr="008124F0">
        <w:rPr>
          <w:rFonts w:ascii="Times New Roman" w:hAnsi="Times New Roman" w:cs="Times New Roman"/>
          <w:i/>
          <w:color w:val="000000" w:themeColor="text1"/>
          <w:sz w:val="24"/>
          <w:szCs w:val="24"/>
          <w:lang w:val="en-US"/>
        </w:rPr>
        <w:t>Keywords: innovative development, research activity, GDP, global innovation index, prosperity index.</w:t>
      </w:r>
    </w:p>
    <w:p w:rsidR="008124F0" w:rsidRPr="008124F0" w:rsidRDefault="008124F0" w:rsidP="008124F0">
      <w:pPr>
        <w:spacing w:after="0" w:line="240" w:lineRule="auto"/>
        <w:ind w:firstLine="709"/>
        <w:contextualSpacing/>
        <w:jc w:val="center"/>
        <w:rPr>
          <w:rFonts w:ascii="Times New Roman" w:hAnsi="Times New Roman" w:cs="Times New Roman"/>
          <w:color w:val="000000" w:themeColor="text1"/>
          <w:sz w:val="24"/>
          <w:szCs w:val="24"/>
          <w:lang w:val="en-US"/>
        </w:rPr>
      </w:pP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b/>
          <w:color w:val="000000" w:themeColor="text1"/>
          <w:sz w:val="28"/>
          <w:szCs w:val="28"/>
        </w:rPr>
        <w:t>Постановка проблемы.</w:t>
      </w:r>
      <w:r w:rsidRPr="008124F0">
        <w:rPr>
          <w:rFonts w:ascii="Times New Roman" w:hAnsi="Times New Roman" w:cs="Times New Roman"/>
          <w:color w:val="000000" w:themeColor="text1"/>
          <w:sz w:val="28"/>
          <w:szCs w:val="28"/>
        </w:rPr>
        <w:t xml:space="preserve"> В настоящее время прогресс общества связан с развитием экономики. Развитая и мощная экономика является несомненным базисом для приобретения мирового господства на мировой арене. Одним из перспективных направлений, позволяющих достичь этого, является инновационное развитие экономики. При верно выбранной стратегии инновационного развития, показатели экономики страны будут иметь тенденцию к росту, что будет проявляться не только в экономической сфере, но и в социальной. Кроме того, это будет способствовать укреплению позиций национальной экономики, повышению ее конкурентоспособности, а также росту научного потенциала страны. Поэтому вопрос, связанный с прогрессом экономики, путем постоянного инновационного развития, является актуальным на сегодняшний день. </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b/>
          <w:color w:val="000000" w:themeColor="text1"/>
          <w:sz w:val="28"/>
          <w:szCs w:val="28"/>
        </w:rPr>
        <w:t>Анализ предыдущих исследований и публикаций.</w:t>
      </w:r>
      <w:r w:rsidRPr="008124F0">
        <w:rPr>
          <w:rFonts w:ascii="Times New Roman" w:hAnsi="Times New Roman" w:cs="Times New Roman"/>
          <w:color w:val="000000" w:themeColor="text1"/>
          <w:sz w:val="28"/>
          <w:szCs w:val="28"/>
        </w:rPr>
        <w:t xml:space="preserve"> Изучением данной проблемы занимались многие ученые, результаты исследований которых отображены в достаточном количестве статей, монографий и др. источниках. Данный вопрос глубоко рассмотрен в работах таких ученых как: Челнокова О.Ю., Измайлов А.М., Ашмарина А.С., Филатова А.В., Гороховицкая Т.В., Назарова О.К., Асмолова М.С, Дедов С.В. и др. В работах этих авторов рассмотрены проблемы связанные с необходимостью развития </w:t>
      </w:r>
      <w:r w:rsidRPr="008124F0">
        <w:rPr>
          <w:rFonts w:ascii="Times New Roman" w:hAnsi="Times New Roman" w:cs="Times New Roman"/>
          <w:color w:val="000000" w:themeColor="text1"/>
          <w:sz w:val="28"/>
          <w:szCs w:val="28"/>
        </w:rPr>
        <w:lastRenderedPageBreak/>
        <w:t>технической и технологической базы, как основы экономического роста. Однако не была рассмотрена зависимость ВВП и уровня процветания от затрат на инновационную деятельность.</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b/>
          <w:color w:val="000000" w:themeColor="text1"/>
          <w:sz w:val="28"/>
          <w:szCs w:val="28"/>
        </w:rPr>
        <w:t>Цель статьи</w:t>
      </w:r>
      <w:r w:rsidRPr="008124F0">
        <w:rPr>
          <w:rFonts w:ascii="Times New Roman" w:hAnsi="Times New Roman" w:cs="Times New Roman"/>
          <w:color w:val="000000" w:themeColor="text1"/>
          <w:sz w:val="28"/>
          <w:szCs w:val="28"/>
        </w:rPr>
        <w:t>. Целью является</w:t>
      </w:r>
      <w:r w:rsidRPr="008124F0">
        <w:rPr>
          <w:rFonts w:ascii="Times New Roman" w:hAnsi="Times New Roman" w:cs="Times New Roman"/>
          <w:b/>
          <w:color w:val="000000" w:themeColor="text1"/>
          <w:sz w:val="28"/>
          <w:szCs w:val="28"/>
        </w:rPr>
        <w:t xml:space="preserve"> </w:t>
      </w:r>
      <w:r w:rsidRPr="008124F0">
        <w:rPr>
          <w:rFonts w:ascii="Times New Roman" w:hAnsi="Times New Roman" w:cs="Times New Roman"/>
          <w:color w:val="000000" w:themeColor="text1"/>
          <w:sz w:val="28"/>
          <w:szCs w:val="28"/>
        </w:rPr>
        <w:t xml:space="preserve">определение степени влияния инновационного развития в современной экономике. </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b/>
          <w:color w:val="000000" w:themeColor="text1"/>
          <w:sz w:val="28"/>
          <w:szCs w:val="28"/>
        </w:rPr>
        <w:t>Основные результаты исследования.</w:t>
      </w:r>
      <w:r w:rsidRPr="008124F0">
        <w:rPr>
          <w:rFonts w:ascii="Times New Roman" w:hAnsi="Times New Roman" w:cs="Times New Roman"/>
          <w:color w:val="000000" w:themeColor="text1"/>
          <w:sz w:val="28"/>
          <w:szCs w:val="28"/>
        </w:rPr>
        <w:t xml:space="preserve"> Современная экономика и общество на сегодняшний день активно меняется в результате спектра применения информации. Особенно ярко данное проявляется в сфере создания новых знаний, принципиально нового продукта или улучшения уже имеющегося. Тенденция такого развития проявляется как на микро- так и на макроуровне, что в свою очередь отражается на всей мировой экономике в целом. Поэтому большинство стран мира стремятся применять политику инновационного развития. Успешность ее осуществления зависит от многих факторов: имеющиеся финансовые ресурсы, развитость научно-исследовательской сферы, человеческий капитал и его квалифицированность, и др. Однако, ее успешное применение окажет значительное влияние на развитие всего общества в целом.</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Стоит отметить, что политика инновационного развития является базисом для прогресса современной экономики. Развитие новых технологий, способствует повышению уровня конкурентоспособности отечественных производителей, что в свою очередь отражается на укреплении позиций национальной экономики и росте ВВП (рис. 1).</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xml:space="preserve">Анализ динамики ВВП и затрат на НИОКР, показал определенную зависимость между этими показателями, то есть при увеличении уровня финансовых вложений в инновационную деятельность, размер валового внутреннего продукта имеет тенденцию к росту. Так затраты на НИОКР в США имеют стабильную структуру и не значительный рост с каждым годом на 0,01%, что находит свое отражение в повышении значения показателя ВВП страны в среднем на 4% в год. В Китае процент затрат на НИОКР в среднем составляет 0,6%, так в 2019 г. он вырос на 2,26% относительно 2014 г. Вместе с тем, наблюдается укрепление национальной экономики – рост показателей ВВП в среднем на 7% в год. Япония, в свою очередь, является лидером по затратам на инновационную деятельность, в среднем 3,3%, что отражается в увеличении показателя ВВП в 2019 г. на 6,72% относительно 2014 г. </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p>
    <w:p w:rsidR="008124F0" w:rsidRPr="008124F0" w:rsidRDefault="008124F0" w:rsidP="008124F0">
      <w:pPr>
        <w:spacing w:after="0" w:line="240" w:lineRule="auto"/>
        <w:contextualSpacing/>
        <w:jc w:val="both"/>
        <w:rPr>
          <w:rFonts w:ascii="Times New Roman" w:hAnsi="Times New Roman" w:cs="Times New Roman"/>
          <w:color w:val="000000" w:themeColor="text1"/>
          <w:sz w:val="28"/>
          <w:szCs w:val="28"/>
        </w:rPr>
      </w:pPr>
      <w:r w:rsidRPr="008124F0">
        <w:rPr>
          <w:rFonts w:ascii="Times New Roman" w:hAnsi="Times New Roman" w:cs="Times New Roman"/>
          <w:noProof/>
          <w:color w:val="000000" w:themeColor="text1"/>
          <w:lang w:eastAsia="ru-RU"/>
        </w:rPr>
        <w:lastRenderedPageBreak/>
        <w:drawing>
          <wp:inline distT="0" distB="0" distL="0" distR="0" wp14:anchorId="34E51375" wp14:editId="53283B8E">
            <wp:extent cx="6115050" cy="38576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24F0" w:rsidRPr="008124F0" w:rsidRDefault="008124F0" w:rsidP="008124F0">
      <w:pPr>
        <w:spacing w:after="0" w:line="240" w:lineRule="auto"/>
        <w:contextualSpacing/>
        <w:jc w:val="center"/>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xml:space="preserve">Рис.1. Динамика ВВП США, Китая, Японии, РФ и затраты на НИОКР США, Китая, Японии, РФ, 2014-2019 гг., млрд. долл. США, </w:t>
      </w:r>
    </w:p>
    <w:p w:rsidR="008124F0" w:rsidRPr="008124F0" w:rsidRDefault="008124F0" w:rsidP="008124F0">
      <w:pPr>
        <w:spacing w:after="0" w:line="240" w:lineRule="auto"/>
        <w:ind w:firstLine="709"/>
        <w:contextualSpacing/>
        <w:jc w:val="center"/>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ВВП [2,3]</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xml:space="preserve">Стоит отметить, что показатели затрат на НИОКР в РФ имеют достаточно низкие значения относительно мирового опыта, так в среднем выделяется 1,13%, что отражается в слабом росте ВВП страны. </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Таким образом, мировой опыт показывает необходимость активного инновационного развития для укрепления позиций национальной экономики и потенциала страны в целом.</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Стоит отметить, что инновационное развитие оказывает значительное влияние и на факторы онтогенеза общества, что отражается в высоких показателях индекса процветания (ИП). Этот показатель измеряет достижение стран мира с точки зрения их благополучия, кроме того он является комбинированным – составляется на основе множества различных факторов, объединенных в девяти категориях, способных отражать различные аспекты жизни общества и параметры его благосостояния:</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экономика</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предпринимательство</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управление</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образование</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здравоохранение</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личные свободы</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безопасность</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социальный капитал</w:t>
      </w:r>
      <w:r w:rsidRPr="008124F0">
        <w:rPr>
          <w:rFonts w:ascii="Times New Roman" w:hAnsi="Times New Roman" w:cs="Times New Roman"/>
          <w:color w:val="000000" w:themeColor="text1"/>
          <w:sz w:val="28"/>
          <w:szCs w:val="28"/>
          <w:lang w:val="en-US"/>
        </w:rPr>
        <w:t>;</w:t>
      </w:r>
    </w:p>
    <w:p w:rsidR="008124F0" w:rsidRPr="008124F0" w:rsidRDefault="008124F0" w:rsidP="008124F0">
      <w:pPr>
        <w:numPr>
          <w:ilvl w:val="0"/>
          <w:numId w:val="2"/>
        </w:num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lastRenderedPageBreak/>
        <w:t xml:space="preserve">экология </w:t>
      </w:r>
      <w:r w:rsidRPr="008124F0">
        <w:rPr>
          <w:rFonts w:ascii="Times New Roman" w:hAnsi="Times New Roman" w:cs="Times New Roman"/>
          <w:color w:val="000000" w:themeColor="text1"/>
          <w:sz w:val="28"/>
          <w:szCs w:val="28"/>
          <w:lang w:val="en-US"/>
        </w:rPr>
        <w:t>[1]</w:t>
      </w:r>
      <w:r w:rsidRPr="008124F0">
        <w:rPr>
          <w:rFonts w:ascii="Times New Roman" w:hAnsi="Times New Roman" w:cs="Times New Roman"/>
          <w:color w:val="000000" w:themeColor="text1"/>
          <w:sz w:val="28"/>
          <w:szCs w:val="28"/>
        </w:rPr>
        <w:t>.</w:t>
      </w:r>
    </w:p>
    <w:p w:rsidR="008124F0" w:rsidRPr="008124F0" w:rsidRDefault="008124F0" w:rsidP="008124F0">
      <w:pPr>
        <w:spacing w:after="0" w:line="240" w:lineRule="auto"/>
        <w:ind w:firstLine="709"/>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В свою очередь, технологический прогресс страны наглядно продемонстрирует глобальный индекс инноваций (ГИИ), который представляет собой рейтинг стран мира по показателю уровня развития инноваций. Кроме того, этот индекс так же является комбинированным и составлен из 82 различных переменных, которые объединены в две группы:</w:t>
      </w:r>
    </w:p>
    <w:p w:rsidR="008124F0" w:rsidRPr="008124F0" w:rsidRDefault="008124F0" w:rsidP="008124F0">
      <w:pPr>
        <w:numPr>
          <w:ilvl w:val="0"/>
          <w:numId w:val="2"/>
        </w:num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располагаемые ресурсы и условия проведения инноваций. В состав этой группы входят переменные, связанные с наличием инновационного потенциала, например, институты, исследования, человеческий капитал и др.;</w:t>
      </w:r>
    </w:p>
    <w:p w:rsidR="008124F0" w:rsidRPr="008124F0" w:rsidRDefault="008124F0" w:rsidP="008124F0">
      <w:pPr>
        <w:numPr>
          <w:ilvl w:val="0"/>
          <w:numId w:val="2"/>
        </w:num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достигнутые практические результаты осуществления инноваций</w:t>
      </w:r>
      <w:r w:rsidRPr="008124F0">
        <w:rPr>
          <w:rFonts w:ascii="Times New Roman" w:hAnsi="Times New Roman" w:cs="Times New Roman"/>
          <w:color w:val="000000" w:themeColor="text1"/>
          <w:sz w:val="28"/>
          <w:szCs w:val="28"/>
          <w:lang w:val="en-US"/>
        </w:rPr>
        <w:t> </w:t>
      </w:r>
      <w:r w:rsidRPr="008124F0">
        <w:rPr>
          <w:rFonts w:ascii="Times New Roman" w:hAnsi="Times New Roman" w:cs="Times New Roman"/>
          <w:color w:val="000000" w:themeColor="text1"/>
          <w:sz w:val="28"/>
          <w:szCs w:val="28"/>
        </w:rPr>
        <w:t>[1].</w:t>
      </w:r>
    </w:p>
    <w:p w:rsidR="008124F0" w:rsidRPr="008124F0" w:rsidRDefault="008124F0" w:rsidP="008124F0">
      <w:pPr>
        <w:spacing w:after="0" w:line="240" w:lineRule="auto"/>
        <w:ind w:firstLine="709"/>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xml:space="preserve">Синергия описанных выше показателей положительно сказывается как на росте экономики, так и на положительном социальном эффекте. Такую взаимосвязь демонстрируют страны, активно использующие подобную политику развития экономики в табл. 1. </w:t>
      </w:r>
    </w:p>
    <w:p w:rsidR="008124F0" w:rsidRPr="008124F0" w:rsidRDefault="008124F0" w:rsidP="008124F0">
      <w:pPr>
        <w:spacing w:after="0" w:line="240" w:lineRule="auto"/>
        <w:ind w:firstLine="709"/>
        <w:jc w:val="both"/>
        <w:rPr>
          <w:rFonts w:ascii="Times New Roman" w:hAnsi="Times New Roman" w:cs="Times New Roman"/>
          <w:color w:val="000000" w:themeColor="text1"/>
          <w:sz w:val="28"/>
          <w:szCs w:val="28"/>
        </w:rPr>
      </w:pPr>
    </w:p>
    <w:p w:rsidR="008124F0" w:rsidRPr="008124F0" w:rsidRDefault="008124F0" w:rsidP="008124F0">
      <w:pPr>
        <w:spacing w:after="0" w:line="240" w:lineRule="auto"/>
        <w:jc w:val="right"/>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Таблица 1</w:t>
      </w:r>
    </w:p>
    <w:p w:rsidR="008124F0" w:rsidRPr="008124F0" w:rsidRDefault="008124F0" w:rsidP="008124F0">
      <w:pPr>
        <w:spacing w:after="0" w:line="240" w:lineRule="auto"/>
        <w:contextualSpacing/>
        <w:jc w:val="center"/>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Динамика глобального индекса инноваций Китая, США, Японии, РФ и индекса процветания Китая, США, Японии, РФ, 2014-2019гг. [2,3]</w:t>
      </w:r>
    </w:p>
    <w:tbl>
      <w:tblPr>
        <w:tblW w:w="9519" w:type="dxa"/>
        <w:jc w:val="center"/>
        <w:tblLook w:val="04A0" w:firstRow="1" w:lastRow="0" w:firstColumn="1" w:lastColumn="0" w:noHBand="0" w:noVBand="1"/>
      </w:tblPr>
      <w:tblGrid>
        <w:gridCol w:w="1105"/>
        <w:gridCol w:w="701"/>
        <w:gridCol w:w="699"/>
        <w:gridCol w:w="701"/>
        <w:gridCol w:w="688"/>
        <w:gridCol w:w="701"/>
        <w:gridCol w:w="688"/>
        <w:gridCol w:w="701"/>
        <w:gridCol w:w="688"/>
        <w:gridCol w:w="701"/>
        <w:gridCol w:w="688"/>
        <w:gridCol w:w="701"/>
        <w:gridCol w:w="809"/>
      </w:tblGrid>
      <w:tr w:rsidR="008124F0" w:rsidRPr="008124F0" w:rsidTr="00B36FDB">
        <w:trPr>
          <w:trHeight w:val="339"/>
          <w:jc w:val="center"/>
        </w:trPr>
        <w:tc>
          <w:tcPr>
            <w:tcW w:w="11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Страна</w:t>
            </w:r>
          </w:p>
        </w:tc>
        <w:tc>
          <w:tcPr>
            <w:tcW w:w="14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2014 г.</w:t>
            </w:r>
          </w:p>
        </w:tc>
        <w:tc>
          <w:tcPr>
            <w:tcW w:w="13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2015 г.</w:t>
            </w:r>
          </w:p>
        </w:tc>
        <w:tc>
          <w:tcPr>
            <w:tcW w:w="13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2016 г.</w:t>
            </w:r>
          </w:p>
        </w:tc>
        <w:tc>
          <w:tcPr>
            <w:tcW w:w="13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2017 г.</w:t>
            </w:r>
          </w:p>
        </w:tc>
        <w:tc>
          <w:tcPr>
            <w:tcW w:w="13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2018 г.</w:t>
            </w:r>
          </w:p>
        </w:tc>
        <w:tc>
          <w:tcPr>
            <w:tcW w:w="1499" w:type="dxa"/>
            <w:gridSpan w:val="2"/>
            <w:tcBorders>
              <w:top w:val="single" w:sz="4" w:space="0" w:color="auto"/>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2019 г.</w:t>
            </w:r>
          </w:p>
        </w:tc>
      </w:tr>
      <w:tr w:rsidR="008124F0" w:rsidRPr="008124F0" w:rsidTr="00B36FDB">
        <w:trPr>
          <w:trHeight w:val="417"/>
          <w:jc w:val="center"/>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8124F0" w:rsidRPr="008124F0" w:rsidRDefault="008124F0" w:rsidP="008124F0">
            <w:pPr>
              <w:spacing w:after="0" w:line="240" w:lineRule="auto"/>
              <w:rPr>
                <w:rFonts w:ascii="Times New Roman" w:eastAsia="Times New Roman" w:hAnsi="Times New Roman" w:cs="Times New Roman"/>
                <w:color w:val="000000" w:themeColor="text1"/>
                <w:sz w:val="24"/>
                <w:szCs w:val="24"/>
                <w:lang w:eastAsia="ru-RU"/>
              </w:rPr>
            </w:pP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ГИИ</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ИП</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ГИИ</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ИП</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ГИИ</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ИП</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ГИИ</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ИП</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ГИИ</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ИП</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ГИИ</w:t>
            </w:r>
          </w:p>
        </w:tc>
        <w:tc>
          <w:tcPr>
            <w:tcW w:w="81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ИП</w:t>
            </w:r>
          </w:p>
        </w:tc>
      </w:tr>
      <w:tr w:rsidR="008124F0" w:rsidRPr="008124F0" w:rsidTr="00B36FDB">
        <w:trPr>
          <w:trHeight w:val="422"/>
          <w:jc w:val="center"/>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Китай</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46,57</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58,25</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47,50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58,82</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50,57</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59,15</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52,54</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59,36</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53,10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60,05</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54,80</w:t>
            </w:r>
          </w:p>
        </w:tc>
        <w:tc>
          <w:tcPr>
            <w:tcW w:w="81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60,76</w:t>
            </w:r>
          </w:p>
        </w:tc>
      </w:tr>
      <w:tr w:rsidR="008124F0" w:rsidRPr="008124F0" w:rsidTr="00B36FDB">
        <w:trPr>
          <w:trHeight w:val="414"/>
          <w:jc w:val="center"/>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Япония</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52,41</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75,83</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54,00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76,45</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54,52</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76,46</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54,72</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76,71</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55,00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77,31</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54,70</w:t>
            </w:r>
          </w:p>
        </w:tc>
        <w:tc>
          <w:tcPr>
            <w:tcW w:w="81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77,06</w:t>
            </w:r>
          </w:p>
        </w:tc>
      </w:tr>
      <w:tr w:rsidR="008124F0" w:rsidRPr="008124F0" w:rsidTr="00B36FDB">
        <w:trPr>
          <w:trHeight w:val="405"/>
          <w:jc w:val="center"/>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США</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60,09</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77,35</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60,10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77,56</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61,40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77,60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61,40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77,41</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59,80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77,66</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61,70</w:t>
            </w:r>
          </w:p>
        </w:tc>
        <w:tc>
          <w:tcPr>
            <w:tcW w:w="81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77,75</w:t>
            </w:r>
          </w:p>
        </w:tc>
      </w:tr>
      <w:tr w:rsidR="008124F0" w:rsidRPr="008124F0" w:rsidTr="00B36FDB">
        <w:trPr>
          <w:trHeight w:val="425"/>
          <w:jc w:val="center"/>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4"/>
                <w:szCs w:val="24"/>
                <w:lang w:eastAsia="ru-RU"/>
              </w:rPr>
            </w:pPr>
            <w:r w:rsidRPr="008124F0">
              <w:rPr>
                <w:rFonts w:ascii="Times New Roman" w:eastAsia="Times New Roman" w:hAnsi="Times New Roman" w:cs="Times New Roman"/>
                <w:color w:val="000000" w:themeColor="text1"/>
                <w:sz w:val="24"/>
                <w:szCs w:val="24"/>
                <w:lang w:eastAsia="ru-RU"/>
              </w:rPr>
              <w:t>РФ</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39,14</w:t>
            </w:r>
          </w:p>
        </w:tc>
        <w:tc>
          <w:tcPr>
            <w:tcW w:w="70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55,81</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39,30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56,83</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38,50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56,97</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38,76</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56,72</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37,90</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57,89</w:t>
            </w:r>
          </w:p>
        </w:tc>
        <w:tc>
          <w:tcPr>
            <w:tcW w:w="689"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37,60</w:t>
            </w:r>
          </w:p>
        </w:tc>
        <w:tc>
          <w:tcPr>
            <w:tcW w:w="810" w:type="dxa"/>
            <w:tcBorders>
              <w:top w:val="nil"/>
              <w:left w:val="nil"/>
              <w:bottom w:val="single" w:sz="4" w:space="0" w:color="auto"/>
              <w:right w:val="single" w:sz="4" w:space="0" w:color="auto"/>
            </w:tcBorders>
            <w:shd w:val="clear" w:color="auto" w:fill="auto"/>
            <w:noWrap/>
            <w:vAlign w:val="center"/>
            <w:hideMark/>
          </w:tcPr>
          <w:p w:rsidR="008124F0" w:rsidRPr="008124F0" w:rsidRDefault="008124F0" w:rsidP="008124F0">
            <w:pPr>
              <w:spacing w:after="0" w:line="240" w:lineRule="auto"/>
              <w:jc w:val="center"/>
              <w:rPr>
                <w:rFonts w:ascii="Times New Roman" w:eastAsia="Times New Roman" w:hAnsi="Times New Roman" w:cs="Times New Roman"/>
                <w:color w:val="000000" w:themeColor="text1"/>
                <w:sz w:val="21"/>
                <w:szCs w:val="21"/>
                <w:lang w:eastAsia="ru-RU"/>
              </w:rPr>
            </w:pPr>
            <w:r w:rsidRPr="008124F0">
              <w:rPr>
                <w:rFonts w:ascii="Times New Roman" w:eastAsia="Times New Roman" w:hAnsi="Times New Roman" w:cs="Times New Roman"/>
                <w:color w:val="000000" w:themeColor="text1"/>
                <w:sz w:val="21"/>
                <w:szCs w:val="21"/>
                <w:lang w:eastAsia="ru-RU"/>
              </w:rPr>
              <w:t>57,72</w:t>
            </w:r>
          </w:p>
        </w:tc>
      </w:tr>
    </w:tbl>
    <w:p w:rsidR="008124F0" w:rsidRPr="008124F0" w:rsidRDefault="008124F0" w:rsidP="008124F0">
      <w:pPr>
        <w:spacing w:after="0" w:line="240" w:lineRule="auto"/>
        <w:contextualSpacing/>
        <w:jc w:val="both"/>
        <w:rPr>
          <w:rFonts w:ascii="Times New Roman" w:hAnsi="Times New Roman" w:cs="Times New Roman"/>
          <w:color w:val="000000" w:themeColor="text1"/>
          <w:sz w:val="28"/>
          <w:szCs w:val="28"/>
        </w:rPr>
      </w:pP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Таким образом, показатели Китая демонстрируют взаимозависимость. В анализируемом периоде 2014-2019 гг., при увеличении значения глобального индекса инноваций (в среднем на 1,65 в год), так же увеличивается и индекс процветания (в среднем на 0,50 в год). Данное подтверждает, что в изучаемой стране определенная часть благосостояния общества зависит от уровня инновационного развития экономики.</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xml:space="preserve">Подобною взаимосвязь демонстрируют показатели Японии, анализ которых показал, что с ростом значения глобального индекса инноваций (в среднем на 0,46 в год), растет и значение индекса процветания (в среднем на 0,25 в год). Однако, в отличии от Китая, Япония имеет период спада обоих индексов в 2019 г. </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xml:space="preserve">В свою очередь, США демонстрирует более высокие показатели индексов, однако их динамика намного ниже, чем у Китая и Японии. Так, динамика глобального индекса инноваций составляет в среднем 0,32 в год, а индекса процветания в среднем 0,08 в год. США так же демонстрирует </w:t>
      </w:r>
      <w:r w:rsidRPr="008124F0">
        <w:rPr>
          <w:rFonts w:ascii="Times New Roman" w:hAnsi="Times New Roman" w:cs="Times New Roman"/>
          <w:color w:val="000000" w:themeColor="text1"/>
          <w:sz w:val="28"/>
          <w:szCs w:val="28"/>
        </w:rPr>
        <w:lastRenderedPageBreak/>
        <w:t xml:space="preserve">зависимость показателей – параллельный рост индексов в 2014-2017 гг., а так же в 2019г. В период 2017-2018 гг. заметно снижение глобального индекса инноваций, что так же отражается на индексе процветания – спад в среднем на 0,8. </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РФ демонстрирует иное положение данных. Значения глобального индекса инноваций имеют периоды спада и роста (в среднем на 0,31 в год), вместе с тем, индекс процветания имеет тенденцию к росту (в среднем на 0,38 в год). Данное объясняется тем, что в состав ИП входит достаточное множество факторов, которые способны влиять на рост показателя, например, здравоохранение, безопасность и др.</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color w:val="000000" w:themeColor="text1"/>
          <w:sz w:val="28"/>
          <w:szCs w:val="28"/>
        </w:rPr>
        <w:t xml:space="preserve">Исходя из вышесказанного, можно сделать вывод о зависимости этих двух показателей. Анализ наглядно показал, что для роста индекса процветания, необходим рост глобального индекса инноваций, который в свою очередь зависит от уровня затрат на НИОКР. </w:t>
      </w:r>
    </w:p>
    <w:p w:rsidR="008124F0" w:rsidRPr="008124F0" w:rsidRDefault="008124F0" w:rsidP="008124F0">
      <w:pPr>
        <w:spacing w:after="0" w:line="240" w:lineRule="auto"/>
        <w:ind w:firstLine="709"/>
        <w:contextualSpacing/>
        <w:jc w:val="both"/>
        <w:rPr>
          <w:rFonts w:ascii="Times New Roman" w:hAnsi="Times New Roman" w:cs="Times New Roman"/>
          <w:color w:val="000000" w:themeColor="text1"/>
          <w:sz w:val="28"/>
          <w:szCs w:val="28"/>
        </w:rPr>
      </w:pPr>
      <w:r w:rsidRPr="008124F0">
        <w:rPr>
          <w:rFonts w:ascii="Times New Roman" w:hAnsi="Times New Roman" w:cs="Times New Roman"/>
          <w:b/>
          <w:color w:val="000000" w:themeColor="text1"/>
          <w:sz w:val="28"/>
          <w:szCs w:val="28"/>
        </w:rPr>
        <w:t>Выводы.</w:t>
      </w:r>
      <w:r w:rsidRPr="008124F0">
        <w:rPr>
          <w:rFonts w:ascii="Times New Roman" w:hAnsi="Times New Roman" w:cs="Times New Roman"/>
          <w:color w:val="000000" w:themeColor="text1"/>
          <w:sz w:val="28"/>
          <w:szCs w:val="28"/>
        </w:rPr>
        <w:t xml:space="preserve"> Таким образом, на сегодняшний день сильнейшей и прогрессивной экономикой будет являться та, которая основывается на инновационном развитии. Кроме того, такая стратегия прогресса будет способствовать росту интеллектуального потенциала страны, повышению уровня образованности населения, а так же переходу на новый технологический уклад, что в свою очередь отразится на развитии всего человечества в  целом.</w:t>
      </w:r>
    </w:p>
    <w:tbl>
      <w:tblPr>
        <w:tblW w:w="4918" w:type="pct"/>
        <w:jc w:val="center"/>
        <w:tblLook w:val="04A0" w:firstRow="1" w:lastRow="0" w:firstColumn="1" w:lastColumn="0" w:noHBand="0" w:noVBand="1"/>
      </w:tblPr>
      <w:tblGrid>
        <w:gridCol w:w="552"/>
        <w:gridCol w:w="8862"/>
      </w:tblGrid>
      <w:tr w:rsidR="008124F0" w:rsidRPr="008124F0" w:rsidTr="00B36FDB">
        <w:trPr>
          <w:jc w:val="center"/>
        </w:trPr>
        <w:tc>
          <w:tcPr>
            <w:tcW w:w="5000" w:type="pct"/>
            <w:gridSpan w:val="2"/>
          </w:tcPr>
          <w:p w:rsidR="008124F0" w:rsidRPr="008124F0" w:rsidRDefault="008124F0" w:rsidP="008124F0">
            <w:pPr>
              <w:spacing w:after="0" w:line="240" w:lineRule="auto"/>
              <w:contextualSpacing/>
              <w:rPr>
                <w:rFonts w:ascii="Times New Roman" w:eastAsia="Times New Roman" w:hAnsi="Times New Roman" w:cs="Times New Roman"/>
                <w:color w:val="000000" w:themeColor="text1"/>
                <w:sz w:val="28"/>
              </w:rPr>
            </w:pPr>
          </w:p>
        </w:tc>
      </w:tr>
      <w:tr w:rsidR="008124F0" w:rsidRPr="008124F0" w:rsidTr="00B36FDB">
        <w:trPr>
          <w:jc w:val="center"/>
        </w:trPr>
        <w:tc>
          <w:tcPr>
            <w:tcW w:w="5000" w:type="pct"/>
            <w:gridSpan w:val="2"/>
            <w:hideMark/>
          </w:tcPr>
          <w:p w:rsidR="008124F0" w:rsidRPr="008124F0" w:rsidRDefault="008124F0" w:rsidP="008124F0">
            <w:pPr>
              <w:spacing w:after="0" w:line="240" w:lineRule="auto"/>
              <w:jc w:val="center"/>
              <w:rPr>
                <w:rFonts w:ascii="Times New Roman" w:eastAsia="Times New Roman" w:hAnsi="Times New Roman" w:cs="Times New Roman"/>
                <w:b/>
                <w:color w:val="000000" w:themeColor="text1"/>
                <w:sz w:val="28"/>
              </w:rPr>
            </w:pPr>
            <w:r w:rsidRPr="008124F0">
              <w:rPr>
                <w:rFonts w:ascii="Times New Roman" w:eastAsia="Times New Roman" w:hAnsi="Times New Roman" w:cs="Times New Roman"/>
                <w:b/>
                <w:color w:val="000000" w:themeColor="text1"/>
                <w:sz w:val="28"/>
              </w:rPr>
              <w:t>Список литературы</w:t>
            </w:r>
          </w:p>
        </w:tc>
      </w:tr>
      <w:tr w:rsidR="008124F0" w:rsidRPr="008124F0" w:rsidTr="00B36FDB">
        <w:trPr>
          <w:jc w:val="center"/>
        </w:trPr>
        <w:tc>
          <w:tcPr>
            <w:tcW w:w="293" w:type="pct"/>
          </w:tcPr>
          <w:p w:rsidR="008124F0" w:rsidRPr="008124F0" w:rsidRDefault="008124F0" w:rsidP="008124F0">
            <w:pPr>
              <w:widowControl w:val="0"/>
              <w:numPr>
                <w:ilvl w:val="0"/>
                <w:numId w:val="1"/>
              </w:numPr>
              <w:spacing w:after="0" w:line="240" w:lineRule="auto"/>
              <w:contextualSpacing/>
              <w:jc w:val="both"/>
              <w:rPr>
                <w:rFonts w:ascii="Times New Roman" w:eastAsia="Times New Roman" w:hAnsi="Times New Roman" w:cs="Times New Roman"/>
                <w:color w:val="000000" w:themeColor="text1"/>
                <w:sz w:val="24"/>
                <w:szCs w:val="24"/>
              </w:rPr>
            </w:pPr>
          </w:p>
        </w:tc>
        <w:tc>
          <w:tcPr>
            <w:tcW w:w="4707" w:type="pct"/>
          </w:tcPr>
          <w:p w:rsidR="008124F0" w:rsidRPr="008124F0" w:rsidRDefault="008124F0" w:rsidP="008124F0">
            <w:pPr>
              <w:spacing w:after="0" w:line="240" w:lineRule="auto"/>
              <w:contextualSpacing/>
              <w:jc w:val="both"/>
              <w:rPr>
                <w:rFonts w:ascii="Times New Roman" w:hAnsi="Times New Roman" w:cs="Times New Roman"/>
                <w:color w:val="000000" w:themeColor="text1"/>
                <w:sz w:val="24"/>
                <w:szCs w:val="24"/>
              </w:rPr>
            </w:pPr>
            <w:r w:rsidRPr="008124F0">
              <w:rPr>
                <w:rFonts w:ascii="Times New Roman" w:hAnsi="Times New Roman" w:cs="Times New Roman"/>
                <w:color w:val="000000" w:themeColor="text1"/>
                <w:sz w:val="24"/>
                <w:szCs w:val="24"/>
              </w:rPr>
              <w:t xml:space="preserve">Гуманитарный портал [Электронный ресурс] – Режим доступа: </w:t>
            </w:r>
            <w:hyperlink r:id="rId7" w:history="1">
              <w:r w:rsidRPr="008124F0">
                <w:rPr>
                  <w:rFonts w:ascii="Times New Roman" w:hAnsi="Times New Roman" w:cs="Times New Roman"/>
                  <w:color w:val="000000" w:themeColor="text1"/>
                  <w:sz w:val="24"/>
                  <w:szCs w:val="24"/>
                </w:rPr>
                <w:t>https://gtmarket.ru/ratings/legatum-prosperity-index/info</w:t>
              </w:r>
            </w:hyperlink>
          </w:p>
        </w:tc>
      </w:tr>
      <w:tr w:rsidR="008124F0" w:rsidRPr="008124F0" w:rsidTr="00B36FDB">
        <w:trPr>
          <w:jc w:val="center"/>
        </w:trPr>
        <w:tc>
          <w:tcPr>
            <w:tcW w:w="293" w:type="pct"/>
          </w:tcPr>
          <w:p w:rsidR="008124F0" w:rsidRPr="008124F0" w:rsidRDefault="008124F0" w:rsidP="008124F0">
            <w:pPr>
              <w:widowControl w:val="0"/>
              <w:numPr>
                <w:ilvl w:val="0"/>
                <w:numId w:val="1"/>
              </w:numPr>
              <w:spacing w:after="0" w:line="240" w:lineRule="auto"/>
              <w:contextualSpacing/>
              <w:jc w:val="both"/>
              <w:rPr>
                <w:rFonts w:ascii="Times New Roman" w:eastAsia="Times New Roman" w:hAnsi="Times New Roman" w:cs="Times New Roman"/>
                <w:color w:val="000000" w:themeColor="text1"/>
                <w:sz w:val="24"/>
                <w:szCs w:val="24"/>
              </w:rPr>
            </w:pPr>
          </w:p>
        </w:tc>
        <w:tc>
          <w:tcPr>
            <w:tcW w:w="4707" w:type="pct"/>
          </w:tcPr>
          <w:p w:rsidR="008124F0" w:rsidRPr="008124F0" w:rsidRDefault="008124F0" w:rsidP="008124F0">
            <w:pPr>
              <w:spacing w:after="0" w:line="240" w:lineRule="auto"/>
              <w:contextualSpacing/>
              <w:jc w:val="both"/>
              <w:rPr>
                <w:rFonts w:ascii="Times New Roman" w:hAnsi="Times New Roman" w:cs="Times New Roman"/>
                <w:color w:val="000000" w:themeColor="text1"/>
                <w:sz w:val="24"/>
                <w:szCs w:val="24"/>
              </w:rPr>
            </w:pPr>
            <w:r w:rsidRPr="008124F0">
              <w:rPr>
                <w:rFonts w:ascii="Times New Roman" w:hAnsi="Times New Roman" w:cs="Times New Roman"/>
                <w:color w:val="000000" w:themeColor="text1"/>
                <w:sz w:val="24"/>
                <w:szCs w:val="24"/>
                <w:shd w:val="clear" w:color="auto" w:fill="FFFFFF"/>
                <w:lang w:val="en-US"/>
              </w:rPr>
              <w:t>World</w:t>
            </w:r>
            <w:r w:rsidRPr="008124F0">
              <w:rPr>
                <w:rFonts w:ascii="Times New Roman" w:hAnsi="Times New Roman" w:cs="Times New Roman"/>
                <w:color w:val="000000" w:themeColor="text1"/>
                <w:sz w:val="24"/>
                <w:szCs w:val="24"/>
                <w:shd w:val="clear" w:color="auto" w:fill="FFFFFF"/>
              </w:rPr>
              <w:t xml:space="preserve"> </w:t>
            </w:r>
            <w:r w:rsidRPr="008124F0">
              <w:rPr>
                <w:rFonts w:ascii="Times New Roman" w:hAnsi="Times New Roman" w:cs="Times New Roman"/>
                <w:color w:val="000000" w:themeColor="text1"/>
                <w:sz w:val="24"/>
                <w:szCs w:val="24"/>
                <w:shd w:val="clear" w:color="auto" w:fill="FFFFFF"/>
                <w:lang w:val="en-US"/>
              </w:rPr>
              <w:t>Development</w:t>
            </w:r>
            <w:r w:rsidRPr="008124F0">
              <w:rPr>
                <w:rFonts w:ascii="Times New Roman" w:hAnsi="Times New Roman" w:cs="Times New Roman"/>
                <w:color w:val="000000" w:themeColor="text1"/>
                <w:sz w:val="24"/>
                <w:szCs w:val="24"/>
                <w:shd w:val="clear" w:color="auto" w:fill="FFFFFF"/>
              </w:rPr>
              <w:t xml:space="preserve"> </w:t>
            </w:r>
            <w:r w:rsidRPr="008124F0">
              <w:rPr>
                <w:rFonts w:ascii="Times New Roman" w:hAnsi="Times New Roman" w:cs="Times New Roman"/>
                <w:color w:val="000000" w:themeColor="text1"/>
                <w:sz w:val="24"/>
                <w:szCs w:val="24"/>
                <w:shd w:val="clear" w:color="auto" w:fill="FFFFFF"/>
                <w:lang w:val="en-US"/>
              </w:rPr>
              <w:t>Indicators</w:t>
            </w:r>
            <w:r w:rsidRPr="008124F0">
              <w:rPr>
                <w:rFonts w:ascii="Times New Roman" w:hAnsi="Times New Roman" w:cs="Times New Roman"/>
                <w:color w:val="000000" w:themeColor="text1"/>
                <w:sz w:val="24"/>
                <w:szCs w:val="24"/>
              </w:rPr>
              <w:t xml:space="preserve"> [Электронный ресурс] – Режим доступа: </w:t>
            </w:r>
            <w:hyperlink r:id="rId8" w:history="1">
              <w:r w:rsidRPr="008124F0">
                <w:rPr>
                  <w:rFonts w:ascii="Times New Roman" w:hAnsi="Times New Roman" w:cs="Times New Roman"/>
                  <w:color w:val="000000" w:themeColor="text1"/>
                  <w:sz w:val="24"/>
                  <w:szCs w:val="24"/>
                </w:rPr>
                <w:t>https://knoema.ru/WBWDI2019Jan/world-development-indicators-wdi</w:t>
              </w:r>
            </w:hyperlink>
          </w:p>
        </w:tc>
      </w:tr>
      <w:tr w:rsidR="008124F0" w:rsidRPr="008124F0" w:rsidTr="00B36FDB">
        <w:trPr>
          <w:jc w:val="center"/>
        </w:trPr>
        <w:tc>
          <w:tcPr>
            <w:tcW w:w="293" w:type="pct"/>
          </w:tcPr>
          <w:p w:rsidR="008124F0" w:rsidRPr="008124F0" w:rsidRDefault="008124F0" w:rsidP="008124F0">
            <w:pPr>
              <w:widowControl w:val="0"/>
              <w:numPr>
                <w:ilvl w:val="0"/>
                <w:numId w:val="1"/>
              </w:numPr>
              <w:spacing w:after="0" w:line="240" w:lineRule="auto"/>
              <w:contextualSpacing/>
              <w:jc w:val="both"/>
              <w:rPr>
                <w:rFonts w:ascii="Times New Roman" w:eastAsia="Times New Roman" w:hAnsi="Times New Roman" w:cs="Times New Roman"/>
                <w:color w:val="000000" w:themeColor="text1"/>
                <w:sz w:val="24"/>
                <w:szCs w:val="24"/>
              </w:rPr>
            </w:pPr>
          </w:p>
        </w:tc>
        <w:tc>
          <w:tcPr>
            <w:tcW w:w="4707" w:type="pct"/>
          </w:tcPr>
          <w:p w:rsidR="008124F0" w:rsidRPr="008124F0" w:rsidRDefault="008124F0" w:rsidP="008124F0">
            <w:pPr>
              <w:spacing w:after="0" w:line="240" w:lineRule="auto"/>
              <w:jc w:val="both"/>
              <w:rPr>
                <w:rFonts w:ascii="Times New Roman" w:eastAsiaTheme="minorEastAsia" w:hAnsi="Times New Roman" w:cs="Times New Roman"/>
                <w:color w:val="000000" w:themeColor="text1"/>
                <w:sz w:val="24"/>
                <w:szCs w:val="24"/>
              </w:rPr>
            </w:pPr>
            <w:r w:rsidRPr="008124F0">
              <w:rPr>
                <w:rFonts w:ascii="Times New Roman" w:hAnsi="Times New Roman" w:cs="Times New Roman"/>
                <w:color w:val="000000" w:themeColor="text1"/>
                <w:sz w:val="24"/>
                <w:szCs w:val="24"/>
                <w:shd w:val="clear" w:color="auto" w:fill="FFFFFF"/>
                <w:lang w:val="en-US"/>
              </w:rPr>
              <w:t>The Global</w:t>
            </w:r>
            <w:r w:rsidRPr="008124F0">
              <w:rPr>
                <w:rFonts w:ascii="Times New Roman" w:hAnsi="Times New Roman" w:cs="Times New Roman"/>
                <w:color w:val="000000" w:themeColor="text1"/>
                <w:sz w:val="24"/>
                <w:szCs w:val="24"/>
                <w:shd w:val="clear" w:color="auto" w:fill="FFFFFF"/>
              </w:rPr>
              <w:t xml:space="preserve"> </w:t>
            </w:r>
            <w:r w:rsidRPr="008124F0">
              <w:rPr>
                <w:rFonts w:ascii="Times New Roman" w:hAnsi="Times New Roman" w:cs="Times New Roman"/>
                <w:color w:val="000000" w:themeColor="text1"/>
                <w:sz w:val="24"/>
                <w:szCs w:val="24"/>
                <w:shd w:val="clear" w:color="auto" w:fill="FFFFFF"/>
                <w:lang w:val="en-US"/>
              </w:rPr>
              <w:t>Innovation</w:t>
            </w:r>
            <w:r w:rsidRPr="008124F0">
              <w:rPr>
                <w:rFonts w:ascii="Times New Roman" w:hAnsi="Times New Roman" w:cs="Times New Roman"/>
                <w:color w:val="000000" w:themeColor="text1"/>
                <w:sz w:val="24"/>
                <w:szCs w:val="24"/>
                <w:shd w:val="clear" w:color="auto" w:fill="FFFFFF"/>
              </w:rPr>
              <w:t xml:space="preserve"> </w:t>
            </w:r>
            <w:r w:rsidRPr="008124F0">
              <w:rPr>
                <w:rFonts w:ascii="Times New Roman" w:hAnsi="Times New Roman" w:cs="Times New Roman"/>
                <w:color w:val="000000" w:themeColor="text1"/>
                <w:sz w:val="24"/>
                <w:szCs w:val="24"/>
                <w:shd w:val="clear" w:color="auto" w:fill="FFFFFF"/>
                <w:lang w:val="en-US"/>
              </w:rPr>
              <w:t>Index</w:t>
            </w:r>
            <w:r w:rsidRPr="008124F0">
              <w:rPr>
                <w:rFonts w:ascii="Times New Roman" w:hAnsi="Times New Roman" w:cs="Times New Roman"/>
                <w:color w:val="000000" w:themeColor="text1"/>
                <w:sz w:val="24"/>
                <w:szCs w:val="24"/>
              </w:rPr>
              <w:t xml:space="preserve"> [Электронный ресурс] – Режим доступа: </w:t>
            </w:r>
            <w:hyperlink r:id="rId9" w:history="1">
              <w:r w:rsidRPr="008124F0">
                <w:rPr>
                  <w:rFonts w:ascii="Times New Roman" w:hAnsi="Times New Roman" w:cs="Times New Roman"/>
                  <w:color w:val="000000" w:themeColor="text1"/>
                  <w:sz w:val="24"/>
                  <w:szCs w:val="24"/>
                </w:rPr>
                <w:t>http://www.globalinnovationindex.org/</w:t>
              </w:r>
            </w:hyperlink>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18F"/>
    <w:multiLevelType w:val="hybridMultilevel"/>
    <w:tmpl w:val="BADC29BE"/>
    <w:lvl w:ilvl="0" w:tplc="5B9CE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3D5A2B"/>
    <w:multiLevelType w:val="hybridMultilevel"/>
    <w:tmpl w:val="8502105C"/>
    <w:lvl w:ilvl="0" w:tplc="3FD2AFEE">
      <w:start w:val="1"/>
      <w:numFmt w:val="decimal"/>
      <w:lvlText w:val="%1."/>
      <w:lvlJc w:val="left"/>
      <w:pPr>
        <w:ind w:left="78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F0"/>
    <w:rsid w:val="00527BFF"/>
    <w:rsid w:val="00812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4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4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ema.ru/WBWDI2019Jan/world-development-indicators-wdi" TargetMode="External"/><Relationship Id="rId3" Type="http://schemas.microsoft.com/office/2007/relationships/stylesWithEffects" Target="stylesWithEffects.xml"/><Relationship Id="rId7" Type="http://schemas.openxmlformats.org/officeDocument/2006/relationships/hyperlink" Target="https://gtmarket.ru/ratings/legatum-prosperity-index/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obalinnovationindex.org/"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esktop\&#1052;&#1040;&#1043;&#1048;&#1057;&#1058;&#1056;&#1040;&#1058;&#1059;&#1056;&#1040;\&#1053;&#1048;&#1056;&#1057;\&#1044;&#1048;&#1053;&#1040;&#1052;&#1048;&#1050;&#1040;%20&#1057;&#1064;&#1040;,%20&#1050;&#1048;&#1058;&#1040;&#1049;,%20&#1043;&#1045;&#1056;&#1052;&#1040;&#1053;&#1048;&#107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40289625742281"/>
          <c:y val="3.0776215343144488E-2"/>
          <c:w val="0.78048237289419531"/>
          <c:h val="0.63252935488327144"/>
        </c:manualLayout>
      </c:layout>
      <c:barChart>
        <c:barDir val="col"/>
        <c:grouping val="clustered"/>
        <c:varyColors val="0"/>
        <c:ser>
          <c:idx val="1"/>
          <c:order val="0"/>
          <c:tx>
            <c:strRef>
              <c:f>Лист1!$B$1</c:f>
              <c:strCache>
                <c:ptCount val="1"/>
                <c:pt idx="0">
                  <c:v>ВВП США, млрд. долл. США</c:v>
                </c:pt>
              </c:strCache>
            </c:strRef>
          </c:tx>
          <c:spPr>
            <a:pattFill prst="dkUpDiag">
              <a:fgClr>
                <a:schemeClr val="tx1"/>
              </a:fgClr>
              <a:bgClr>
                <a:schemeClr val="bg1"/>
              </a:bgClr>
            </a:pattFill>
            <a:ln>
              <a:solidFill>
                <a:sysClr val="windowText" lastClr="000000"/>
              </a:solidFill>
            </a:ln>
          </c:spPr>
          <c:invertIfNegative val="0"/>
          <c:cat>
            <c:numRef>
              <c:f>Лист1!$A$2:$A$6</c:f>
              <c:numCache>
                <c:formatCode>General</c:formatCode>
                <c:ptCount val="5"/>
                <c:pt idx="0">
                  <c:v>2014</c:v>
                </c:pt>
                <c:pt idx="1">
                  <c:v>2015</c:v>
                </c:pt>
                <c:pt idx="2">
                  <c:v>2016</c:v>
                </c:pt>
                <c:pt idx="3">
                  <c:v>2017</c:v>
                </c:pt>
                <c:pt idx="4">
                  <c:v>2018</c:v>
                </c:pt>
              </c:numCache>
            </c:numRef>
          </c:cat>
          <c:val>
            <c:numRef>
              <c:f>Лист1!$B$2:$B$7</c:f>
              <c:numCache>
                <c:formatCode>0.00</c:formatCode>
                <c:ptCount val="6"/>
                <c:pt idx="0">
                  <c:v>17427.599999999991</c:v>
                </c:pt>
                <c:pt idx="1">
                  <c:v>18120.7</c:v>
                </c:pt>
                <c:pt idx="2">
                  <c:v>18624.5</c:v>
                </c:pt>
                <c:pt idx="3">
                  <c:v>19390.599999999991</c:v>
                </c:pt>
                <c:pt idx="4">
                  <c:v>20412.8</c:v>
                </c:pt>
                <c:pt idx="5">
                  <c:v>21344.6</c:v>
                </c:pt>
              </c:numCache>
            </c:numRef>
          </c:val>
          <c:extLst xmlns:c16r2="http://schemas.microsoft.com/office/drawing/2015/06/chart">
            <c:ext xmlns:c16="http://schemas.microsoft.com/office/drawing/2014/chart" uri="{C3380CC4-5D6E-409C-BE32-E72D297353CC}">
              <c16:uniqueId val="{00000000-F934-44D8-ABB6-710E96D48DD0}"/>
            </c:ext>
          </c:extLst>
        </c:ser>
        <c:ser>
          <c:idx val="2"/>
          <c:order val="1"/>
          <c:tx>
            <c:strRef>
              <c:f>Лист1!$C$1</c:f>
              <c:strCache>
                <c:ptCount val="1"/>
                <c:pt idx="0">
                  <c:v>ВВП Китая, млрд. долл. США</c:v>
                </c:pt>
              </c:strCache>
            </c:strRef>
          </c:tx>
          <c:spPr>
            <a:pattFill prst="pct50">
              <a:fgClr>
                <a:schemeClr val="tx1"/>
              </a:fgClr>
              <a:bgClr>
                <a:schemeClr val="bg1"/>
              </a:bgClr>
            </a:pattFill>
            <a:ln>
              <a:solidFill>
                <a:sysClr val="windowText" lastClr="000000"/>
              </a:solidFill>
            </a:ln>
          </c:spPr>
          <c:invertIfNegative val="0"/>
          <c:cat>
            <c:numRef>
              <c:f>Лист1!$A$2:$A$6</c:f>
              <c:numCache>
                <c:formatCode>General</c:formatCode>
                <c:ptCount val="5"/>
                <c:pt idx="0">
                  <c:v>2014</c:v>
                </c:pt>
                <c:pt idx="1">
                  <c:v>2015</c:v>
                </c:pt>
                <c:pt idx="2">
                  <c:v>2016</c:v>
                </c:pt>
                <c:pt idx="3">
                  <c:v>2017</c:v>
                </c:pt>
                <c:pt idx="4">
                  <c:v>2018</c:v>
                </c:pt>
              </c:numCache>
            </c:numRef>
          </c:cat>
          <c:val>
            <c:numRef>
              <c:f>Лист1!$C$2:$C$7</c:f>
              <c:numCache>
                <c:formatCode>0.00</c:formatCode>
                <c:ptCount val="6"/>
                <c:pt idx="0">
                  <c:v>10535</c:v>
                </c:pt>
                <c:pt idx="1">
                  <c:v>11227</c:v>
                </c:pt>
                <c:pt idx="2">
                  <c:v>11222</c:v>
                </c:pt>
                <c:pt idx="3">
                  <c:v>12015.1</c:v>
                </c:pt>
                <c:pt idx="4">
                  <c:v>14093</c:v>
                </c:pt>
                <c:pt idx="5">
                  <c:v>14216.5</c:v>
                </c:pt>
              </c:numCache>
            </c:numRef>
          </c:val>
          <c:extLst xmlns:c16r2="http://schemas.microsoft.com/office/drawing/2015/06/chart">
            <c:ext xmlns:c16="http://schemas.microsoft.com/office/drawing/2014/chart" uri="{C3380CC4-5D6E-409C-BE32-E72D297353CC}">
              <c16:uniqueId val="{00000001-F934-44D8-ABB6-710E96D48DD0}"/>
            </c:ext>
          </c:extLst>
        </c:ser>
        <c:ser>
          <c:idx val="3"/>
          <c:order val="2"/>
          <c:tx>
            <c:strRef>
              <c:f>Лист1!$D$1</c:f>
              <c:strCache>
                <c:ptCount val="1"/>
                <c:pt idx="0">
                  <c:v>ВВП Японии, млрд. долл. США</c:v>
                </c:pt>
              </c:strCache>
            </c:strRef>
          </c:tx>
          <c:spPr>
            <a:pattFill prst="ltVert">
              <a:fgClr>
                <a:schemeClr val="tx1"/>
              </a:fgClr>
              <a:bgClr>
                <a:schemeClr val="bg1"/>
              </a:bgClr>
            </a:pattFill>
            <a:ln>
              <a:solidFill>
                <a:sysClr val="windowText" lastClr="000000"/>
              </a:solidFill>
            </a:ln>
          </c:spPr>
          <c:invertIfNegative val="0"/>
          <c:cat>
            <c:numRef>
              <c:f>Лист1!$A$2:$A$6</c:f>
              <c:numCache>
                <c:formatCode>General</c:formatCode>
                <c:ptCount val="5"/>
                <c:pt idx="0">
                  <c:v>2014</c:v>
                </c:pt>
                <c:pt idx="1">
                  <c:v>2015</c:v>
                </c:pt>
                <c:pt idx="2">
                  <c:v>2016</c:v>
                </c:pt>
                <c:pt idx="3">
                  <c:v>2017</c:v>
                </c:pt>
                <c:pt idx="4">
                  <c:v>2018</c:v>
                </c:pt>
              </c:numCache>
            </c:numRef>
          </c:cat>
          <c:val>
            <c:numRef>
              <c:f>Лист1!$D$2:$D$7</c:f>
              <c:numCache>
                <c:formatCode>0.00</c:formatCode>
                <c:ptCount val="6"/>
                <c:pt idx="0">
                  <c:v>4850.41</c:v>
                </c:pt>
                <c:pt idx="1">
                  <c:v>4389.4800000000005</c:v>
                </c:pt>
                <c:pt idx="2">
                  <c:v>4926.67</c:v>
                </c:pt>
                <c:pt idx="3">
                  <c:v>4859.79</c:v>
                </c:pt>
                <c:pt idx="4">
                  <c:v>4971.7700000000013</c:v>
                </c:pt>
                <c:pt idx="5">
                  <c:v>5176.2</c:v>
                </c:pt>
              </c:numCache>
            </c:numRef>
          </c:val>
          <c:extLst xmlns:c16r2="http://schemas.microsoft.com/office/drawing/2015/06/chart">
            <c:ext xmlns:c16="http://schemas.microsoft.com/office/drawing/2014/chart" uri="{C3380CC4-5D6E-409C-BE32-E72D297353CC}">
              <c16:uniqueId val="{00000002-F934-44D8-ABB6-710E96D48DD0}"/>
            </c:ext>
          </c:extLst>
        </c:ser>
        <c:ser>
          <c:idx val="6"/>
          <c:order val="6"/>
          <c:tx>
            <c:strRef>
              <c:f>Лист1!$H$1</c:f>
              <c:strCache>
                <c:ptCount val="1"/>
                <c:pt idx="0">
                  <c:v>ВВП России, млрд. долл. США</c:v>
                </c:pt>
              </c:strCache>
            </c:strRef>
          </c:tx>
          <c:spPr>
            <a:pattFill prst="dashHorz">
              <a:fgClr>
                <a:schemeClr val="tx1"/>
              </a:fgClr>
              <a:bgClr>
                <a:schemeClr val="bg1"/>
              </a:bgClr>
            </a:pattFill>
            <a:ln>
              <a:solidFill>
                <a:schemeClr val="tx1"/>
              </a:solidFill>
            </a:ln>
          </c:spPr>
          <c:invertIfNegative val="0"/>
          <c:cat>
            <c:numRef>
              <c:f>Лист1!$A$2:$A$7</c:f>
              <c:numCache>
                <c:formatCode>General</c:formatCode>
                <c:ptCount val="6"/>
                <c:pt idx="0">
                  <c:v>2014</c:v>
                </c:pt>
                <c:pt idx="1">
                  <c:v>2015</c:v>
                </c:pt>
                <c:pt idx="2">
                  <c:v>2016</c:v>
                </c:pt>
                <c:pt idx="3">
                  <c:v>2017</c:v>
                </c:pt>
                <c:pt idx="4">
                  <c:v>2018</c:v>
                </c:pt>
                <c:pt idx="5">
                  <c:v>2019</c:v>
                </c:pt>
              </c:numCache>
            </c:numRef>
          </c:cat>
          <c:val>
            <c:numRef>
              <c:f>Лист1!$H$2:$H$7</c:f>
              <c:numCache>
                <c:formatCode>General</c:formatCode>
                <c:ptCount val="6"/>
                <c:pt idx="0">
                  <c:v>2058.3100000000009</c:v>
                </c:pt>
                <c:pt idx="1">
                  <c:v>1356.84</c:v>
                </c:pt>
                <c:pt idx="2">
                  <c:v>1280.52</c:v>
                </c:pt>
                <c:pt idx="3">
                  <c:v>1579.29</c:v>
                </c:pt>
                <c:pt idx="4">
                  <c:v>1657.29</c:v>
                </c:pt>
                <c:pt idx="5">
                  <c:v>1610.3799999999999</c:v>
                </c:pt>
              </c:numCache>
            </c:numRef>
          </c:val>
          <c:extLst xmlns:c16r2="http://schemas.microsoft.com/office/drawing/2015/06/chart">
            <c:ext xmlns:c16="http://schemas.microsoft.com/office/drawing/2014/chart" uri="{C3380CC4-5D6E-409C-BE32-E72D297353CC}">
              <c16:uniqueId val="{00000003-F934-44D8-ABB6-710E96D48DD0}"/>
            </c:ext>
          </c:extLst>
        </c:ser>
        <c:dLbls>
          <c:showLegendKey val="0"/>
          <c:showVal val="0"/>
          <c:showCatName val="0"/>
          <c:showSerName val="0"/>
          <c:showPercent val="0"/>
          <c:showBubbleSize val="0"/>
        </c:dLbls>
        <c:gapWidth val="150"/>
        <c:axId val="425217024"/>
        <c:axId val="431004992"/>
      </c:barChart>
      <c:lineChart>
        <c:grouping val="standard"/>
        <c:varyColors val="0"/>
        <c:ser>
          <c:idx val="0"/>
          <c:order val="3"/>
          <c:tx>
            <c:strRef>
              <c:f>Лист1!$E$1</c:f>
              <c:strCache>
                <c:ptCount val="1"/>
                <c:pt idx="0">
                  <c:v>Затраты на НИОКР США, % ВВП</c:v>
                </c:pt>
              </c:strCache>
            </c:strRef>
          </c:tx>
          <c:spPr>
            <a:ln w="25400">
              <a:solidFill>
                <a:schemeClr val="tx1"/>
              </a:solidFill>
              <a:prstDash val="sysDot"/>
            </a:ln>
          </c:spPr>
          <c:marker>
            <c:symbol val="triangle"/>
            <c:size val="9"/>
            <c:spPr>
              <a:pattFill prst="pct5">
                <a:fgClr>
                  <a:schemeClr val="tx1"/>
                </a:fgClr>
                <a:bgClr>
                  <a:schemeClr val="tx1"/>
                </a:bgClr>
              </a:pattFill>
            </c:spPr>
          </c:marker>
          <c:cat>
            <c:numRef>
              <c:f>Лист1!$A$2:$A$7</c:f>
              <c:numCache>
                <c:formatCode>General</c:formatCode>
                <c:ptCount val="6"/>
                <c:pt idx="0">
                  <c:v>2014</c:v>
                </c:pt>
                <c:pt idx="1">
                  <c:v>2015</c:v>
                </c:pt>
                <c:pt idx="2">
                  <c:v>2016</c:v>
                </c:pt>
                <c:pt idx="3">
                  <c:v>2017</c:v>
                </c:pt>
                <c:pt idx="4">
                  <c:v>2018</c:v>
                </c:pt>
                <c:pt idx="5">
                  <c:v>2019</c:v>
                </c:pt>
              </c:numCache>
            </c:numRef>
          </c:cat>
          <c:val>
            <c:numRef>
              <c:f>Лист1!$E$2:$E$7</c:f>
              <c:numCache>
                <c:formatCode>General</c:formatCode>
                <c:ptCount val="6"/>
                <c:pt idx="0">
                  <c:v>2.75</c:v>
                </c:pt>
                <c:pt idx="1">
                  <c:v>2.7600000000000002</c:v>
                </c:pt>
                <c:pt idx="2">
                  <c:v>2.77</c:v>
                </c:pt>
                <c:pt idx="3">
                  <c:v>2.79</c:v>
                </c:pt>
                <c:pt idx="4">
                  <c:v>2.8</c:v>
                </c:pt>
                <c:pt idx="5">
                  <c:v>2.9</c:v>
                </c:pt>
              </c:numCache>
            </c:numRef>
          </c:val>
          <c:smooth val="0"/>
          <c:extLst xmlns:c16r2="http://schemas.microsoft.com/office/drawing/2015/06/chart">
            <c:ext xmlns:c16="http://schemas.microsoft.com/office/drawing/2014/chart" uri="{C3380CC4-5D6E-409C-BE32-E72D297353CC}">
              <c16:uniqueId val="{00000004-F934-44D8-ABB6-710E96D48DD0}"/>
            </c:ext>
          </c:extLst>
        </c:ser>
        <c:ser>
          <c:idx val="4"/>
          <c:order val="4"/>
          <c:tx>
            <c:strRef>
              <c:f>Лист1!$F$1</c:f>
              <c:strCache>
                <c:ptCount val="1"/>
                <c:pt idx="0">
                  <c:v>Затраты на НИОКР Китая, % ВВП</c:v>
                </c:pt>
              </c:strCache>
            </c:strRef>
          </c:tx>
          <c:spPr>
            <a:ln w="25400">
              <a:solidFill>
                <a:schemeClr val="tx1"/>
              </a:solidFill>
              <a:prstDash val="dash"/>
            </a:ln>
          </c:spPr>
          <c:marker>
            <c:symbol val="circle"/>
            <c:size val="7"/>
            <c:spPr>
              <a:pattFill prst="pct5">
                <a:fgClr>
                  <a:schemeClr val="tx1"/>
                </a:fgClr>
                <a:bgClr>
                  <a:schemeClr val="tx1"/>
                </a:bgClr>
              </a:pattFill>
            </c:spPr>
          </c:marker>
          <c:cat>
            <c:numRef>
              <c:f>Лист1!$A$2:$A$7</c:f>
              <c:numCache>
                <c:formatCode>General</c:formatCode>
                <c:ptCount val="6"/>
                <c:pt idx="0">
                  <c:v>2014</c:v>
                </c:pt>
                <c:pt idx="1">
                  <c:v>2015</c:v>
                </c:pt>
                <c:pt idx="2">
                  <c:v>2016</c:v>
                </c:pt>
                <c:pt idx="3">
                  <c:v>2017</c:v>
                </c:pt>
                <c:pt idx="4">
                  <c:v>2018</c:v>
                </c:pt>
                <c:pt idx="5">
                  <c:v>2019</c:v>
                </c:pt>
              </c:numCache>
            </c:numRef>
          </c:cat>
          <c:val>
            <c:numRef>
              <c:f>Лист1!$F$2:$F$7</c:f>
              <c:numCache>
                <c:formatCode>General</c:formatCode>
                <c:ptCount val="6"/>
                <c:pt idx="0">
                  <c:v>1.56</c:v>
                </c:pt>
                <c:pt idx="1">
                  <c:v>1.7600000000000002</c:v>
                </c:pt>
                <c:pt idx="2">
                  <c:v>2.4499999999999997</c:v>
                </c:pt>
                <c:pt idx="3">
                  <c:v>3.02</c:v>
                </c:pt>
                <c:pt idx="4">
                  <c:v>3.63</c:v>
                </c:pt>
                <c:pt idx="5">
                  <c:v>3.82</c:v>
                </c:pt>
              </c:numCache>
            </c:numRef>
          </c:val>
          <c:smooth val="0"/>
          <c:extLst xmlns:c16r2="http://schemas.microsoft.com/office/drawing/2015/06/chart">
            <c:ext xmlns:c16="http://schemas.microsoft.com/office/drawing/2014/chart" uri="{C3380CC4-5D6E-409C-BE32-E72D297353CC}">
              <c16:uniqueId val="{00000005-F934-44D8-ABB6-710E96D48DD0}"/>
            </c:ext>
          </c:extLst>
        </c:ser>
        <c:ser>
          <c:idx val="5"/>
          <c:order val="5"/>
          <c:tx>
            <c:strRef>
              <c:f>Лист1!$G$1</c:f>
              <c:strCache>
                <c:ptCount val="1"/>
                <c:pt idx="0">
                  <c:v>Затраты на НИОКР Японии, % ВВП</c:v>
                </c:pt>
              </c:strCache>
            </c:strRef>
          </c:tx>
          <c:spPr>
            <a:ln w="25400">
              <a:solidFill>
                <a:schemeClr val="tx1"/>
              </a:solidFill>
            </a:ln>
          </c:spPr>
          <c:marker>
            <c:symbol val="diamond"/>
            <c:size val="9"/>
            <c:spPr>
              <a:pattFill prst="pct5">
                <a:fgClr>
                  <a:schemeClr val="tx1"/>
                </a:fgClr>
                <a:bgClr>
                  <a:schemeClr val="tx1"/>
                </a:bgClr>
              </a:pattFill>
            </c:spPr>
          </c:marker>
          <c:cat>
            <c:numRef>
              <c:f>Лист1!$A$2:$A$7</c:f>
              <c:numCache>
                <c:formatCode>General</c:formatCode>
                <c:ptCount val="6"/>
                <c:pt idx="0">
                  <c:v>2014</c:v>
                </c:pt>
                <c:pt idx="1">
                  <c:v>2015</c:v>
                </c:pt>
                <c:pt idx="2">
                  <c:v>2016</c:v>
                </c:pt>
                <c:pt idx="3">
                  <c:v>2017</c:v>
                </c:pt>
                <c:pt idx="4">
                  <c:v>2018</c:v>
                </c:pt>
                <c:pt idx="5">
                  <c:v>2019</c:v>
                </c:pt>
              </c:numCache>
            </c:numRef>
          </c:cat>
          <c:val>
            <c:numRef>
              <c:f>Лист1!$G$2:$G$7</c:f>
              <c:numCache>
                <c:formatCode>General</c:formatCode>
                <c:ptCount val="6"/>
                <c:pt idx="0">
                  <c:v>3.4</c:v>
                </c:pt>
                <c:pt idx="1">
                  <c:v>3.3</c:v>
                </c:pt>
                <c:pt idx="2">
                  <c:v>3.1</c:v>
                </c:pt>
                <c:pt idx="3">
                  <c:v>3.2</c:v>
                </c:pt>
                <c:pt idx="4">
                  <c:v>3.4</c:v>
                </c:pt>
                <c:pt idx="5">
                  <c:v>3.5</c:v>
                </c:pt>
              </c:numCache>
            </c:numRef>
          </c:val>
          <c:smooth val="0"/>
          <c:extLst xmlns:c16r2="http://schemas.microsoft.com/office/drawing/2015/06/chart">
            <c:ext xmlns:c16="http://schemas.microsoft.com/office/drawing/2014/chart" uri="{C3380CC4-5D6E-409C-BE32-E72D297353CC}">
              <c16:uniqueId val="{00000006-F934-44D8-ABB6-710E96D48DD0}"/>
            </c:ext>
          </c:extLst>
        </c:ser>
        <c:ser>
          <c:idx val="7"/>
          <c:order val="7"/>
          <c:tx>
            <c:strRef>
              <c:f>Лист1!$I$1</c:f>
              <c:strCache>
                <c:ptCount val="1"/>
                <c:pt idx="0">
                  <c:v>Затраты на НИОКР в России, % ВВП</c:v>
                </c:pt>
              </c:strCache>
            </c:strRef>
          </c:tx>
          <c:spPr>
            <a:ln w="25400">
              <a:solidFill>
                <a:schemeClr val="tx1"/>
              </a:solidFill>
              <a:prstDash val="lgDash"/>
            </a:ln>
          </c:spPr>
          <c:marker>
            <c:symbol val="square"/>
            <c:size val="7"/>
            <c:spPr>
              <a:solidFill>
                <a:schemeClr val="tx1"/>
              </a:solidFill>
            </c:spPr>
          </c:marker>
          <c:cat>
            <c:numRef>
              <c:f>Лист1!$A$2:$A$7</c:f>
              <c:numCache>
                <c:formatCode>General</c:formatCode>
                <c:ptCount val="6"/>
                <c:pt idx="0">
                  <c:v>2014</c:v>
                </c:pt>
                <c:pt idx="1">
                  <c:v>2015</c:v>
                </c:pt>
                <c:pt idx="2">
                  <c:v>2016</c:v>
                </c:pt>
                <c:pt idx="3">
                  <c:v>2017</c:v>
                </c:pt>
                <c:pt idx="4">
                  <c:v>2018</c:v>
                </c:pt>
                <c:pt idx="5">
                  <c:v>2019</c:v>
                </c:pt>
              </c:numCache>
            </c:numRef>
          </c:cat>
          <c:val>
            <c:numRef>
              <c:f>Лист1!$I$2:$I$7</c:f>
              <c:numCache>
                <c:formatCode>General</c:formatCode>
                <c:ptCount val="6"/>
                <c:pt idx="0">
                  <c:v>1.1080000000000001</c:v>
                </c:pt>
                <c:pt idx="1">
                  <c:v>1.1499999999999995</c:v>
                </c:pt>
                <c:pt idx="2">
                  <c:v>1.1100000000000001</c:v>
                </c:pt>
                <c:pt idx="3">
                  <c:v>1.1299999999999994</c:v>
                </c:pt>
                <c:pt idx="4">
                  <c:v>1.1800000000000004</c:v>
                </c:pt>
                <c:pt idx="5">
                  <c:v>1.1599999999999995</c:v>
                </c:pt>
              </c:numCache>
            </c:numRef>
          </c:val>
          <c:smooth val="0"/>
          <c:extLst xmlns:c16r2="http://schemas.microsoft.com/office/drawing/2015/06/chart">
            <c:ext xmlns:c16="http://schemas.microsoft.com/office/drawing/2014/chart" uri="{C3380CC4-5D6E-409C-BE32-E72D297353CC}">
              <c16:uniqueId val="{00000007-F934-44D8-ABB6-710E96D48DD0}"/>
            </c:ext>
          </c:extLst>
        </c:ser>
        <c:dLbls>
          <c:showLegendKey val="0"/>
          <c:showVal val="0"/>
          <c:showCatName val="0"/>
          <c:showSerName val="0"/>
          <c:showPercent val="0"/>
          <c:showBubbleSize val="0"/>
        </c:dLbls>
        <c:marker val="1"/>
        <c:smooth val="0"/>
        <c:axId val="425933312"/>
        <c:axId val="436033728"/>
      </c:lineChart>
      <c:catAx>
        <c:axId val="425217024"/>
        <c:scaling>
          <c:orientation val="minMax"/>
        </c:scaling>
        <c:delete val="0"/>
        <c:axPos val="b"/>
        <c:title>
          <c:tx>
            <c:rich>
              <a:bodyPr/>
              <a:lstStyle/>
              <a:p>
                <a:pPr>
                  <a:defRPr b="0"/>
                </a:pPr>
                <a:r>
                  <a:rPr lang="ru-RU" b="0"/>
                  <a:t>Годы</a:t>
                </a:r>
              </a:p>
            </c:rich>
          </c:tx>
          <c:overlay val="0"/>
        </c:title>
        <c:numFmt formatCode="General" sourceLinked="1"/>
        <c:majorTickMark val="out"/>
        <c:minorTickMark val="none"/>
        <c:tickLblPos val="nextTo"/>
        <c:crossAx val="431004992"/>
        <c:crosses val="autoZero"/>
        <c:auto val="1"/>
        <c:lblAlgn val="ctr"/>
        <c:lblOffset val="100"/>
        <c:noMultiLvlLbl val="0"/>
      </c:catAx>
      <c:valAx>
        <c:axId val="431004992"/>
        <c:scaling>
          <c:orientation val="minMax"/>
        </c:scaling>
        <c:delete val="0"/>
        <c:axPos val="l"/>
        <c:majorGridlines/>
        <c:title>
          <c:tx>
            <c:rich>
              <a:bodyPr rot="-5400000" vert="horz"/>
              <a:lstStyle/>
              <a:p>
                <a:pPr>
                  <a:defRPr b="0"/>
                </a:pPr>
                <a:r>
                  <a:rPr lang="ru-RU" b="0"/>
                  <a:t>ВВП, млрд. долл. США</a:t>
                </a:r>
              </a:p>
            </c:rich>
          </c:tx>
          <c:layout>
            <c:manualLayout>
              <c:xMode val="edge"/>
              <c:yMode val="edge"/>
              <c:x val="1.0046682032242399E-2"/>
              <c:y val="0.27538296817965324"/>
            </c:manualLayout>
          </c:layout>
          <c:overlay val="0"/>
        </c:title>
        <c:numFmt formatCode="0.00" sourceLinked="1"/>
        <c:majorTickMark val="out"/>
        <c:minorTickMark val="none"/>
        <c:tickLblPos val="nextTo"/>
        <c:crossAx val="425217024"/>
        <c:crosses val="autoZero"/>
        <c:crossBetween val="between"/>
      </c:valAx>
      <c:valAx>
        <c:axId val="436033728"/>
        <c:scaling>
          <c:orientation val="minMax"/>
        </c:scaling>
        <c:delete val="0"/>
        <c:axPos val="r"/>
        <c:title>
          <c:tx>
            <c:rich>
              <a:bodyPr rot="-5400000" vert="horz"/>
              <a:lstStyle/>
              <a:p>
                <a:pPr>
                  <a:defRPr b="0"/>
                </a:pPr>
                <a:r>
                  <a:rPr lang="ru-RU" b="0"/>
                  <a:t>Затраты</a:t>
                </a:r>
                <a:r>
                  <a:rPr lang="ru-RU" b="0" baseline="0"/>
                  <a:t> на НИОКР</a:t>
                </a:r>
                <a:r>
                  <a:rPr lang="ru-RU" b="0"/>
                  <a:t>, % ВВП</a:t>
                </a:r>
              </a:p>
            </c:rich>
          </c:tx>
          <c:overlay val="0"/>
        </c:title>
        <c:numFmt formatCode="General" sourceLinked="1"/>
        <c:majorTickMark val="out"/>
        <c:minorTickMark val="none"/>
        <c:tickLblPos val="nextTo"/>
        <c:crossAx val="425933312"/>
        <c:crosses val="max"/>
        <c:crossBetween val="between"/>
      </c:valAx>
      <c:catAx>
        <c:axId val="425933312"/>
        <c:scaling>
          <c:orientation val="minMax"/>
        </c:scaling>
        <c:delete val="1"/>
        <c:axPos val="b"/>
        <c:numFmt formatCode="General" sourceLinked="1"/>
        <c:majorTickMark val="out"/>
        <c:minorTickMark val="none"/>
        <c:tickLblPos val="none"/>
        <c:crossAx val="436033728"/>
        <c:crosses val="autoZero"/>
        <c:auto val="1"/>
        <c:lblAlgn val="ctr"/>
        <c:lblOffset val="100"/>
        <c:noMultiLvlLbl val="0"/>
      </c:catAx>
    </c:plotArea>
    <c:legend>
      <c:legendPos val="r"/>
      <c:layout>
        <c:manualLayout>
          <c:xMode val="edge"/>
          <c:yMode val="edge"/>
          <c:x val="4.5561386601127025E-2"/>
          <c:y val="0.7671631971680547"/>
          <c:w val="0.95281647486371901"/>
          <c:h val="0.2322181574136867"/>
        </c:manualLayout>
      </c:layout>
      <c:overlay val="0"/>
    </c:legend>
    <c:plotVisOnly val="1"/>
    <c:dispBlanksAs val="gap"/>
    <c:showDLblsOverMax val="0"/>
  </c:chart>
  <c:spPr>
    <a:ln>
      <a:noFill/>
    </a:ln>
  </c:spPr>
  <c:txPr>
    <a:bodyPr/>
    <a:lstStyle/>
    <a:p>
      <a:pPr>
        <a:defRPr baseline="0">
          <a:latin typeface="Times New Roman" panose="02020603050405020304" pitchFamily="18" charset="0"/>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0.82372</cdr:x>
      <cdr:y>0.67225</cdr:y>
    </cdr:from>
    <cdr:to>
      <cdr:x>0.91026</cdr:x>
      <cdr:y>0.73206</cdr:y>
    </cdr:to>
    <cdr:sp macro="" textlink="">
      <cdr:nvSpPr>
        <cdr:cNvPr id="2" name="Поле 1"/>
        <cdr:cNvSpPr txBox="1"/>
      </cdr:nvSpPr>
      <cdr:spPr>
        <a:xfrm xmlns:a="http://schemas.openxmlformats.org/drawingml/2006/main">
          <a:off x="4895850" y="2676525"/>
          <a:ext cx="5143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00">
              <a:latin typeface="Times New Roman" panose="02020603050405020304" pitchFamily="18" charset="0"/>
              <a:cs typeface="Times New Roman" panose="02020603050405020304" pitchFamily="18" charset="0"/>
            </a:rPr>
            <a:t>2019</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8225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2020-06-15T15:16:00Z</dcterms:modified>
</cp:coreProperties>
</file>